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1BB82" w14:textId="340D8D25" w:rsidR="00F33A7B" w:rsidRPr="00903404" w:rsidRDefault="00F33A7B" w:rsidP="00F33A7B">
      <w:pPr>
        <w:rPr>
          <w:sz w:val="22"/>
          <w:szCs w:val="22"/>
        </w:rPr>
      </w:pPr>
      <w:bookmarkStart w:id="0" w:name="_Hlk53405618"/>
      <w:r w:rsidRPr="00903404">
        <w:rPr>
          <w:sz w:val="22"/>
          <w:szCs w:val="22"/>
        </w:rPr>
        <w:t>Załącznik</w:t>
      </w:r>
      <w:r w:rsidR="00F64F73" w:rsidRPr="00903404">
        <w:rPr>
          <w:sz w:val="22"/>
          <w:szCs w:val="22"/>
        </w:rPr>
        <w:t xml:space="preserve"> </w:t>
      </w:r>
      <w:r w:rsidRPr="00903404">
        <w:rPr>
          <w:sz w:val="22"/>
          <w:szCs w:val="22"/>
        </w:rPr>
        <w:t>B.</w:t>
      </w:r>
      <w:r w:rsidR="00037739" w:rsidRPr="00903404">
        <w:rPr>
          <w:sz w:val="22"/>
          <w:szCs w:val="22"/>
        </w:rPr>
        <w:t>4</w:t>
      </w:r>
      <w:r w:rsidRPr="00903404">
        <w:rPr>
          <w:sz w:val="22"/>
          <w:szCs w:val="22"/>
        </w:rPr>
        <w:t>.</w:t>
      </w:r>
    </w:p>
    <w:p w14:paraId="7EC32245" w14:textId="77777777" w:rsidR="00F33A7B" w:rsidRPr="00903404" w:rsidRDefault="00F33A7B" w:rsidP="00F33A7B">
      <w:pPr>
        <w:rPr>
          <w:sz w:val="22"/>
          <w:szCs w:val="22"/>
        </w:rPr>
      </w:pPr>
    </w:p>
    <w:p w14:paraId="2C941F08" w14:textId="5F465709" w:rsidR="00E95229" w:rsidRPr="00903404" w:rsidRDefault="00037739" w:rsidP="00F33A7B">
      <w:pPr>
        <w:autoSpaceDE w:val="0"/>
        <w:autoSpaceDN w:val="0"/>
        <w:adjustRightInd w:val="0"/>
        <w:spacing w:after="240"/>
        <w:rPr>
          <w:b/>
          <w:bCs/>
          <w:sz w:val="28"/>
        </w:rPr>
      </w:pPr>
      <w:r w:rsidRPr="00903404">
        <w:rPr>
          <w:rFonts w:eastAsia="PMingLiU"/>
          <w:b/>
          <w:sz w:val="28"/>
          <w:szCs w:val="28"/>
          <w:lang w:eastAsia="zh-TW"/>
        </w:rPr>
        <w:t>LECZENIE</w:t>
      </w:r>
      <w:r w:rsidR="00F64F73" w:rsidRPr="00903404">
        <w:rPr>
          <w:rFonts w:eastAsia="PMingLiU"/>
          <w:b/>
          <w:sz w:val="28"/>
          <w:szCs w:val="28"/>
          <w:lang w:eastAsia="zh-TW"/>
        </w:rPr>
        <w:t xml:space="preserve"> </w:t>
      </w:r>
      <w:r w:rsidRPr="00903404">
        <w:rPr>
          <w:rFonts w:eastAsia="PMingLiU"/>
          <w:b/>
          <w:sz w:val="28"/>
          <w:szCs w:val="28"/>
          <w:lang w:eastAsia="zh-TW"/>
        </w:rPr>
        <w:t>CHORYCH</w:t>
      </w:r>
      <w:r w:rsidR="00F64F73" w:rsidRPr="00903404">
        <w:rPr>
          <w:rFonts w:eastAsia="PMingLiU"/>
          <w:b/>
          <w:sz w:val="28"/>
          <w:szCs w:val="28"/>
          <w:lang w:eastAsia="zh-TW"/>
        </w:rPr>
        <w:t xml:space="preserve"> </w:t>
      </w:r>
      <w:r w:rsidRPr="00903404">
        <w:rPr>
          <w:rFonts w:eastAsia="PMingLiU"/>
          <w:b/>
          <w:sz w:val="28"/>
          <w:szCs w:val="28"/>
          <w:lang w:eastAsia="zh-TW"/>
        </w:rPr>
        <w:t>NA</w:t>
      </w:r>
      <w:r w:rsidR="00F64F73" w:rsidRPr="00903404">
        <w:rPr>
          <w:rFonts w:eastAsia="PMingLiU"/>
          <w:b/>
          <w:sz w:val="28"/>
          <w:szCs w:val="28"/>
          <w:lang w:eastAsia="zh-TW"/>
        </w:rPr>
        <w:t xml:space="preserve"> </w:t>
      </w:r>
      <w:r w:rsidRPr="00903404">
        <w:rPr>
          <w:rFonts w:eastAsia="PMingLiU"/>
          <w:b/>
          <w:sz w:val="28"/>
          <w:szCs w:val="28"/>
          <w:lang w:eastAsia="zh-TW"/>
        </w:rPr>
        <w:t>RAKA</w:t>
      </w:r>
      <w:r w:rsidR="00F64F73" w:rsidRPr="00903404">
        <w:rPr>
          <w:rFonts w:eastAsia="PMingLiU"/>
          <w:b/>
          <w:sz w:val="28"/>
          <w:szCs w:val="28"/>
          <w:lang w:eastAsia="zh-TW"/>
        </w:rPr>
        <w:t xml:space="preserve"> </w:t>
      </w:r>
      <w:r w:rsidRPr="00903404">
        <w:rPr>
          <w:rFonts w:eastAsia="PMingLiU"/>
          <w:b/>
          <w:sz w:val="28"/>
          <w:szCs w:val="28"/>
          <w:lang w:eastAsia="zh-TW"/>
        </w:rPr>
        <w:t>JELITA</w:t>
      </w:r>
      <w:r w:rsidR="00F64F73" w:rsidRPr="00903404">
        <w:rPr>
          <w:rFonts w:eastAsia="PMingLiU"/>
          <w:b/>
          <w:sz w:val="28"/>
          <w:szCs w:val="28"/>
          <w:lang w:eastAsia="zh-TW"/>
        </w:rPr>
        <w:t xml:space="preserve"> </w:t>
      </w:r>
      <w:r w:rsidRPr="00903404">
        <w:rPr>
          <w:rFonts w:eastAsia="PMingLiU"/>
          <w:b/>
          <w:sz w:val="28"/>
          <w:szCs w:val="28"/>
          <w:lang w:eastAsia="zh-TW"/>
        </w:rPr>
        <w:t>GRUBEGO</w:t>
      </w:r>
      <w:r w:rsidR="00F64F73" w:rsidRPr="00903404">
        <w:rPr>
          <w:rFonts w:eastAsia="PMingLiU"/>
          <w:b/>
          <w:sz w:val="28"/>
          <w:szCs w:val="28"/>
          <w:lang w:eastAsia="zh-TW"/>
        </w:rPr>
        <w:t xml:space="preserve"> </w:t>
      </w:r>
      <w:r w:rsidRPr="00903404">
        <w:rPr>
          <w:rFonts w:eastAsia="PMingLiU"/>
          <w:b/>
          <w:sz w:val="28"/>
          <w:szCs w:val="28"/>
          <w:lang w:eastAsia="zh-TW"/>
        </w:rPr>
        <w:t>(ICD-10:</w:t>
      </w:r>
      <w:r w:rsidR="00F64F73" w:rsidRPr="00903404">
        <w:rPr>
          <w:rFonts w:eastAsia="PMingLiU"/>
          <w:b/>
          <w:sz w:val="28"/>
          <w:szCs w:val="28"/>
          <w:lang w:eastAsia="zh-TW"/>
        </w:rPr>
        <w:t xml:space="preserve"> </w:t>
      </w:r>
      <w:r w:rsidRPr="00903404">
        <w:rPr>
          <w:rFonts w:eastAsia="PMingLiU"/>
          <w:b/>
          <w:sz w:val="28"/>
          <w:szCs w:val="28"/>
          <w:lang w:eastAsia="zh-TW"/>
        </w:rPr>
        <w:t>C18</w:t>
      </w:r>
      <w:r w:rsidR="00F64F73" w:rsidRPr="00903404">
        <w:rPr>
          <w:rFonts w:eastAsia="PMingLiU"/>
          <w:b/>
          <w:sz w:val="28"/>
          <w:szCs w:val="28"/>
          <w:lang w:eastAsia="zh-TW"/>
        </w:rPr>
        <w:t xml:space="preserve"> </w:t>
      </w:r>
      <w:r w:rsidRPr="00903404">
        <w:rPr>
          <w:rFonts w:eastAsia="PMingLiU"/>
          <w:b/>
          <w:sz w:val="28"/>
          <w:szCs w:val="28"/>
          <w:lang w:eastAsia="zh-TW"/>
        </w:rPr>
        <w:t>–</w:t>
      </w:r>
      <w:r w:rsidR="00F64F73" w:rsidRPr="00903404">
        <w:rPr>
          <w:rFonts w:eastAsia="PMingLiU"/>
          <w:b/>
          <w:sz w:val="28"/>
          <w:szCs w:val="28"/>
          <w:lang w:eastAsia="zh-TW"/>
        </w:rPr>
        <w:t xml:space="preserve"> </w:t>
      </w:r>
      <w:r w:rsidRPr="00903404">
        <w:rPr>
          <w:rFonts w:eastAsia="PMingLiU"/>
          <w:b/>
          <w:sz w:val="28"/>
          <w:szCs w:val="28"/>
          <w:lang w:eastAsia="zh-TW"/>
        </w:rPr>
        <w:t>C20)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4111"/>
        <w:gridCol w:w="5612"/>
      </w:tblGrid>
      <w:tr w:rsidR="0071052E" w:rsidRPr="00903404" w14:paraId="70FCC206" w14:textId="77777777" w:rsidTr="00F64F73">
        <w:trPr>
          <w:trHeight w:val="567"/>
        </w:trPr>
        <w:tc>
          <w:tcPr>
            <w:tcW w:w="15388" w:type="dxa"/>
            <w:gridSpan w:val="3"/>
            <w:vAlign w:val="center"/>
          </w:tcPr>
          <w:p w14:paraId="6178C3CF" w14:textId="12CA3CEF" w:rsidR="001D7CB9" w:rsidRPr="00903404" w:rsidRDefault="001D7CB9" w:rsidP="00F33A7B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ZAKRES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ŚWIADCZENIA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GWARANTOWANEGO</w:t>
            </w:r>
          </w:p>
        </w:tc>
      </w:tr>
      <w:tr w:rsidR="0071052E" w:rsidRPr="00903404" w14:paraId="433661AF" w14:textId="77777777" w:rsidTr="00F64F73">
        <w:trPr>
          <w:trHeight w:val="567"/>
        </w:trPr>
        <w:tc>
          <w:tcPr>
            <w:tcW w:w="5665" w:type="dxa"/>
            <w:vAlign w:val="center"/>
          </w:tcPr>
          <w:p w14:paraId="2BAC5A9D" w14:textId="77777777" w:rsidR="001D7CB9" w:rsidRPr="00903404" w:rsidRDefault="001D7CB9" w:rsidP="00F33A7B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0E1D0B62" w14:textId="36B8FA40" w:rsidR="001D7CB9" w:rsidRPr="00903404" w:rsidRDefault="001D7CB9" w:rsidP="00F33A7B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SCHEMAT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DAWKOWANIA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LEKÓW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D4A37" w:rsidRPr="00903404">
              <w:rPr>
                <w:b/>
                <w:bCs/>
                <w:color w:val="000000" w:themeColor="text1"/>
                <w:sz w:val="20"/>
                <w:szCs w:val="20"/>
              </w:rPr>
              <w:br/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</w:tc>
        <w:tc>
          <w:tcPr>
            <w:tcW w:w="5612" w:type="dxa"/>
            <w:vAlign w:val="center"/>
          </w:tcPr>
          <w:p w14:paraId="0B4A79FC" w14:textId="4F274E51" w:rsidR="001D7CB9" w:rsidRPr="00903404" w:rsidRDefault="001D7CB9" w:rsidP="00F33A7B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DIAGNOSTYCZNE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WYKONYWANE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96C8F" w:rsidRPr="00903404">
              <w:rPr>
                <w:b/>
                <w:bCs/>
                <w:color w:val="000000" w:themeColor="text1"/>
                <w:sz w:val="20"/>
                <w:szCs w:val="20"/>
              </w:rPr>
              <w:br/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RAMACH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PROGRAMU</w:t>
            </w:r>
          </w:p>
        </w:tc>
      </w:tr>
      <w:tr w:rsidR="001D7CB9" w:rsidRPr="0071052E" w14:paraId="1C0840FC" w14:textId="77777777" w:rsidTr="00F64F73">
        <w:trPr>
          <w:trHeight w:val="20"/>
        </w:trPr>
        <w:tc>
          <w:tcPr>
            <w:tcW w:w="5665" w:type="dxa"/>
          </w:tcPr>
          <w:p w14:paraId="5DCFC9DA" w14:textId="510DE97F" w:rsidR="00037739" w:rsidRPr="00903404" w:rsidRDefault="00037739" w:rsidP="00037739">
            <w:pPr>
              <w:spacing w:before="120" w:after="6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programie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finansuje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się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leczenie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systemowe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pacjentów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zaawansowanym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rakiem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jelita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grubego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(RJG)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substancjami:</w:t>
            </w:r>
          </w:p>
          <w:p w14:paraId="077F8E4F" w14:textId="675447DC" w:rsidR="00037739" w:rsidRPr="00903404" w:rsidRDefault="00037739" w:rsidP="00FD6868">
            <w:pPr>
              <w:spacing w:after="6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I.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zakresie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chemioterapii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i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leczenia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celowanego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:</w:t>
            </w:r>
          </w:p>
          <w:p w14:paraId="0CEAD156" w14:textId="77777777" w:rsidR="00037739" w:rsidRPr="00903404" w:rsidRDefault="00037739" w:rsidP="00FD6868">
            <w:pPr>
              <w:numPr>
                <w:ilvl w:val="3"/>
                <w:numId w:val="61"/>
              </w:numPr>
              <w:tabs>
                <w:tab w:val="left" w:pos="324"/>
              </w:tabs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aflibercept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;</w:t>
            </w:r>
          </w:p>
          <w:p w14:paraId="276D9314" w14:textId="46F967D0" w:rsidR="00037739" w:rsidRPr="00903404" w:rsidRDefault="00037739" w:rsidP="00FD6868">
            <w:pPr>
              <w:numPr>
                <w:ilvl w:val="3"/>
                <w:numId w:val="61"/>
              </w:numPr>
              <w:tabs>
                <w:tab w:val="left" w:pos="324"/>
              </w:tabs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triflurydyna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="00ED2B27"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w monoterapii albo w skojarzeniu </w:t>
            </w:r>
            <w:r w:rsidR="00ED2B27"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br/>
              <w:t>z bewacyzumabem</w:t>
            </w:r>
            <w:r w:rsidR="006C5EE9" w:rsidRPr="00903404">
              <w:rPr>
                <w:b/>
                <w:bCs/>
                <w:color w:val="000000" w:themeColor="text1"/>
                <w:sz w:val="20"/>
                <w:szCs w:val="20"/>
              </w:rPr>
              <w:t>;</w:t>
            </w:r>
          </w:p>
          <w:p w14:paraId="35508121" w14:textId="6CBF30C5" w:rsidR="006C5EE9" w:rsidRPr="00903404" w:rsidRDefault="00686EDF" w:rsidP="00686EDF">
            <w:pPr>
              <w:numPr>
                <w:ilvl w:val="3"/>
                <w:numId w:val="61"/>
              </w:numPr>
              <w:tabs>
                <w:tab w:val="left" w:pos="324"/>
              </w:tabs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frukwintynib;</w:t>
            </w:r>
          </w:p>
          <w:p w14:paraId="31B04101" w14:textId="517C9AA5" w:rsidR="00037739" w:rsidRPr="00903404" w:rsidRDefault="00037739" w:rsidP="00FD6868">
            <w:pPr>
              <w:spacing w:after="6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II.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zakresie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immunoterapii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:</w:t>
            </w:r>
          </w:p>
          <w:p w14:paraId="51BA9BEE" w14:textId="77777777" w:rsidR="00037739" w:rsidRPr="00903404" w:rsidRDefault="00037739" w:rsidP="00FD6868">
            <w:pPr>
              <w:numPr>
                <w:ilvl w:val="3"/>
                <w:numId w:val="62"/>
              </w:numPr>
              <w:tabs>
                <w:tab w:val="left" w:pos="324"/>
              </w:tabs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pembrolizumab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;</w:t>
            </w:r>
          </w:p>
          <w:p w14:paraId="7EFCC7C2" w14:textId="13DCC76D" w:rsidR="00037739" w:rsidRPr="00903404" w:rsidRDefault="00037739" w:rsidP="00FD6868">
            <w:pPr>
              <w:numPr>
                <w:ilvl w:val="3"/>
                <w:numId w:val="62"/>
              </w:numPr>
              <w:tabs>
                <w:tab w:val="left" w:pos="324"/>
              </w:tabs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niwolumab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42885690" w14:textId="77777777" w:rsidR="00037739" w:rsidRPr="00903404" w:rsidRDefault="00037739" w:rsidP="00FD6868">
            <w:pPr>
              <w:tabs>
                <w:tab w:val="left" w:pos="324"/>
              </w:tabs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36D9A2C" w14:textId="044D46FD" w:rsidR="00037739" w:rsidRPr="00903404" w:rsidRDefault="00037739" w:rsidP="00FD6868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sz w:val="20"/>
                <w:szCs w:val="20"/>
              </w:rPr>
              <w:t>leczeniu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sz w:val="20"/>
                <w:szCs w:val="20"/>
              </w:rPr>
              <w:t>zaawansowanego</w:t>
            </w:r>
            <w:r w:rsidR="00F64F73" w:rsidRPr="00903404">
              <w:rPr>
                <w:b/>
                <w:bCs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sz w:val="20"/>
                <w:szCs w:val="20"/>
              </w:rPr>
              <w:t>raka</w:t>
            </w:r>
            <w:r w:rsidR="00F64F73" w:rsidRPr="00903404">
              <w:rPr>
                <w:b/>
                <w:bCs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sz w:val="20"/>
                <w:szCs w:val="20"/>
              </w:rPr>
              <w:t>jelita</w:t>
            </w:r>
            <w:r w:rsidR="00F64F73" w:rsidRPr="00903404">
              <w:rPr>
                <w:b/>
                <w:bCs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sz w:val="20"/>
                <w:szCs w:val="20"/>
              </w:rPr>
              <w:t>grubego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stosowane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są:</w:t>
            </w:r>
          </w:p>
          <w:p w14:paraId="3669DFB3" w14:textId="545E182E" w:rsidR="00037739" w:rsidRPr="00903404" w:rsidRDefault="00037739" w:rsidP="00FD6868">
            <w:pPr>
              <w:numPr>
                <w:ilvl w:val="3"/>
                <w:numId w:val="63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rFonts w:eastAsiaTheme="minorHAnsi"/>
                <w:b/>
                <w:bCs/>
                <w:i/>
                <w:iCs/>
                <w:sz w:val="20"/>
                <w:szCs w:val="20"/>
                <w:lang w:eastAsia="en-US"/>
              </w:rPr>
              <w:t>pembrolizumab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monoterapii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pierwszej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linii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leczenia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systemowego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pacjentów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potwierdzoną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niestabilnością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mikrosatelitarną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wysokiego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stopnia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(ang.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MSI-H)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lub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zaburzeniami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mechanizmów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naprawy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uszkodzeń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typie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niedopasowania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(ang.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dMMR).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Pembrolizumab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może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być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zastosowany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jeśli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pacjent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wcześniej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otrzymał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immunoterapię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powodu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RJG.</w:t>
            </w:r>
          </w:p>
          <w:p w14:paraId="16B7A2FB" w14:textId="17803D3E" w:rsidR="00037739" w:rsidRPr="00903404" w:rsidRDefault="00037739" w:rsidP="00FD6868">
            <w:pPr>
              <w:numPr>
                <w:ilvl w:val="3"/>
                <w:numId w:val="63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aflibercept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chemioterapią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według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schematu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FOLFIRI</w:t>
            </w:r>
            <w:r w:rsidR="00F64F73"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drugiej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linii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chemioterapii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udokumentowanej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nieskuteczności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zastosowanej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zaawansowanym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stadium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lastRenderedPageBreak/>
              <w:t>chemioterapii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pierwszej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linii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udziałem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fluoropirymidyny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oksaliplatyny</w:t>
            </w:r>
            <w:r w:rsidRPr="00903404">
              <w:rPr>
                <w:color w:val="000000" w:themeColor="text1"/>
                <w:sz w:val="20"/>
                <w:szCs w:val="20"/>
              </w:rPr>
              <w:t>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Dopuszczalne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jest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zastosowanie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immunoterapii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powodu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RJG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przed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albo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chemioterapii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pierwszej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linii.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terapii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mogą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być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kwalifikowani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pacjenci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leczeni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wcześniej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irynotekanem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lub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afliberceptem.</w:t>
            </w:r>
          </w:p>
          <w:p w14:paraId="1DF43F91" w14:textId="75EB17F6" w:rsidR="00037739" w:rsidRPr="00903404" w:rsidRDefault="00037739" w:rsidP="00FD6868">
            <w:pPr>
              <w:numPr>
                <w:ilvl w:val="3"/>
                <w:numId w:val="63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rFonts w:eastAsiaTheme="minorHAnsi"/>
                <w:b/>
                <w:bCs/>
                <w:i/>
                <w:iCs/>
                <w:sz w:val="20"/>
                <w:szCs w:val="20"/>
                <w:lang w:eastAsia="en-US"/>
              </w:rPr>
              <w:t>niwolumab</w:t>
            </w:r>
            <w:r w:rsidR="00F64F73" w:rsidRPr="00903404">
              <w:rPr>
                <w:rFonts w:eastAsiaTheme="minorHAnsi"/>
                <w:b/>
                <w:bCs/>
                <w:i/>
                <w:i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skojarzeniu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i/>
                <w:iCs/>
                <w:sz w:val="20"/>
                <w:szCs w:val="20"/>
                <w:lang w:eastAsia="en-US"/>
              </w:rPr>
              <w:t>ipilimumabem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drugiej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albo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kolejnych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liniach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leczenia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systemowego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pacjentów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potwierdzoną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niestabilnością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mikrosatelitarną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wysokiego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stopnia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(ang.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MSI-H)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lub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zaburzeniami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mechanizmów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naprawy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uszkodzeń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typie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niedopasowania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(ang.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dMMR),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których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stwierdzono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</w:t>
            </w:r>
            <w:r w:rsidRPr="00903404">
              <w:rPr>
                <w:color w:val="000000"/>
                <w:sz w:val="20"/>
                <w:szCs w:val="20"/>
              </w:rPr>
              <w:t>ieskuteczność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lub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nieakceptowalną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toksyczność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wcześniejszej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chemioterapii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co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najmniej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dwulekowej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zawierającej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/>
                <w:sz w:val="20"/>
                <w:szCs w:val="20"/>
              </w:rPr>
              <w:t>fluoropirymidynę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w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skojarzeniu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z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/>
                <w:sz w:val="20"/>
                <w:szCs w:val="20"/>
              </w:rPr>
              <w:t>oksaliplatyną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color w:val="000000"/>
                <w:sz w:val="20"/>
                <w:szCs w:val="20"/>
              </w:rPr>
              <w:t>lub</w:t>
            </w:r>
            <w:r w:rsidR="00F64F73" w:rsidRPr="00903404">
              <w:rPr>
                <w:color w:val="000000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/>
                <w:sz w:val="20"/>
                <w:szCs w:val="20"/>
              </w:rPr>
              <w:t>irynotekanem</w:t>
            </w:r>
            <w:r w:rsidRPr="00903404">
              <w:rPr>
                <w:color w:val="000000"/>
                <w:sz w:val="20"/>
                <w:szCs w:val="20"/>
              </w:rPr>
              <w:t>.</w:t>
            </w:r>
            <w:r w:rsidR="005463B7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mogą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być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zastosowane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jeśli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pacjent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wcześniej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otrzymał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immunoterapię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powodu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RJG.</w:t>
            </w:r>
          </w:p>
          <w:p w14:paraId="6DDD380F" w14:textId="589D451A" w:rsidR="00037739" w:rsidRPr="00903404" w:rsidRDefault="00037739" w:rsidP="00FD6868">
            <w:pPr>
              <w:numPr>
                <w:ilvl w:val="3"/>
                <w:numId w:val="63"/>
              </w:numPr>
              <w:tabs>
                <w:tab w:val="left" w:pos="324"/>
              </w:tabs>
              <w:spacing w:after="6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triflurydyna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i/>
                <w:iCs/>
                <w:sz w:val="20"/>
                <w:szCs w:val="20"/>
                <w:lang w:eastAsia="en-US"/>
              </w:rPr>
              <w:t>typiracylem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drugiej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albo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kolejnych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liniach</w:t>
            </w:r>
            <w:r w:rsidR="00F64F73"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chemioterapii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po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udokumentowanej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nieskuteczności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wcześniejszej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chemioterapii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opartej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na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fluoropirymidynie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,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oksaliplatynie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i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irynotekanie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,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lekach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anty-VEGF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D21EBB" w:rsidRPr="00903404">
              <w:rPr>
                <w:rFonts w:eastAsiaTheme="minorHAnsi"/>
                <w:sz w:val="20"/>
                <w:szCs w:val="20"/>
                <w:lang w:eastAsia="en-US"/>
              </w:rPr>
              <w:t>lub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anty-EGFR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lub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D21EBB" w:rsidRPr="00903404">
              <w:rPr>
                <w:rFonts w:eastAsiaTheme="minorHAnsi"/>
                <w:sz w:val="20"/>
                <w:szCs w:val="20"/>
                <w:lang w:eastAsia="en-US"/>
              </w:rPr>
              <w:t>w przypadku udokumentowanego klinicznie braku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możliwości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zastosowania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wymienionych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metod.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Dopuszczalne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jest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wcześniejsze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zastosowanie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immunoterapii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powodu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RJG.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Do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terapii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nie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mogą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być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kwalifikowani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pacjenci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leczeni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wcześniej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triflurydną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typiracylem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z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powodu</w:t>
            </w:r>
            <w:r w:rsidR="00F64F73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RJG.</w:t>
            </w:r>
            <w:r w:rsidR="00D21EBB"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 xml:space="preserve"> Triflurydyna</w:t>
            </w:r>
            <w:r w:rsidR="00D21EBB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z </w:t>
            </w:r>
            <w:r w:rsidR="00D21EBB"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typiracylem</w:t>
            </w:r>
            <w:r w:rsidR="00D21EBB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może być zastosowana w monoterapii albo w skojarzeniu z</w:t>
            </w:r>
            <w:r w:rsidR="00D21EBB"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 xml:space="preserve"> bewacyzumabem.</w:t>
            </w:r>
          </w:p>
          <w:p w14:paraId="6E058FFB" w14:textId="1E50D735" w:rsidR="00607D0A" w:rsidRPr="00903404" w:rsidRDefault="00607D0A" w:rsidP="00FD6868">
            <w:pPr>
              <w:numPr>
                <w:ilvl w:val="3"/>
                <w:numId w:val="63"/>
              </w:numPr>
              <w:tabs>
                <w:tab w:val="left" w:pos="324"/>
              </w:tabs>
              <w:spacing w:after="60" w:line="276" w:lineRule="auto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frukwi</w:t>
            </w:r>
            <w:r w:rsidR="0021572A"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n</w:t>
            </w: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tynib </w:t>
            </w:r>
            <w:r w:rsidRPr="00903404">
              <w:rPr>
                <w:color w:val="000000" w:themeColor="text1"/>
                <w:sz w:val="20"/>
                <w:szCs w:val="20"/>
              </w:rPr>
              <w:t xml:space="preserve">w monoterapii w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trzeciej albo kolejnych liniach chemioterapii</w:t>
            </w:r>
            <w:r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po udokumentowanej nieskuteczności wcześniejszej chemioterapii opartej na </w:t>
            </w:r>
            <w:r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fluoropirymidynie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, </w:t>
            </w:r>
            <w:r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oksaliplatynie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i </w:t>
            </w:r>
            <w:r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irynotekanie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, lekach anty-VEGF, lekach anty-EGFR oraz </w:t>
            </w:r>
            <w:r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 xml:space="preserve">triflurydynie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z </w:t>
            </w:r>
            <w:r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typiracylem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AF53AA">
              <w:rPr>
                <w:rFonts w:eastAsiaTheme="minorHAnsi"/>
                <w:sz w:val="20"/>
                <w:szCs w:val="20"/>
                <w:lang w:eastAsia="en-US"/>
              </w:rPr>
              <w:t>(</w:t>
            </w:r>
            <w:r w:rsidR="00AF53AA" w:rsidRPr="00AF53AA">
              <w:rPr>
                <w:rFonts w:eastAsiaTheme="minorHAnsi"/>
                <w:sz w:val="20"/>
                <w:szCs w:val="20"/>
                <w:lang w:eastAsia="en-US"/>
              </w:rPr>
              <w:t xml:space="preserve">w monoterapii albo w </w:t>
            </w:r>
            <w:r w:rsidR="00AF53AA" w:rsidRPr="00AF53AA">
              <w:rPr>
                <w:rFonts w:eastAsiaTheme="minorHAnsi"/>
                <w:sz w:val="20"/>
                <w:szCs w:val="20"/>
                <w:lang w:eastAsia="en-US"/>
              </w:rPr>
              <w:lastRenderedPageBreak/>
              <w:t xml:space="preserve">skojarzeniu z </w:t>
            </w:r>
            <w:r w:rsidR="00AF53AA" w:rsidRPr="00AF53AA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>bewacyzumabem</w:t>
            </w:r>
            <w:r w:rsidR="00AF53AA">
              <w:rPr>
                <w:rFonts w:eastAsiaTheme="minorHAnsi"/>
                <w:sz w:val="20"/>
                <w:szCs w:val="20"/>
                <w:lang w:eastAsia="en-US"/>
              </w:rPr>
              <w:t xml:space="preserve">) </w:t>
            </w:r>
            <w:r w:rsidR="00E77C0F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lub </w:t>
            </w:r>
            <w:r w:rsidR="00E77C0F" w:rsidRPr="00903404">
              <w:rPr>
                <w:rFonts w:eastAsiaTheme="minorHAnsi"/>
                <w:i/>
                <w:iCs/>
                <w:sz w:val="20"/>
                <w:szCs w:val="20"/>
                <w:lang w:eastAsia="en-US"/>
              </w:rPr>
              <w:t xml:space="preserve">regorafenibie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lub </w:t>
            </w:r>
            <w:r w:rsidR="00E77C0F" w:rsidRPr="00903404">
              <w:rPr>
                <w:rFonts w:eastAsiaTheme="minorHAnsi"/>
                <w:sz w:val="20"/>
                <w:szCs w:val="20"/>
                <w:lang w:eastAsia="en-US"/>
              </w:rPr>
              <w:t xml:space="preserve">w przypadku </w:t>
            </w:r>
            <w:r w:rsidRPr="00903404">
              <w:rPr>
                <w:rFonts w:eastAsiaTheme="minorHAnsi"/>
                <w:sz w:val="20"/>
                <w:szCs w:val="20"/>
                <w:lang w:eastAsia="en-US"/>
              </w:rPr>
              <w:t>braku możliwości zastosowania wymienionych metod. Dopuszczalne jest wcześniejsze zastosowanie immunoterapii z powodu RJG.</w:t>
            </w:r>
          </w:p>
          <w:p w14:paraId="370F5A3B" w14:textId="77777777" w:rsidR="00037739" w:rsidRPr="00903404" w:rsidRDefault="00037739" w:rsidP="00FD6868">
            <w:pPr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630557BB" w14:textId="7285A6DA" w:rsidR="00037739" w:rsidRPr="00903404" w:rsidRDefault="00037739" w:rsidP="00FD6868">
            <w:pPr>
              <w:pStyle w:val="Akapitzlist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color w:val="000000" w:themeColor="text1"/>
                <w:sz w:val="20"/>
                <w:szCs w:val="20"/>
              </w:rPr>
              <w:t>Kryteria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kwalifikacji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leczenia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zaawansowanego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raka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jelita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grubego</w:t>
            </w:r>
          </w:p>
          <w:p w14:paraId="5F039A04" w14:textId="472C7963" w:rsidR="00037739" w:rsidRPr="00903404" w:rsidRDefault="00037739" w:rsidP="00FD6868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Muszą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zostać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spełnione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łącznie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kryteria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ogólne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(1.1.)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oraz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kryteria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szczegółowe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(1.2.)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dla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poszczególnych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substancji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czynnych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(jeśli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dotyczy).</w:t>
            </w:r>
          </w:p>
          <w:p w14:paraId="283879AD" w14:textId="7346308B" w:rsidR="00037739" w:rsidRPr="00903404" w:rsidRDefault="00037739" w:rsidP="00FD6868">
            <w:pPr>
              <w:numPr>
                <w:ilvl w:val="1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Ogólne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kryteria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kwalifikacji</w:t>
            </w:r>
          </w:p>
          <w:p w14:paraId="19A09CBE" w14:textId="662197B1" w:rsidR="00037739" w:rsidRPr="00903404" w:rsidRDefault="00037739" w:rsidP="00FD6868">
            <w:pPr>
              <w:numPr>
                <w:ilvl w:val="3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wiek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18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lat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powyżej;</w:t>
            </w:r>
          </w:p>
          <w:p w14:paraId="41A9F605" w14:textId="61D90FDD" w:rsidR="00037739" w:rsidRPr="00903404" w:rsidRDefault="00037739" w:rsidP="00FD6868">
            <w:pPr>
              <w:numPr>
                <w:ilvl w:val="3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histologicznie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potwierdzony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rak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jelita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grubego;</w:t>
            </w:r>
          </w:p>
          <w:p w14:paraId="30500538" w14:textId="39DA4708" w:rsidR="00037739" w:rsidRPr="00903404" w:rsidRDefault="00037739" w:rsidP="00FD6868">
            <w:pPr>
              <w:numPr>
                <w:ilvl w:val="3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uogólnienie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nowotworu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(IV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stopień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zaawansowania);</w:t>
            </w:r>
          </w:p>
          <w:p w14:paraId="08E5024C" w14:textId="7C408C3A" w:rsidR="00037739" w:rsidRPr="00903404" w:rsidRDefault="00037739" w:rsidP="00FD6868">
            <w:pPr>
              <w:numPr>
                <w:ilvl w:val="3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niemożliwe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radykalne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leczenie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miejscowe;</w:t>
            </w:r>
          </w:p>
          <w:p w14:paraId="5495E5FD" w14:textId="6C0D741F" w:rsidR="00037739" w:rsidRPr="00903404" w:rsidRDefault="00037739" w:rsidP="00FD6868">
            <w:pPr>
              <w:numPr>
                <w:ilvl w:val="3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możliwa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ocena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odpowiedzi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leczenie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zmian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nowotworowych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według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aktualnej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klasyfikacji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RECIST;</w:t>
            </w:r>
          </w:p>
          <w:p w14:paraId="15A50696" w14:textId="22BD3830" w:rsidR="00037739" w:rsidRPr="00903404" w:rsidRDefault="00037739" w:rsidP="00FD6868">
            <w:pPr>
              <w:numPr>
                <w:ilvl w:val="3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stan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sprawności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0-1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według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skali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ECOG</w:t>
            </w:r>
            <w:r w:rsidR="00FD6868" w:rsidRPr="00903404">
              <w:rPr>
                <w:color w:val="000000" w:themeColor="text1"/>
                <w:sz w:val="20"/>
                <w:szCs w:val="20"/>
              </w:rPr>
              <w:t>;</w:t>
            </w:r>
          </w:p>
          <w:p w14:paraId="76FA5CA4" w14:textId="4C4FF8D8" w:rsidR="00037739" w:rsidRPr="00903404" w:rsidRDefault="00037739" w:rsidP="00FD6868">
            <w:pPr>
              <w:numPr>
                <w:ilvl w:val="3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bCs/>
                <w:sz w:val="20"/>
                <w:szCs w:val="20"/>
              </w:rPr>
              <w:t>adekwatna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wydolność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narządowa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określona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na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podstawie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wyników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badań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laboratoryjnych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umożliwiająca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opinii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lekarza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prowadzącego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bezpieczne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rozpoczęcie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terapii;</w:t>
            </w:r>
          </w:p>
          <w:p w14:paraId="7DC0E999" w14:textId="420924BE" w:rsidR="00037739" w:rsidRPr="00903404" w:rsidRDefault="00037739" w:rsidP="00FD6868">
            <w:pPr>
              <w:numPr>
                <w:ilvl w:val="3"/>
                <w:numId w:val="64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brak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przeciwskazań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stosowania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każdego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leków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zgodnie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aktualną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Charakterystyką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Produktu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Leczniczego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(ChPL);</w:t>
            </w:r>
          </w:p>
          <w:p w14:paraId="6CCE93AE" w14:textId="5D9BC83A" w:rsidR="00037739" w:rsidRPr="00903404" w:rsidRDefault="00037739" w:rsidP="00FD6868">
            <w:pPr>
              <w:numPr>
                <w:ilvl w:val="3"/>
                <w:numId w:val="64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nieobecność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istotnych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schorzeń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współistniejących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lub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stanów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klinicznych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stanowiących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przeciwskazanie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terapii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stwierdzonych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lekarza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prowadzącego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oparciu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aktualną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ChPL;</w:t>
            </w:r>
          </w:p>
          <w:p w14:paraId="4C047937" w14:textId="401C12D3" w:rsidR="00037739" w:rsidRPr="00903404" w:rsidRDefault="00037739" w:rsidP="00FD6868">
            <w:pPr>
              <w:pStyle w:val="Akapitzlist"/>
              <w:numPr>
                <w:ilvl w:val="3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nieobecność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aktywnych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przerzutów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ośrodkowym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układzie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nerwowym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(dopuszczalne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wcześniejsze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wycięcie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przerzutów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lastRenderedPageBreak/>
              <w:t>lub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stereotaktyczna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radioterapia,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ile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leczeniu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utrzymuje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się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stan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bezobjawowy);</w:t>
            </w:r>
          </w:p>
          <w:p w14:paraId="62AB0852" w14:textId="7A6ABC7A" w:rsidR="00037739" w:rsidRPr="00903404" w:rsidRDefault="00037739" w:rsidP="00FD6868">
            <w:pPr>
              <w:pStyle w:val="Akapitzlist"/>
              <w:numPr>
                <w:ilvl w:val="3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przypadku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współistnienia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innych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aktywnych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nowotworów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kwalifikacja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leczenia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musi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uwzględniać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rokowanie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związane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współistniejącym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nowotworem;</w:t>
            </w:r>
          </w:p>
          <w:p w14:paraId="566B2DB8" w14:textId="5FB5E56C" w:rsidR="00037739" w:rsidRPr="00903404" w:rsidRDefault="00037739" w:rsidP="00FD6868">
            <w:pPr>
              <w:numPr>
                <w:ilvl w:val="3"/>
                <w:numId w:val="64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zgoda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pacjenta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prowadzenie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antykoncepcji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zgodnie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aktualną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ChPL;</w:t>
            </w:r>
          </w:p>
          <w:p w14:paraId="68C5D651" w14:textId="7839630E" w:rsidR="00037739" w:rsidRPr="00903404" w:rsidRDefault="00037739" w:rsidP="00FD6868">
            <w:pPr>
              <w:numPr>
                <w:ilvl w:val="3"/>
                <w:numId w:val="64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wykluczenie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ciąży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okresu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karmienia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piersią.</w:t>
            </w:r>
          </w:p>
          <w:p w14:paraId="08BBBF8A" w14:textId="5EFA48E6" w:rsidR="00037739" w:rsidRPr="00903404" w:rsidRDefault="00037739" w:rsidP="00FD6868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Ponadto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programu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lekowego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kwalifikowani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są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również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pacjenci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wymagający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kontynuacji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leczenia,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którzy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byli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leczeni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substancjami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czynnymi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finansowanymi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programie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lekowym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ramach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innego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sposobu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finansowania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terapii,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wyjątkiem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trwających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badań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klinicznych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tych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leków,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pod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warunkiem,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że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chwili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rozpoczęcia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leczenia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spełniali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kryteria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kwalifikacji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programu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lekowego.</w:t>
            </w:r>
          </w:p>
          <w:p w14:paraId="25AFCA01" w14:textId="77777777" w:rsidR="00037739" w:rsidRPr="00903404" w:rsidRDefault="00037739" w:rsidP="00FD6868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3E55D08" w14:textId="5BD0D03A" w:rsidR="00037739" w:rsidRPr="00903404" w:rsidRDefault="00037739" w:rsidP="00FD6868">
            <w:pPr>
              <w:numPr>
                <w:ilvl w:val="1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Szczegółowe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kryteria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kwalifikacji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terapii</w:t>
            </w:r>
          </w:p>
          <w:p w14:paraId="7BAB289F" w14:textId="37704D00" w:rsidR="00037739" w:rsidRPr="00903404" w:rsidRDefault="00037739" w:rsidP="00FD6868">
            <w:pPr>
              <w:numPr>
                <w:ilvl w:val="2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Pr="00903404">
              <w:rPr>
                <w:color w:val="000000" w:themeColor="text1"/>
                <w:sz w:val="20"/>
                <w:szCs w:val="20"/>
              </w:rPr>
              <w:t>,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ipilimumabem</w:t>
            </w:r>
          </w:p>
          <w:p w14:paraId="70425AB0" w14:textId="3B02DA10" w:rsidR="00037739" w:rsidRPr="00903404" w:rsidRDefault="00037739" w:rsidP="00FD6868">
            <w:pPr>
              <w:numPr>
                <w:ilvl w:val="3"/>
                <w:numId w:val="64"/>
              </w:numPr>
              <w:suppressAutoHyphens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903404">
              <w:rPr>
                <w:bCs/>
                <w:sz w:val="20"/>
                <w:szCs w:val="20"/>
              </w:rPr>
              <w:t>potwierdzenie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niestabilności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mikrosatelitarnej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wysokiego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stopnia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(ang.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MSI-H)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lub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zaburzeń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mechanizmów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naprawy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uszkodzeń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DNA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o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typie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niedopasowania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(ang.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dMMR);</w:t>
            </w:r>
          </w:p>
          <w:p w14:paraId="3C9E06C0" w14:textId="0067C3D9" w:rsidR="00037739" w:rsidRPr="00903404" w:rsidRDefault="00037739" w:rsidP="00FD6868">
            <w:pPr>
              <w:numPr>
                <w:ilvl w:val="3"/>
                <w:numId w:val="64"/>
              </w:numPr>
              <w:suppressAutoHyphens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903404">
              <w:rPr>
                <w:bCs/>
                <w:sz w:val="20"/>
                <w:szCs w:val="20"/>
              </w:rPr>
              <w:t>brak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leczenia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glikokortykosteroidami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dawce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większej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niż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ekwiwalent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10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mg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prednizonu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dziennie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ciągu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ostatniego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miesiąca;</w:t>
            </w:r>
          </w:p>
          <w:p w14:paraId="1575D47C" w14:textId="6DB51473" w:rsidR="00037739" w:rsidRPr="00903404" w:rsidRDefault="00037739" w:rsidP="00FD6868">
            <w:pPr>
              <w:numPr>
                <w:ilvl w:val="3"/>
                <w:numId w:val="64"/>
              </w:numPr>
              <w:suppressAutoHyphens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903404">
              <w:rPr>
                <w:bCs/>
                <w:sz w:val="20"/>
                <w:szCs w:val="20"/>
              </w:rPr>
              <w:t>nieobecność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aktywnej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choroby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autoimmunologicznej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wymagającej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aktywnego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leczenia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immunosupresyjnego.</w:t>
            </w:r>
          </w:p>
          <w:p w14:paraId="64655FA1" w14:textId="77777777" w:rsidR="00037739" w:rsidRPr="00903404" w:rsidRDefault="00037739" w:rsidP="00FD6868">
            <w:pPr>
              <w:suppressAutoHyphens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</w:p>
          <w:p w14:paraId="20128160" w14:textId="5F83CEE5" w:rsidR="00037739" w:rsidRPr="00903404" w:rsidRDefault="00037739" w:rsidP="00FD6868">
            <w:pPr>
              <w:pStyle w:val="Akapitzlist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color w:val="000000" w:themeColor="text1"/>
                <w:sz w:val="20"/>
                <w:szCs w:val="20"/>
              </w:rPr>
              <w:t>Określenie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czasu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leczenia</w:t>
            </w:r>
          </w:p>
          <w:p w14:paraId="00FA0A35" w14:textId="49C715CE" w:rsidR="00037739" w:rsidRPr="00903404" w:rsidRDefault="00037739" w:rsidP="00FD6868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lastRenderedPageBreak/>
              <w:t>Leczenie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trwa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czasu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podjęcia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przez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lekarza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prowadzącego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decyzji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wyłączeniu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świadczeniobiorcy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programu,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zgodnie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kryteriami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wyłączenia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programu.</w:t>
            </w:r>
          </w:p>
          <w:p w14:paraId="13664DED" w14:textId="77777777" w:rsidR="00037739" w:rsidRPr="00903404" w:rsidRDefault="00037739" w:rsidP="00FD686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56C83931" w14:textId="1C8DCE2D" w:rsidR="00037739" w:rsidRPr="00903404" w:rsidRDefault="00037739" w:rsidP="00FD6868">
            <w:pPr>
              <w:pStyle w:val="Akapitzlist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color w:val="000000" w:themeColor="text1"/>
                <w:sz w:val="20"/>
                <w:szCs w:val="20"/>
              </w:rPr>
              <w:t>Kryteria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wyłączenia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programu</w:t>
            </w:r>
          </w:p>
          <w:p w14:paraId="5A46E5B4" w14:textId="2A1301AD" w:rsidR="00037739" w:rsidRPr="00903404" w:rsidRDefault="00037739" w:rsidP="00FD6868">
            <w:pPr>
              <w:numPr>
                <w:ilvl w:val="3"/>
                <w:numId w:val="64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progresja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choroby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trakcie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leczenia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oceniona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podstawie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aktualnych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kryteriów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klasyfikacji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RECIST.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przypadku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terapii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albo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Pr="00903404">
              <w:rPr>
                <w:color w:val="000000" w:themeColor="text1"/>
                <w:sz w:val="20"/>
                <w:szCs w:val="20"/>
              </w:rPr>
              <w:t>,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sytuacji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wątpliwej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klinicznie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możliwe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jest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kontynuowanie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leczenia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aż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potwierdzenia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progresji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następnym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badaniu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obrazowym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wykonanym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ciągu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4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8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tyg.</w:t>
            </w:r>
            <w:r w:rsidR="00FD6868" w:rsidRPr="00903404">
              <w:rPr>
                <w:color w:val="000000" w:themeColor="text1"/>
                <w:sz w:val="20"/>
                <w:szCs w:val="20"/>
              </w:rPr>
              <w:t>;</w:t>
            </w:r>
          </w:p>
          <w:p w14:paraId="6CE704E7" w14:textId="539E7C2A" w:rsidR="00037739" w:rsidRPr="00903404" w:rsidRDefault="00037739" w:rsidP="00FD6868">
            <w:pPr>
              <w:pStyle w:val="Akapitzlist"/>
              <w:numPr>
                <w:ilvl w:val="3"/>
                <w:numId w:val="64"/>
              </w:numPr>
              <w:suppressAutoHyphens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903404">
              <w:rPr>
                <w:bCs/>
                <w:sz w:val="20"/>
                <w:szCs w:val="20"/>
              </w:rPr>
              <w:t>pogorszenie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jakości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życia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o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istotnym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znaczeniu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według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oceny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lekarza;</w:t>
            </w:r>
          </w:p>
          <w:p w14:paraId="75B3FBF0" w14:textId="77EDD9A7" w:rsidR="00037739" w:rsidRPr="00903404" w:rsidRDefault="00037739" w:rsidP="00FD6868">
            <w:pPr>
              <w:pStyle w:val="Akapitzlist"/>
              <w:numPr>
                <w:ilvl w:val="3"/>
                <w:numId w:val="64"/>
              </w:numPr>
              <w:suppressAutoHyphens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903404">
              <w:rPr>
                <w:bCs/>
                <w:sz w:val="20"/>
                <w:szCs w:val="20"/>
              </w:rPr>
              <w:t>wystąpienie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objawów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nadwrażliwości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na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którąkolwiek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substancję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czynną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lub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substancję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pomocniczą;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50511A86" w14:textId="6EF8D5B1" w:rsidR="00037739" w:rsidRPr="00903404" w:rsidRDefault="00037739" w:rsidP="00FD6868">
            <w:pPr>
              <w:pStyle w:val="Akapitzlist"/>
              <w:numPr>
                <w:ilvl w:val="3"/>
                <w:numId w:val="64"/>
              </w:numPr>
              <w:suppressAutoHyphens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903404">
              <w:rPr>
                <w:bCs/>
                <w:sz w:val="20"/>
                <w:szCs w:val="20"/>
              </w:rPr>
              <w:t>obniżenie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sprawności</w:t>
            </w:r>
            <w:r w:rsidR="00FD6868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o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1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lub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2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stopnie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zależności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od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wartości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przy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kwalifikacji,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ale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maksymalnie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do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wartości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2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według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kryteriów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ECOG</w:t>
            </w:r>
            <w:r w:rsidR="00051BCA" w:rsidRPr="00903404">
              <w:rPr>
                <w:bCs/>
                <w:sz w:val="20"/>
                <w:szCs w:val="20"/>
              </w:rPr>
              <w:t>;</w:t>
            </w:r>
          </w:p>
          <w:p w14:paraId="2E9B47E1" w14:textId="0809C823" w:rsidR="00037739" w:rsidRPr="00903404" w:rsidRDefault="00037739" w:rsidP="00FD6868">
            <w:pPr>
              <w:pStyle w:val="Akapitzlist"/>
              <w:numPr>
                <w:ilvl w:val="3"/>
                <w:numId w:val="64"/>
              </w:numPr>
              <w:suppressAutoHyphens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903404">
              <w:rPr>
                <w:rFonts w:eastAsia="SimSun"/>
                <w:sz w:val="20"/>
                <w:szCs w:val="20"/>
                <w:lang w:eastAsia="zh-CN"/>
              </w:rPr>
              <w:t>wystąpienie</w:t>
            </w:r>
            <w:r w:rsidR="00F64F73" w:rsidRPr="0090340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903404">
              <w:rPr>
                <w:rFonts w:eastAsia="SimSun"/>
                <w:sz w:val="20"/>
                <w:szCs w:val="20"/>
                <w:lang w:eastAsia="zh-CN"/>
              </w:rPr>
              <w:t>nieakceptowalnej</w:t>
            </w:r>
            <w:r w:rsidR="00F64F73" w:rsidRPr="0090340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903404">
              <w:rPr>
                <w:rFonts w:eastAsia="SimSun"/>
                <w:sz w:val="20"/>
                <w:szCs w:val="20"/>
                <w:lang w:eastAsia="zh-CN"/>
              </w:rPr>
              <w:t>lub</w:t>
            </w:r>
            <w:r w:rsidR="00F64F73" w:rsidRPr="0090340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903404">
              <w:rPr>
                <w:rFonts w:eastAsia="SimSun"/>
                <w:sz w:val="20"/>
                <w:szCs w:val="20"/>
                <w:lang w:eastAsia="zh-CN"/>
              </w:rPr>
              <w:t>zagrażającej</w:t>
            </w:r>
            <w:r w:rsidR="00F64F73" w:rsidRPr="0090340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903404">
              <w:rPr>
                <w:rFonts w:eastAsia="SimSun"/>
                <w:sz w:val="20"/>
                <w:szCs w:val="20"/>
                <w:lang w:eastAsia="zh-CN"/>
              </w:rPr>
              <w:t>życiu</w:t>
            </w:r>
            <w:r w:rsidR="00F64F73" w:rsidRPr="0090340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903404">
              <w:rPr>
                <w:rFonts w:eastAsia="SimSun"/>
                <w:sz w:val="20"/>
                <w:szCs w:val="20"/>
                <w:lang w:eastAsia="zh-CN"/>
              </w:rPr>
              <w:t>toksyczności,</w:t>
            </w:r>
            <w:r w:rsidR="00F64F73" w:rsidRPr="0090340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903404">
              <w:rPr>
                <w:rFonts w:eastAsia="SimSun"/>
                <w:sz w:val="20"/>
                <w:szCs w:val="20"/>
                <w:lang w:eastAsia="zh-CN"/>
              </w:rPr>
              <w:t>pomimo</w:t>
            </w:r>
            <w:r w:rsidR="00F64F73" w:rsidRPr="0090340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903404">
              <w:rPr>
                <w:rFonts w:eastAsia="SimSun"/>
                <w:sz w:val="20"/>
                <w:szCs w:val="20"/>
                <w:lang w:eastAsia="zh-CN"/>
              </w:rPr>
              <w:t>zastosowania</w:t>
            </w:r>
            <w:r w:rsidR="00F64F73" w:rsidRPr="0090340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903404">
              <w:rPr>
                <w:rFonts w:eastAsia="SimSun"/>
                <w:sz w:val="20"/>
                <w:szCs w:val="20"/>
                <w:lang w:eastAsia="zh-CN"/>
              </w:rPr>
              <w:t>adekwatnego</w:t>
            </w:r>
            <w:r w:rsidR="00F64F73" w:rsidRPr="0090340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903404">
              <w:rPr>
                <w:rFonts w:eastAsia="SimSun"/>
                <w:sz w:val="20"/>
                <w:szCs w:val="20"/>
                <w:lang w:eastAsia="zh-CN"/>
              </w:rPr>
              <w:t>postępowania;</w:t>
            </w:r>
          </w:p>
          <w:p w14:paraId="16214AF9" w14:textId="68D2742C" w:rsidR="00037739" w:rsidRPr="00903404" w:rsidRDefault="00037739" w:rsidP="00FD6868">
            <w:pPr>
              <w:pStyle w:val="Akapitzlist"/>
              <w:numPr>
                <w:ilvl w:val="3"/>
                <w:numId w:val="64"/>
              </w:numPr>
              <w:suppressAutoHyphens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903404">
              <w:rPr>
                <w:bCs/>
                <w:sz w:val="20"/>
                <w:szCs w:val="20"/>
              </w:rPr>
              <w:t>wystąpienie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chorób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lub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stanów,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które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w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opinii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lekarza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prowadzącego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uniemożliwiają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dalsze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prowadzenie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leczenia;</w:t>
            </w:r>
          </w:p>
          <w:p w14:paraId="225017F1" w14:textId="77777777" w:rsidR="000B5054" w:rsidRPr="00903404" w:rsidRDefault="00037739" w:rsidP="00FD6868">
            <w:pPr>
              <w:pStyle w:val="Akapitzlist"/>
              <w:numPr>
                <w:ilvl w:val="3"/>
                <w:numId w:val="64"/>
              </w:numPr>
              <w:suppressAutoHyphens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okres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ciąży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lub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karmienia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piersią</w:t>
            </w:r>
            <w:r w:rsidRPr="00903404">
              <w:rPr>
                <w:bCs/>
                <w:sz w:val="20"/>
                <w:szCs w:val="20"/>
              </w:rPr>
              <w:t>;</w:t>
            </w:r>
          </w:p>
          <w:p w14:paraId="2C7481D8" w14:textId="0CDA0074" w:rsidR="00B669EF" w:rsidRPr="00903404" w:rsidRDefault="00037739" w:rsidP="00FD6868">
            <w:pPr>
              <w:pStyle w:val="Akapitzlist"/>
              <w:numPr>
                <w:ilvl w:val="3"/>
                <w:numId w:val="64"/>
              </w:numPr>
              <w:suppressAutoHyphens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brak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współpracy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lub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nieprzestrzeganie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zaleceń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lekarskich,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tym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zwłaszcza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dotyczących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okresowych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badań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kontrolnych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oceniających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skuteczność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bezpieczeństwo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leczenia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strony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świadczeniobiorcy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lub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jego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prawnych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opiekunów</w:t>
            </w:r>
            <w:r w:rsidR="004A3401" w:rsidRPr="00903404">
              <w:rPr>
                <w:sz w:val="20"/>
                <w:szCs w:val="20"/>
              </w:rPr>
              <w:t>.</w:t>
            </w:r>
          </w:p>
          <w:p w14:paraId="7319ED55" w14:textId="66665B15" w:rsidR="004A3401" w:rsidRPr="00903404" w:rsidRDefault="004A3401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224B5CE0" w14:textId="77777777" w:rsidR="00037739" w:rsidRPr="00903404" w:rsidRDefault="00037739" w:rsidP="00037739">
            <w:pPr>
              <w:pStyle w:val="Akapitzlist"/>
              <w:numPr>
                <w:ilvl w:val="0"/>
                <w:numId w:val="65"/>
              </w:numPr>
              <w:spacing w:before="120"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color w:val="000000" w:themeColor="text1"/>
                <w:sz w:val="20"/>
                <w:szCs w:val="20"/>
              </w:rPr>
              <w:lastRenderedPageBreak/>
              <w:t>Dawkowanie</w:t>
            </w:r>
          </w:p>
          <w:p w14:paraId="33C7CB68" w14:textId="77777777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12D32F39" w14:textId="77777777" w:rsidR="00037739" w:rsidRPr="00903404" w:rsidRDefault="00037739" w:rsidP="00037739">
            <w:pPr>
              <w:pStyle w:val="Akapitzlist"/>
              <w:numPr>
                <w:ilvl w:val="1"/>
                <w:numId w:val="65"/>
              </w:numPr>
              <w:spacing w:after="60" w:line="276" w:lineRule="auto"/>
              <w:contextualSpacing w:val="0"/>
              <w:jc w:val="both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pembrolizumab</w:t>
            </w:r>
          </w:p>
          <w:p w14:paraId="4AC75A66" w14:textId="5331F83B" w:rsidR="00037739" w:rsidRPr="00903404" w:rsidRDefault="00037739" w:rsidP="00037739">
            <w:pPr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Zalecana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dawka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pembrolizumabu</w:t>
            </w:r>
            <w:r w:rsidR="00F64F73"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wynosi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sz w:val="20"/>
                <w:szCs w:val="20"/>
              </w:rPr>
              <w:t>200</w:t>
            </w:r>
            <w:r w:rsidR="00F64F73" w:rsidRPr="00903404">
              <w:rPr>
                <w:b/>
                <w:sz w:val="20"/>
                <w:szCs w:val="20"/>
              </w:rPr>
              <w:t xml:space="preserve"> </w:t>
            </w:r>
            <w:r w:rsidRPr="00903404">
              <w:rPr>
                <w:b/>
                <w:sz w:val="20"/>
                <w:szCs w:val="20"/>
              </w:rPr>
              <w:t>mg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co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3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tygodnie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lub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/>
                <w:sz w:val="20"/>
                <w:szCs w:val="20"/>
              </w:rPr>
              <w:t>400</w:t>
            </w:r>
            <w:r w:rsidR="00F64F73" w:rsidRPr="00903404">
              <w:rPr>
                <w:b/>
                <w:sz w:val="20"/>
                <w:szCs w:val="20"/>
              </w:rPr>
              <w:t xml:space="preserve"> </w:t>
            </w:r>
            <w:r w:rsidRPr="00903404">
              <w:rPr>
                <w:b/>
                <w:sz w:val="20"/>
                <w:szCs w:val="20"/>
              </w:rPr>
              <w:t>mg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co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6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tygodni.</w:t>
            </w:r>
          </w:p>
          <w:p w14:paraId="5CE3D9D6" w14:textId="2A753E55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Jeżeli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przerwano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stosowanie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pembrolizumabu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np.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powodu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działań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niepożądanych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maksymalny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czas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opóźnienia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podania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kolejnej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dawki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może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być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dłuższy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niż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12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tygodni.</w:t>
            </w:r>
          </w:p>
          <w:p w14:paraId="2C28DE54" w14:textId="77777777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6E61276" w14:textId="77777777" w:rsidR="00037739" w:rsidRPr="00903404" w:rsidRDefault="00037739" w:rsidP="00037739">
            <w:pPr>
              <w:pStyle w:val="Akapitzlist"/>
              <w:numPr>
                <w:ilvl w:val="1"/>
                <w:numId w:val="65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aflibercept</w:t>
            </w:r>
          </w:p>
          <w:p w14:paraId="335EF975" w14:textId="1EFC5825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Zalecana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dawka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afliberceptu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wynosi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mg/kg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masy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ciała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podawana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wyłącznie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chemioterapią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według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schematu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FOLFIRI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–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jeden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cykl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leczenia.</w:t>
            </w:r>
          </w:p>
          <w:p w14:paraId="5D94C702" w14:textId="02F32B10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Cykl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leczenia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powtarza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się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dwa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tygodnie.</w:t>
            </w:r>
          </w:p>
          <w:p w14:paraId="2FA378D6" w14:textId="13CB6DE1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Jeżeli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przerwano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stosowanie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afliberceptu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np.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powodu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działań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niepożądanych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maksymalny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czas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opóźnienia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podania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kolejnej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dawki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może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być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dłuższy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niż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8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tygodni.</w:t>
            </w:r>
          </w:p>
          <w:p w14:paraId="2D5F6CCE" w14:textId="77777777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0DDE41E" w14:textId="40369786" w:rsidR="00037739" w:rsidRPr="00903404" w:rsidRDefault="00037739" w:rsidP="00037739">
            <w:pPr>
              <w:pStyle w:val="Akapitzlist"/>
              <w:numPr>
                <w:ilvl w:val="1"/>
                <w:numId w:val="65"/>
              </w:numPr>
              <w:spacing w:after="60" w:line="276" w:lineRule="auto"/>
              <w:contextualSpacing w:val="0"/>
              <w:jc w:val="both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lastRenderedPageBreak/>
              <w:t>niwolumab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ipilimumabem</w:t>
            </w:r>
          </w:p>
          <w:p w14:paraId="1B851F1A" w14:textId="76BDD5CE" w:rsidR="00037739" w:rsidRPr="00903404" w:rsidRDefault="00037739" w:rsidP="00037739">
            <w:pPr>
              <w:shd w:val="clear" w:color="auto" w:fill="FFFFFF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Leczenie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składa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się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fazy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indukującej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oraz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fazy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podtrzymującej.</w:t>
            </w:r>
          </w:p>
          <w:p w14:paraId="5D06F7DE" w14:textId="495F9252" w:rsidR="00037739" w:rsidRPr="00903404" w:rsidRDefault="00037739" w:rsidP="00037739">
            <w:pPr>
              <w:pStyle w:val="Akapitzlist"/>
              <w:numPr>
                <w:ilvl w:val="3"/>
                <w:numId w:val="65"/>
              </w:numPr>
              <w:shd w:val="clear" w:color="auto" w:fill="FFFFFF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fazie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indukującej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(leczenie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skojarzone)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zlecane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dawkowanie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wynosi: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niwolumab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dawce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mg/kg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masy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ciała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dawce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mg/kg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masy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ciała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3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tygodnie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przypadku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pierwszych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4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dawek;</w:t>
            </w:r>
          </w:p>
          <w:p w14:paraId="6F5FEE2A" w14:textId="385B2003" w:rsidR="00037739" w:rsidRPr="00903404" w:rsidRDefault="00037739" w:rsidP="00037739">
            <w:pPr>
              <w:pStyle w:val="Akapitzlist"/>
              <w:numPr>
                <w:ilvl w:val="3"/>
                <w:numId w:val="65"/>
              </w:numPr>
              <w:shd w:val="clear" w:color="auto" w:fill="FFFFFF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fazie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podtrzymującej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(monoterapia)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zalecana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dawka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wynosi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240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mg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2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tygodnie.</w:t>
            </w:r>
          </w:p>
          <w:p w14:paraId="4E40BE63" w14:textId="7F71BCFB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fazie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monoterapii,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pierwszą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dawkę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należy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podać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3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tygodnie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ostatniej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dawce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stosowanego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Pr="00903404">
              <w:rPr>
                <w:color w:val="000000" w:themeColor="text1"/>
                <w:sz w:val="20"/>
                <w:szCs w:val="20"/>
              </w:rPr>
              <w:t>.</w:t>
            </w:r>
          </w:p>
          <w:p w14:paraId="24D4C2FE" w14:textId="7F41663B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Jeżeli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przerwano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stosowanie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lub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monoterapii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fazie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podtrzymującej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np.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powodu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działań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niepożądanych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maksymalny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czas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opóźnienia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podania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kolejnej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dawki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może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być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dłuższy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niż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12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tygodni.</w:t>
            </w:r>
          </w:p>
          <w:p w14:paraId="11495AC0" w14:textId="77777777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62B2E5F" w14:textId="611CE320" w:rsidR="00037739" w:rsidRPr="00903404" w:rsidRDefault="00037739" w:rsidP="00037739">
            <w:pPr>
              <w:pStyle w:val="Akapitzlist"/>
              <w:numPr>
                <w:ilvl w:val="1"/>
                <w:numId w:val="65"/>
              </w:numPr>
              <w:spacing w:after="60" w:line="276" w:lineRule="auto"/>
              <w:contextualSpacing w:val="0"/>
              <w:jc w:val="both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triflurydyna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  <w:p w14:paraId="019EDC51" w14:textId="221D34CD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Zalecana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dawka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początkowa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triflurydyny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35</w:t>
            </w:r>
            <w:r w:rsidR="00F64F73" w:rsidRPr="0090340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</w:rPr>
              <w:t>mg/m</w:t>
            </w:r>
            <w:r w:rsidRPr="00903404">
              <w:rPr>
                <w:b/>
                <w:bCs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powierzchni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ciała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podawana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dwa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razy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dobę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od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1.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5.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oraz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od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8.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12.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każdego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28-dniowego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cyklu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leczenia</w:t>
            </w:r>
            <w:r w:rsidR="0046281A" w:rsidRPr="00903404">
              <w:rPr>
                <w:color w:val="000000" w:themeColor="text1"/>
                <w:sz w:val="20"/>
                <w:szCs w:val="20"/>
              </w:rPr>
              <w:t>.</w:t>
            </w:r>
          </w:p>
          <w:p w14:paraId="4676AED2" w14:textId="788B3D77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Dawkowanie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oblicza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się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podstawie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powierzchni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ciała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pacjenta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zgodnie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ChPL.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lastRenderedPageBreak/>
              <w:t>Dawkę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należy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zaokrąglić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najbliższej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wartości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zwiększanej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5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mg.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521D8C40" w14:textId="3D17B23F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należy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przekraczać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80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mg/dawkę.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529A5003" w14:textId="18CDC756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Jeśli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dawki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pominięto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lub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wstrzymano,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pacjent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powinien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przyjąć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pominiętych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dawek.</w:t>
            </w:r>
          </w:p>
          <w:p w14:paraId="04FC57FD" w14:textId="059F71BA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Jeżeli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przerwano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stosowanie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triflurydyny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np.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powodu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działań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niepożądanych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maksymalny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czas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opóźnienia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podania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kolejnego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cyklu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może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być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dłuższy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niż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8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tygodni.</w:t>
            </w:r>
          </w:p>
          <w:p w14:paraId="2C02CF10" w14:textId="01544C5F" w:rsidR="00996246" w:rsidRPr="00903404" w:rsidRDefault="00996246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 xml:space="preserve">Gdy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triflurydyna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typiracylem </w:t>
            </w:r>
            <w:r w:rsidRPr="00903404">
              <w:rPr>
                <w:color w:val="000000" w:themeColor="text1"/>
                <w:sz w:val="20"/>
                <w:szCs w:val="20"/>
              </w:rPr>
              <w:t xml:space="preserve">jest stosowana w skojarzeniu z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bewacyzumabem</w:t>
            </w:r>
            <w:r w:rsidRPr="00903404">
              <w:rPr>
                <w:color w:val="000000" w:themeColor="text1"/>
                <w:sz w:val="20"/>
                <w:szCs w:val="20"/>
              </w:rPr>
              <w:t xml:space="preserve">, dawka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bewacyzumabu</w:t>
            </w:r>
            <w:r w:rsidRPr="00903404">
              <w:rPr>
                <w:color w:val="000000" w:themeColor="text1"/>
                <w:sz w:val="20"/>
                <w:szCs w:val="20"/>
              </w:rPr>
              <w:t xml:space="preserve"> wynosi 5 mg/kg mc., podawana raz na 2 tygodnie</w:t>
            </w:r>
            <w:r w:rsidR="004630A6" w:rsidRPr="00903404">
              <w:rPr>
                <w:color w:val="000000" w:themeColor="text1"/>
                <w:sz w:val="20"/>
                <w:szCs w:val="20"/>
              </w:rPr>
              <w:t xml:space="preserve"> (dzień 1. i 15. </w:t>
            </w:r>
            <w:r w:rsidR="00D87D4D" w:rsidRPr="00903404">
              <w:rPr>
                <w:color w:val="000000" w:themeColor="text1"/>
                <w:sz w:val="20"/>
                <w:szCs w:val="20"/>
              </w:rPr>
              <w:t>c</w:t>
            </w:r>
            <w:r w:rsidR="004630A6" w:rsidRPr="00903404">
              <w:rPr>
                <w:color w:val="000000" w:themeColor="text1"/>
                <w:sz w:val="20"/>
                <w:szCs w:val="20"/>
              </w:rPr>
              <w:t>yklu powtarzanego w rytmie 28 dni)</w:t>
            </w:r>
            <w:r w:rsidRPr="00903404">
              <w:rPr>
                <w:color w:val="000000" w:themeColor="text1"/>
                <w:sz w:val="20"/>
                <w:szCs w:val="20"/>
              </w:rPr>
              <w:t>.</w:t>
            </w:r>
          </w:p>
          <w:p w14:paraId="5FC830AB" w14:textId="77777777" w:rsidR="00037739" w:rsidRPr="00903404" w:rsidRDefault="00037739" w:rsidP="00037739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093416CE" w14:textId="5C7692AA" w:rsidR="00FB6A6C" w:rsidRPr="00903404" w:rsidRDefault="00FB6A6C" w:rsidP="00FB6A6C">
            <w:pPr>
              <w:pStyle w:val="Akapitzlist"/>
              <w:numPr>
                <w:ilvl w:val="1"/>
                <w:numId w:val="65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frukwintynib</w:t>
            </w:r>
          </w:p>
          <w:p w14:paraId="2796DC7A" w14:textId="77777777" w:rsidR="00FB6A6C" w:rsidRPr="00903404" w:rsidRDefault="00FB6A6C" w:rsidP="00FB6A6C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 xml:space="preserve">Zalecana dawka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frukwintynibu</w:t>
            </w:r>
            <w:r w:rsidRPr="00903404">
              <w:rPr>
                <w:color w:val="000000" w:themeColor="text1"/>
                <w:sz w:val="20"/>
                <w:szCs w:val="20"/>
              </w:rPr>
              <w:t xml:space="preserve"> wynosi 5 mg (jedna kapsułka 5 mg) raz na dobę przyjmowana w przybliżeniu o tej samej porze codziennie przez 21 kolejnych dni, po których następuje 7-dniowy okres przerwy, co stanowi kompletny cykl trwający 28 dni.</w:t>
            </w:r>
          </w:p>
          <w:p w14:paraId="3FD969BC" w14:textId="7EEA9FA2" w:rsidR="00FB6A6C" w:rsidRPr="00903404" w:rsidRDefault="00FB6A6C" w:rsidP="00FB6A6C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 xml:space="preserve">Jeżeli przerwano stosowanie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frukwintynibu</w:t>
            </w:r>
            <w:r w:rsidRPr="00903404">
              <w:rPr>
                <w:color w:val="000000" w:themeColor="text1"/>
                <w:sz w:val="20"/>
                <w:szCs w:val="20"/>
              </w:rPr>
              <w:t xml:space="preserve"> np. z powodu działań niepożądanych to maksymalny czas opóźnienia podania kolejnego cyklu nie może być dłuższy niż 8 tygodni.</w:t>
            </w:r>
          </w:p>
          <w:p w14:paraId="7EB4ED24" w14:textId="77777777" w:rsidR="00FB6A6C" w:rsidRPr="00903404" w:rsidRDefault="00FB6A6C" w:rsidP="00FB6A6C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1DFFECF6" w14:textId="6BD67993" w:rsidR="00037739" w:rsidRPr="00903404" w:rsidRDefault="00037739" w:rsidP="00037739">
            <w:pPr>
              <w:pStyle w:val="Akapitzlist"/>
              <w:numPr>
                <w:ilvl w:val="0"/>
                <w:numId w:val="65"/>
              </w:numPr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color w:val="000000" w:themeColor="text1"/>
                <w:sz w:val="20"/>
                <w:szCs w:val="20"/>
              </w:rPr>
              <w:t>Modyfikacje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dawkowania</w:t>
            </w:r>
          </w:p>
          <w:p w14:paraId="7E324EDD" w14:textId="13565C40" w:rsidR="00037739" w:rsidRPr="00903404" w:rsidRDefault="00037739" w:rsidP="00037739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Sposób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podawania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oraz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ewentualne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czasowe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wstrzymania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leczenia,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prowadzone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zgodnie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lastRenderedPageBreak/>
              <w:t>aktualnymi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Charakterystykami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Produktu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Leczniczego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(ChPL)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lub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przyjętą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praktyką</w:t>
            </w:r>
            <w:r w:rsidR="00F64F73" w:rsidRPr="00903404">
              <w:rPr>
                <w:bCs/>
                <w:sz w:val="20"/>
                <w:szCs w:val="20"/>
              </w:rPr>
              <w:t xml:space="preserve"> </w:t>
            </w:r>
            <w:r w:rsidRPr="00903404">
              <w:rPr>
                <w:bCs/>
                <w:sz w:val="20"/>
                <w:szCs w:val="20"/>
              </w:rPr>
              <w:t>kliniczną.</w:t>
            </w:r>
          </w:p>
          <w:p w14:paraId="6BAA2EB3" w14:textId="763C2AEA" w:rsidR="004B74E8" w:rsidRPr="00903404" w:rsidRDefault="00037739" w:rsidP="0003773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Dopuszczalne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jest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zmniejszenie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wymienionych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powyżej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dawek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zgodnie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z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aktualną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ChPL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poszczególnych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leków</w:t>
            </w:r>
            <w:r w:rsidR="004B74E8" w:rsidRPr="00903404">
              <w:rPr>
                <w:color w:val="000000" w:themeColor="text1"/>
                <w:sz w:val="20"/>
                <w:szCs w:val="20"/>
              </w:rPr>
              <w:t>.</w:t>
            </w:r>
          </w:p>
          <w:p w14:paraId="19B22D7D" w14:textId="7921A775" w:rsidR="00B2385C" w:rsidRPr="00903404" w:rsidRDefault="00B2385C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12" w:type="dxa"/>
          </w:tcPr>
          <w:p w14:paraId="43FE539D" w14:textId="6B1F58DA" w:rsidR="00037739" w:rsidRPr="00903404" w:rsidRDefault="00037739" w:rsidP="00037739">
            <w:pPr>
              <w:pStyle w:val="Akapitzlist"/>
              <w:numPr>
                <w:ilvl w:val="0"/>
                <w:numId w:val="67"/>
              </w:numPr>
              <w:spacing w:before="120"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color w:val="000000" w:themeColor="text1"/>
                <w:sz w:val="20"/>
                <w:szCs w:val="20"/>
              </w:rPr>
              <w:lastRenderedPageBreak/>
              <w:t>Badania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przy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kwalifikacji</w:t>
            </w:r>
          </w:p>
          <w:p w14:paraId="0EDA948A" w14:textId="58D2B1A0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histologiczne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potwierdzenie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raka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jelita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grubego;</w:t>
            </w:r>
          </w:p>
          <w:p w14:paraId="62558345" w14:textId="6A0F9DF3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ocena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potwierdzenie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niestabilności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mikrosatelitarnej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wysokiego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stopnia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(ang.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MSI-H)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lub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zaburzeń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mechanizmów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naprawy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uszkodzeń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typie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niedopasowania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(ang.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dMMR)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-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dla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pembrolizumabu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oraz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Pr="00903404">
              <w:rPr>
                <w:color w:val="000000" w:themeColor="text1"/>
                <w:sz w:val="20"/>
                <w:szCs w:val="20"/>
              </w:rPr>
              <w:t>;</w:t>
            </w:r>
          </w:p>
          <w:p w14:paraId="0599D565" w14:textId="75E9CAFD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morfologia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krwi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rozmazem;</w:t>
            </w:r>
          </w:p>
          <w:p w14:paraId="799C49AC" w14:textId="48E89984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405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oznaczenie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stężenia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kreatyniny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krwi;</w:t>
            </w:r>
          </w:p>
          <w:p w14:paraId="7BC33E59" w14:textId="04FEFAF0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405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oznaczenie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stężenia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bilirubiny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krwi;</w:t>
            </w:r>
          </w:p>
          <w:p w14:paraId="0C3BC7B5" w14:textId="3CC7820F" w:rsidR="00037739" w:rsidRPr="00903404" w:rsidRDefault="00037739" w:rsidP="00051BCA">
            <w:pPr>
              <w:pStyle w:val="Akapitzlist"/>
              <w:numPr>
                <w:ilvl w:val="3"/>
                <w:numId w:val="6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oznaczenie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aktywności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aminotransferazy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alaninowej;</w:t>
            </w:r>
          </w:p>
          <w:p w14:paraId="6C692977" w14:textId="67AF8F2B" w:rsidR="00037739" w:rsidRPr="00903404" w:rsidRDefault="00037739" w:rsidP="00051BCA">
            <w:pPr>
              <w:pStyle w:val="Akapitzlist"/>
              <w:numPr>
                <w:ilvl w:val="3"/>
                <w:numId w:val="6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oznaczenie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aktywności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aminotransferazy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asparaginianowej;</w:t>
            </w:r>
          </w:p>
          <w:p w14:paraId="1968BBB6" w14:textId="63567AA8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oznaczenie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czasu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kaolinowo-kefalinowego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(APTT)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oraz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INR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lub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czasu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protrombinowego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(PT)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–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dla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afliberceptu</w:t>
            </w:r>
            <w:r w:rsidR="003670D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B13BFC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triflurydyny </w:t>
            </w:r>
            <w:r w:rsidR="00B13BFC" w:rsidRPr="00903404">
              <w:rPr>
                <w:color w:val="000000" w:themeColor="text1"/>
                <w:sz w:val="20"/>
                <w:szCs w:val="20"/>
              </w:rPr>
              <w:t>z</w:t>
            </w:r>
            <w:r w:rsidR="00B13BFC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typiracylem </w:t>
            </w:r>
            <w:r w:rsidR="00B13BFC" w:rsidRPr="00903404">
              <w:rPr>
                <w:color w:val="000000" w:themeColor="text1"/>
                <w:sz w:val="20"/>
                <w:szCs w:val="20"/>
              </w:rPr>
              <w:t>stosowanych w skojarzeniu z</w:t>
            </w:r>
            <w:r w:rsidR="00D60A20" w:rsidRPr="00903404">
              <w:rPr>
                <w:i/>
                <w:iCs/>
                <w:color w:val="000000" w:themeColor="text1"/>
                <w:sz w:val="20"/>
                <w:szCs w:val="20"/>
              </w:rPr>
              <w:t> </w:t>
            </w:r>
            <w:r w:rsidR="00B13BFC" w:rsidRPr="00903404">
              <w:rPr>
                <w:i/>
                <w:iCs/>
                <w:color w:val="000000" w:themeColor="text1"/>
                <w:sz w:val="20"/>
                <w:szCs w:val="20"/>
              </w:rPr>
              <w:t>bewacyzumabem</w:t>
            </w:r>
            <w:r w:rsidR="003670D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670D3" w:rsidRPr="00903404">
              <w:rPr>
                <w:color w:val="000000" w:themeColor="text1"/>
                <w:sz w:val="20"/>
                <w:szCs w:val="20"/>
              </w:rPr>
              <w:t xml:space="preserve">oraz </w:t>
            </w:r>
            <w:r w:rsidR="003670D3" w:rsidRPr="00903404">
              <w:rPr>
                <w:i/>
                <w:iCs/>
                <w:color w:val="000000" w:themeColor="text1"/>
                <w:sz w:val="20"/>
                <w:szCs w:val="20"/>
              </w:rPr>
              <w:t>frukwi</w:t>
            </w:r>
            <w:r w:rsidR="00D60A20" w:rsidRPr="00903404">
              <w:rPr>
                <w:i/>
                <w:iCs/>
                <w:color w:val="000000" w:themeColor="text1"/>
                <w:sz w:val="20"/>
                <w:szCs w:val="20"/>
              </w:rPr>
              <w:t>n</w:t>
            </w:r>
            <w:r w:rsidR="003670D3" w:rsidRPr="00903404">
              <w:rPr>
                <w:i/>
                <w:iCs/>
                <w:color w:val="000000" w:themeColor="text1"/>
                <w:sz w:val="20"/>
                <w:szCs w:val="20"/>
              </w:rPr>
              <w:t>tynibu</w:t>
            </w:r>
            <w:r w:rsidRPr="00903404">
              <w:rPr>
                <w:color w:val="000000" w:themeColor="text1"/>
                <w:sz w:val="20"/>
                <w:szCs w:val="20"/>
              </w:rPr>
              <w:t>;</w:t>
            </w:r>
          </w:p>
          <w:p w14:paraId="3130E92B" w14:textId="60F304A4" w:rsidR="00037739" w:rsidRPr="00903404" w:rsidRDefault="00037739" w:rsidP="00051BCA">
            <w:pPr>
              <w:pStyle w:val="Akapitzlist"/>
              <w:numPr>
                <w:ilvl w:val="3"/>
                <w:numId w:val="6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oznaczenie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stężenia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fT4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TSH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-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dla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pembrolizumabu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oraz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Pr="00903404">
              <w:rPr>
                <w:color w:val="000000" w:themeColor="text1"/>
                <w:sz w:val="20"/>
                <w:szCs w:val="20"/>
              </w:rPr>
              <w:t>;</w:t>
            </w:r>
          </w:p>
          <w:p w14:paraId="3C6DEB37" w14:textId="0C4C2489" w:rsidR="00037739" w:rsidRPr="00903404" w:rsidRDefault="00037739" w:rsidP="00051BCA">
            <w:pPr>
              <w:numPr>
                <w:ilvl w:val="3"/>
                <w:numId w:val="6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elektrokardiogram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(EKG);</w:t>
            </w:r>
          </w:p>
          <w:p w14:paraId="5FE57997" w14:textId="1E576EF0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lastRenderedPageBreak/>
              <w:t>pomiar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ciśnienia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tętniczego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–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dla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afliberceptu</w:t>
            </w:r>
            <w:r w:rsidR="00060269" w:rsidRPr="00903404">
              <w:rPr>
                <w:i/>
                <w:iCs/>
                <w:color w:val="000000" w:themeColor="text1"/>
                <w:sz w:val="20"/>
                <w:szCs w:val="20"/>
              </w:rPr>
              <w:t>,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triflurydyny </w:t>
            </w:r>
            <w:r w:rsidR="00046791" w:rsidRPr="00903404">
              <w:rPr>
                <w:color w:val="000000" w:themeColor="text1"/>
                <w:sz w:val="20"/>
                <w:szCs w:val="20"/>
              </w:rPr>
              <w:t>z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typiracylem </w:t>
            </w:r>
            <w:r w:rsidR="00046791" w:rsidRPr="00903404">
              <w:rPr>
                <w:color w:val="000000" w:themeColor="text1"/>
                <w:sz w:val="20"/>
                <w:szCs w:val="20"/>
              </w:rPr>
              <w:t>stosowanych w skojarzeniu z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bewacyzumabem</w:t>
            </w:r>
            <w:r w:rsidR="00686EDF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86EDF" w:rsidRPr="00903404">
              <w:rPr>
                <w:color w:val="000000" w:themeColor="text1"/>
                <w:sz w:val="20"/>
                <w:szCs w:val="20"/>
              </w:rPr>
              <w:t xml:space="preserve">oraz </w:t>
            </w:r>
            <w:r w:rsidR="00686EDF" w:rsidRPr="00903404">
              <w:rPr>
                <w:i/>
                <w:iCs/>
                <w:color w:val="000000" w:themeColor="text1"/>
                <w:sz w:val="20"/>
                <w:szCs w:val="20"/>
              </w:rPr>
              <w:t>frukwintynibu;</w:t>
            </w:r>
          </w:p>
          <w:p w14:paraId="0176832E" w14:textId="1FFA64A5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badanie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ogólne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moczu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–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dla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afliberceptu</w:t>
            </w:r>
            <w:r w:rsidR="006F1A95" w:rsidRPr="00903404">
              <w:rPr>
                <w:i/>
                <w:iCs/>
                <w:color w:val="000000" w:themeColor="text1"/>
                <w:sz w:val="20"/>
                <w:szCs w:val="20"/>
              </w:rPr>
              <w:t>,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triflurydyny </w:t>
            </w:r>
            <w:r w:rsidR="00046791" w:rsidRPr="00903404">
              <w:rPr>
                <w:color w:val="000000" w:themeColor="text1"/>
                <w:sz w:val="20"/>
                <w:szCs w:val="20"/>
              </w:rPr>
              <w:t>z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typiracylem </w:t>
            </w:r>
            <w:r w:rsidR="00046791" w:rsidRPr="00903404">
              <w:rPr>
                <w:color w:val="000000" w:themeColor="text1"/>
                <w:sz w:val="20"/>
                <w:szCs w:val="20"/>
              </w:rPr>
              <w:t>stosowanych w skojarzeniu z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bewacyzumabem</w:t>
            </w:r>
            <w:r w:rsidR="00686EDF" w:rsidRPr="00903404">
              <w:rPr>
                <w:color w:val="000000" w:themeColor="text1"/>
                <w:sz w:val="20"/>
                <w:szCs w:val="20"/>
                <w:shd w:val="clear" w:color="auto" w:fill="FFFF00"/>
              </w:rPr>
              <w:t xml:space="preserve"> </w:t>
            </w:r>
            <w:r w:rsidR="00686EDF" w:rsidRPr="00903404">
              <w:rPr>
                <w:color w:val="000000" w:themeColor="text1"/>
                <w:sz w:val="20"/>
                <w:szCs w:val="20"/>
              </w:rPr>
              <w:t xml:space="preserve">oraz </w:t>
            </w:r>
            <w:r w:rsidR="00686EDF" w:rsidRPr="00903404">
              <w:rPr>
                <w:i/>
                <w:iCs/>
                <w:color w:val="000000" w:themeColor="text1"/>
                <w:sz w:val="20"/>
                <w:szCs w:val="20"/>
              </w:rPr>
              <w:t>frukwintynibu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;</w:t>
            </w:r>
          </w:p>
          <w:p w14:paraId="3A932FB6" w14:textId="0741E283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test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ciążowy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kobiet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wieku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rozrodczym);</w:t>
            </w:r>
          </w:p>
          <w:p w14:paraId="3B9A3535" w14:textId="5B9016D5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badanie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TK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jamy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brzusznej,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miednicy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klatki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piersiowej;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inne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obrazowe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zależności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od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sytuacji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klinicznej;</w:t>
            </w:r>
          </w:p>
          <w:p w14:paraId="25F7FA43" w14:textId="675717F0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badanie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RTG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klatki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piersiowej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–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jeżeli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jest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wykonywane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badanie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klatki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piersiowej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chorych,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których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możliwa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jest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podstawie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ocena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odpowiedzi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wg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RECIST);</w:t>
            </w:r>
          </w:p>
          <w:p w14:paraId="3548A52C" w14:textId="0ECA1235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badanie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TK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lub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MR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mózgu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przypadku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wskazań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klinicznych,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celu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wykluczenia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przerzutów;</w:t>
            </w:r>
          </w:p>
          <w:p w14:paraId="3EF551BD" w14:textId="14A35AD9" w:rsidR="00037739" w:rsidRPr="00903404" w:rsidRDefault="00037739" w:rsidP="00051BCA">
            <w:pPr>
              <w:pStyle w:val="Akapitzlist"/>
              <w:numPr>
                <w:ilvl w:val="3"/>
                <w:numId w:val="67"/>
              </w:numPr>
              <w:suppressAutoHyphens/>
              <w:spacing w:after="60" w:line="276" w:lineRule="auto"/>
              <w:contextualSpacing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903404">
              <w:rPr>
                <w:rFonts w:eastAsia="Calibri"/>
                <w:sz w:val="20"/>
                <w:szCs w:val="20"/>
                <w:lang w:eastAsia="en-US"/>
              </w:rPr>
              <w:t>inne</w:t>
            </w:r>
            <w:r w:rsidR="00F64F73" w:rsidRPr="0090340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="Calibri"/>
                <w:sz w:val="20"/>
                <w:szCs w:val="20"/>
                <w:lang w:eastAsia="en-US"/>
              </w:rPr>
              <w:t>badania</w:t>
            </w:r>
            <w:r w:rsidR="00F64F73" w:rsidRPr="0090340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="Calibri"/>
                <w:sz w:val="20"/>
                <w:szCs w:val="20"/>
                <w:lang w:eastAsia="en-US"/>
              </w:rPr>
              <w:t>laboratoryjne</w:t>
            </w:r>
            <w:r w:rsidR="00F64F73" w:rsidRPr="0090340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="Calibri"/>
                <w:sz w:val="20"/>
                <w:szCs w:val="20"/>
                <w:lang w:eastAsia="en-US"/>
              </w:rPr>
              <w:t>i</w:t>
            </w:r>
            <w:r w:rsidR="00F64F73" w:rsidRPr="0090340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="Calibri"/>
                <w:sz w:val="20"/>
                <w:szCs w:val="20"/>
                <w:lang w:eastAsia="en-US"/>
              </w:rPr>
              <w:t>obrazowe</w:t>
            </w:r>
            <w:r w:rsidR="00F64F73" w:rsidRPr="0090340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="Calibri"/>
                <w:sz w:val="20"/>
                <w:szCs w:val="20"/>
                <w:lang w:eastAsia="en-US"/>
              </w:rPr>
              <w:t>w</w:t>
            </w:r>
            <w:r w:rsidR="00F64F73" w:rsidRPr="0090340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="Calibri"/>
                <w:sz w:val="20"/>
                <w:szCs w:val="20"/>
                <w:lang w:eastAsia="en-US"/>
              </w:rPr>
              <w:t>razie</w:t>
            </w:r>
            <w:r w:rsidR="00F64F73" w:rsidRPr="0090340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="Calibri"/>
                <w:sz w:val="20"/>
                <w:szCs w:val="20"/>
                <w:lang w:eastAsia="en-US"/>
              </w:rPr>
              <w:t>wskazań</w:t>
            </w:r>
            <w:r w:rsidR="00F64F73" w:rsidRPr="0090340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903404">
              <w:rPr>
                <w:rFonts w:eastAsia="Calibri"/>
                <w:sz w:val="20"/>
                <w:szCs w:val="20"/>
                <w:lang w:eastAsia="en-US"/>
              </w:rPr>
              <w:t>klinicznych.</w:t>
            </w:r>
          </w:p>
          <w:p w14:paraId="644DA7CF" w14:textId="625746D8" w:rsidR="00037739" w:rsidRPr="00903404" w:rsidRDefault="00037739" w:rsidP="00051BCA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Wstępne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badania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obrazowe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muszą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umożliwić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późniejszą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obiektywną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ocenę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odpowiedzi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na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leczenie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wg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aktualnych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kryteriów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RECIST</w:t>
            </w:r>
            <w:r w:rsidRPr="00903404">
              <w:rPr>
                <w:color w:val="000000" w:themeColor="text1"/>
                <w:sz w:val="20"/>
                <w:szCs w:val="20"/>
              </w:rPr>
              <w:t>.</w:t>
            </w:r>
          </w:p>
          <w:p w14:paraId="122B9C79" w14:textId="77777777" w:rsidR="00037739" w:rsidRPr="00903404" w:rsidRDefault="00037739" w:rsidP="00051BCA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2E1E937E" w14:textId="6A439A0E" w:rsidR="00037739" w:rsidRPr="00903404" w:rsidRDefault="00037739" w:rsidP="00051BCA">
            <w:pPr>
              <w:pStyle w:val="Akapitzlist"/>
              <w:numPr>
                <w:ilvl w:val="0"/>
                <w:numId w:val="67"/>
              </w:numPr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color w:val="000000" w:themeColor="text1"/>
                <w:sz w:val="20"/>
                <w:szCs w:val="20"/>
              </w:rPr>
              <w:t>Monitorowanie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bezpieczeństwa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leczenia</w:t>
            </w:r>
          </w:p>
          <w:p w14:paraId="660D11D4" w14:textId="1B89B2F9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morfologia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krwi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rozmazem;</w:t>
            </w:r>
          </w:p>
          <w:p w14:paraId="1E71CFAE" w14:textId="4BD03DBC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405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oznaczenie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stężenia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kreatyniny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krwi;</w:t>
            </w:r>
          </w:p>
          <w:p w14:paraId="0F38FBA3" w14:textId="402B2182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405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oznaczenie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stężenia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bilirubiny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krwi;</w:t>
            </w:r>
          </w:p>
          <w:p w14:paraId="181A6340" w14:textId="50B3CB88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405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oznaczenie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aktywności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aminotransferazy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alaninowej;</w:t>
            </w:r>
          </w:p>
          <w:p w14:paraId="475E4938" w14:textId="57631F5C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405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oznaczenie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aktywności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aminotransferazy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asparaginianowej;</w:t>
            </w:r>
          </w:p>
          <w:p w14:paraId="34A3D6FB" w14:textId="6E11FEFC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324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oznaczenie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poziomu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TSH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fT4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–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dla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pembrolizumabu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oraz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Pr="00903404">
              <w:rPr>
                <w:color w:val="000000" w:themeColor="text1"/>
                <w:sz w:val="20"/>
                <w:szCs w:val="20"/>
              </w:rPr>
              <w:t>;</w:t>
            </w:r>
          </w:p>
          <w:p w14:paraId="0C7B2883" w14:textId="06F3E3AC" w:rsidR="00037739" w:rsidRPr="00903404" w:rsidRDefault="00037739" w:rsidP="00051BCA">
            <w:pPr>
              <w:numPr>
                <w:ilvl w:val="3"/>
                <w:numId w:val="6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elektrokardiogram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(EKG)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–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dla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pembrolizumabu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oraz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Pr="00903404">
              <w:rPr>
                <w:color w:val="000000" w:themeColor="text1"/>
                <w:sz w:val="20"/>
                <w:szCs w:val="20"/>
              </w:rPr>
              <w:t>;</w:t>
            </w:r>
          </w:p>
          <w:p w14:paraId="6BCDEE72" w14:textId="360392F8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405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lastRenderedPageBreak/>
              <w:t>pomiar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ciśnienia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tętniczego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–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dla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afliberceptu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i triflurydyny </w:t>
            </w:r>
            <w:r w:rsidR="00046791" w:rsidRPr="00903404">
              <w:rPr>
                <w:color w:val="000000" w:themeColor="text1"/>
                <w:sz w:val="20"/>
                <w:szCs w:val="20"/>
              </w:rPr>
              <w:t>z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typiracylem </w:t>
            </w:r>
            <w:r w:rsidR="00046791" w:rsidRPr="00903404">
              <w:rPr>
                <w:color w:val="000000" w:themeColor="text1"/>
                <w:sz w:val="20"/>
                <w:szCs w:val="20"/>
              </w:rPr>
              <w:t>stosowanych w skojarzeniu z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bewacyzumabem</w:t>
            </w:r>
            <w:r w:rsidR="00686EDF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86EDF" w:rsidRPr="00903404">
              <w:rPr>
                <w:color w:val="000000" w:themeColor="text1"/>
                <w:sz w:val="20"/>
                <w:szCs w:val="20"/>
              </w:rPr>
              <w:t xml:space="preserve">i </w:t>
            </w:r>
            <w:r w:rsidR="00686EDF" w:rsidRPr="00903404">
              <w:rPr>
                <w:i/>
                <w:iCs/>
                <w:color w:val="000000" w:themeColor="text1"/>
                <w:sz w:val="20"/>
                <w:szCs w:val="20"/>
              </w:rPr>
              <w:t>frukwintynibu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;</w:t>
            </w:r>
          </w:p>
          <w:p w14:paraId="564188D8" w14:textId="08986402" w:rsidR="00037739" w:rsidRPr="00903404" w:rsidRDefault="00037739" w:rsidP="00051BCA">
            <w:pPr>
              <w:numPr>
                <w:ilvl w:val="3"/>
                <w:numId w:val="67"/>
              </w:numPr>
              <w:tabs>
                <w:tab w:val="left" w:pos="405"/>
              </w:tabs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badanie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ogólne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moczu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–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dla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afliberceptu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i triflurydyny </w:t>
            </w:r>
            <w:r w:rsidR="00046791" w:rsidRPr="00903404">
              <w:rPr>
                <w:color w:val="000000" w:themeColor="text1"/>
                <w:sz w:val="20"/>
                <w:szCs w:val="20"/>
              </w:rPr>
              <w:t>z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typiracylem </w:t>
            </w:r>
            <w:r w:rsidR="00046791" w:rsidRPr="00903404">
              <w:rPr>
                <w:color w:val="000000" w:themeColor="text1"/>
                <w:sz w:val="20"/>
                <w:szCs w:val="20"/>
              </w:rPr>
              <w:t>stosowanych w skojarzeniu z</w:t>
            </w:r>
            <w:r w:rsidR="00046791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bewacyzumabem</w:t>
            </w:r>
            <w:r w:rsidR="00686EDF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86EDF" w:rsidRPr="00903404">
              <w:rPr>
                <w:color w:val="000000" w:themeColor="text1"/>
                <w:sz w:val="20"/>
                <w:szCs w:val="20"/>
              </w:rPr>
              <w:t xml:space="preserve">i </w:t>
            </w:r>
            <w:r w:rsidR="00686EDF" w:rsidRPr="00903404">
              <w:rPr>
                <w:i/>
                <w:iCs/>
                <w:color w:val="000000" w:themeColor="text1"/>
                <w:sz w:val="20"/>
                <w:szCs w:val="20"/>
              </w:rPr>
              <w:t>frukwintynibu</w:t>
            </w:r>
            <w:r w:rsidR="00051BCA" w:rsidRPr="00903404">
              <w:rPr>
                <w:color w:val="000000" w:themeColor="text1"/>
                <w:sz w:val="20"/>
                <w:szCs w:val="20"/>
              </w:rPr>
              <w:t>.</w:t>
            </w:r>
          </w:p>
          <w:p w14:paraId="441943B7" w14:textId="77777777" w:rsidR="00037739" w:rsidRPr="00903404" w:rsidRDefault="00037739" w:rsidP="00051BCA">
            <w:pPr>
              <w:tabs>
                <w:tab w:val="left" w:pos="405"/>
              </w:tabs>
              <w:spacing w:after="60" w:line="276" w:lineRule="auto"/>
              <w:jc w:val="both"/>
              <w:rPr>
                <w:b/>
                <w:color w:val="000000" w:themeColor="text1"/>
                <w:sz w:val="20"/>
                <w:szCs w:val="20"/>
              </w:rPr>
            </w:pPr>
          </w:p>
          <w:p w14:paraId="1847A1F8" w14:textId="045FA9E7" w:rsidR="00037739" w:rsidRPr="00903404" w:rsidRDefault="00037739" w:rsidP="00051BCA">
            <w:pPr>
              <w:spacing w:after="60" w:line="276" w:lineRule="auto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przypadku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leczenia:</w:t>
            </w:r>
          </w:p>
          <w:p w14:paraId="118CCAC7" w14:textId="7547FC0B" w:rsidR="00037739" w:rsidRPr="00903404" w:rsidRDefault="00037739" w:rsidP="00051BCA">
            <w:pPr>
              <w:pStyle w:val="Akapitzlist"/>
              <w:numPr>
                <w:ilvl w:val="3"/>
                <w:numId w:val="68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pembrolizumabem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oraz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niwolumabem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="00F64F73" w:rsidRPr="0090340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powyższe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wykonuje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się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rzadziej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niż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co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6-12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tygodni;</w:t>
            </w:r>
          </w:p>
          <w:p w14:paraId="614BE5AB" w14:textId="10AFA4F2" w:rsidR="00037739" w:rsidRPr="00903404" w:rsidRDefault="00037739" w:rsidP="00051BCA">
            <w:pPr>
              <w:pStyle w:val="Akapitzlist"/>
              <w:numPr>
                <w:ilvl w:val="3"/>
                <w:numId w:val="68"/>
              </w:numPr>
              <w:spacing w:after="60" w:line="276" w:lineRule="auto"/>
              <w:contextualSpacing w:val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>afliberceptem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powyższe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ppkt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1),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3)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wykonuje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się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przed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rozpoczęciem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każdego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cyklu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leczenia.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Pozostałe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wykonuje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się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przed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rozpoczęciem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co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drugiego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cyklu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leczenia;</w:t>
            </w:r>
          </w:p>
          <w:p w14:paraId="37B6C5DC" w14:textId="37C20546" w:rsidR="00037739" w:rsidRPr="00903404" w:rsidRDefault="00037739" w:rsidP="00051BCA">
            <w:pPr>
              <w:pStyle w:val="Akapitzlist"/>
              <w:numPr>
                <w:ilvl w:val="3"/>
                <w:numId w:val="68"/>
              </w:numPr>
              <w:spacing w:after="60" w:line="276" w:lineRule="auto"/>
              <w:contextualSpacing w:val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>triflurydyną</w:t>
            </w:r>
            <w:r w:rsidR="00F64F73"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="00F64F73"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F2974" w:rsidRPr="00903404">
              <w:rPr>
                <w:bCs/>
                <w:color w:val="000000" w:themeColor="text1"/>
                <w:sz w:val="20"/>
                <w:szCs w:val="20"/>
              </w:rPr>
              <w:t xml:space="preserve">w monoterapii lub w skojarzeniu z </w:t>
            </w:r>
            <w:r w:rsidR="002F2974"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>bewacyzumabem</w:t>
            </w:r>
            <w:r w:rsidR="00686EDF"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86EDF" w:rsidRPr="00903404">
              <w:rPr>
                <w:color w:val="000000" w:themeColor="text1"/>
                <w:sz w:val="20"/>
                <w:szCs w:val="20"/>
              </w:rPr>
              <w:t xml:space="preserve">oraz </w:t>
            </w:r>
            <w:r w:rsidR="00686EDF" w:rsidRPr="00903404">
              <w:rPr>
                <w:i/>
                <w:iCs/>
                <w:color w:val="000000" w:themeColor="text1"/>
                <w:sz w:val="20"/>
                <w:szCs w:val="20"/>
              </w:rPr>
              <w:t>frukwintynibu</w:t>
            </w:r>
            <w:r w:rsidR="00E039C1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powyższe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wykonuje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się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przed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każdym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cyklem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leczenia.</w:t>
            </w:r>
          </w:p>
          <w:p w14:paraId="79D1629C" w14:textId="77777777" w:rsidR="00037739" w:rsidRPr="00903404" w:rsidRDefault="00037739" w:rsidP="00051BCA">
            <w:pPr>
              <w:spacing w:after="60" w:line="276" w:lineRule="auto"/>
              <w:rPr>
                <w:sz w:val="20"/>
                <w:szCs w:val="20"/>
              </w:rPr>
            </w:pPr>
          </w:p>
          <w:p w14:paraId="70C0E4C5" w14:textId="0ABFD57A" w:rsidR="00037739" w:rsidRPr="00903404" w:rsidRDefault="00037739" w:rsidP="00051BCA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bCs/>
                <w:color w:val="000000" w:themeColor="text1"/>
                <w:sz w:val="20"/>
                <w:szCs w:val="20"/>
              </w:rPr>
              <w:t>Ponadto,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niezależnie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od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stosowanej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terapii,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monitorujące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bezpieczeństwo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należy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wykonać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zawsze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przypadku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wskazań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klinicznych.</w:t>
            </w:r>
          </w:p>
          <w:p w14:paraId="33153B33" w14:textId="77777777" w:rsidR="00037739" w:rsidRPr="00903404" w:rsidRDefault="00037739" w:rsidP="00051BCA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508CE114" w14:textId="0F7F6F8E" w:rsidR="00037739" w:rsidRPr="00903404" w:rsidRDefault="00037739" w:rsidP="00051BCA">
            <w:pPr>
              <w:pStyle w:val="Akapitzlist"/>
              <w:numPr>
                <w:ilvl w:val="0"/>
                <w:numId w:val="67"/>
              </w:numPr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color w:val="000000" w:themeColor="text1"/>
                <w:sz w:val="20"/>
                <w:szCs w:val="20"/>
              </w:rPr>
              <w:t>Monitorowanie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skuteczności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leczenia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47A39608" w14:textId="2BEED956" w:rsidR="00037739" w:rsidRPr="00903404" w:rsidRDefault="00037739" w:rsidP="00051BCA">
            <w:pPr>
              <w:spacing w:after="60" w:line="276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celu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monitorowania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skuteczności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wykonywane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są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obrazowe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konieczne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oceny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zmian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według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aktualnie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obowiązujących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kryteriów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RECIST: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badanie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TK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odpowiednich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obszarów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ciała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(ewentualnie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RTG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klatki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piersiowej)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lub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inne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razie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wskazań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klinicznych.</w:t>
            </w:r>
          </w:p>
          <w:p w14:paraId="69BF7B9C" w14:textId="6E2B1C37" w:rsidR="00037739" w:rsidRPr="00903404" w:rsidRDefault="00037739" w:rsidP="00051BCA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bCs/>
                <w:color w:val="000000" w:themeColor="text1"/>
                <w:sz w:val="20"/>
                <w:szCs w:val="20"/>
              </w:rPr>
              <w:t>Określenie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odpowiedzi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powinno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być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wykonywane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wykorzystaniem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metody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identycznej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wykorzystanej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podczas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lastRenderedPageBreak/>
              <w:t>kwalifikowania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leczenia.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Wykonane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obrazowe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muszą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umożliwić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obiektywną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ocenę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odpowiedzi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leczenie</w:t>
            </w:r>
            <w:r w:rsidR="0046281A" w:rsidRPr="00903404">
              <w:rPr>
                <w:bCs/>
                <w:color w:val="000000" w:themeColor="text1"/>
                <w:sz w:val="20"/>
                <w:szCs w:val="20"/>
              </w:rPr>
              <w:t>.</w:t>
            </w:r>
          </w:p>
          <w:p w14:paraId="71F5ED2E" w14:textId="67B02AC9" w:rsidR="00037739" w:rsidRPr="00903404" w:rsidRDefault="00037739" w:rsidP="00051BCA">
            <w:pPr>
              <w:spacing w:after="60" w:line="276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Cs/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wykonuje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się:</w:t>
            </w:r>
          </w:p>
          <w:p w14:paraId="0298F1EE" w14:textId="1C3ABA14" w:rsidR="00037739" w:rsidRPr="00903404" w:rsidRDefault="00037739" w:rsidP="00051BCA">
            <w:pPr>
              <w:pStyle w:val="Akapitzlist"/>
              <w:numPr>
                <w:ilvl w:val="3"/>
                <w:numId w:val="69"/>
              </w:numPr>
              <w:spacing w:after="60" w:line="276" w:lineRule="auto"/>
              <w:contextualSpacing w:val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przypadku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>afliberceptu,</w:t>
            </w:r>
            <w:r w:rsidR="00F64F73"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>pembrolizumabu</w:t>
            </w:r>
            <w:r w:rsidR="00D302EB" w:rsidRPr="00903404">
              <w:rPr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>niwolumabu</w:t>
            </w:r>
            <w:r w:rsidR="00F64F73"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886C7B" w:rsidRPr="00903404">
              <w:rPr>
                <w:bCs/>
                <w:color w:val="000000" w:themeColor="text1"/>
                <w:sz w:val="20"/>
                <w:szCs w:val="20"/>
              </w:rPr>
              <w:t> 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skojarzeniu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>ipilimumabem</w:t>
            </w:r>
            <w:r w:rsidR="00D302EB"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>, triflurydyny</w:t>
            </w:r>
            <w:r w:rsidR="00D302EB" w:rsidRPr="00903404">
              <w:rPr>
                <w:bCs/>
                <w:color w:val="000000" w:themeColor="text1"/>
                <w:sz w:val="20"/>
                <w:szCs w:val="20"/>
              </w:rPr>
              <w:t xml:space="preserve"> z </w:t>
            </w:r>
            <w:r w:rsidR="00D302EB"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>typiracylem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302EB"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886C7B" w:rsidRPr="00903404">
              <w:rPr>
                <w:bCs/>
                <w:color w:val="000000" w:themeColor="text1"/>
                <w:sz w:val="20"/>
                <w:szCs w:val="20"/>
              </w:rPr>
              <w:t> </w:t>
            </w:r>
            <w:r w:rsidR="00D302EB" w:rsidRPr="00903404">
              <w:rPr>
                <w:bCs/>
                <w:color w:val="000000" w:themeColor="text1"/>
                <w:sz w:val="20"/>
                <w:szCs w:val="20"/>
              </w:rPr>
              <w:t xml:space="preserve">monoterapii lub w skojarzeniu z </w:t>
            </w:r>
            <w:r w:rsidR="00D302EB"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>bewacyzumabem</w:t>
            </w:r>
            <w:r w:rsidR="00686EDF" w:rsidRPr="00903404">
              <w:rPr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86EDF" w:rsidRPr="00903404">
              <w:rPr>
                <w:color w:val="000000" w:themeColor="text1"/>
                <w:sz w:val="20"/>
                <w:szCs w:val="20"/>
              </w:rPr>
              <w:t xml:space="preserve">oraz </w:t>
            </w:r>
            <w:r w:rsidR="00686EDF" w:rsidRPr="00903404">
              <w:rPr>
                <w:i/>
                <w:iCs/>
                <w:color w:val="000000" w:themeColor="text1"/>
                <w:sz w:val="20"/>
                <w:szCs w:val="20"/>
              </w:rPr>
              <w:t>frukwintynibu</w:t>
            </w:r>
            <w:r w:rsidR="00D302EB" w:rsidRPr="00903404">
              <w:rPr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rzadziej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niż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co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12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tygodni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możliwością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2-tygodniowego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opóźnienia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daty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wykonania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przypadkach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uzasadnionych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przesunięć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realizowaniu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leczenia</w:t>
            </w:r>
            <w:r w:rsidR="00051BCA" w:rsidRPr="00903404">
              <w:rPr>
                <w:bCs/>
                <w:color w:val="000000" w:themeColor="text1"/>
                <w:sz w:val="20"/>
                <w:szCs w:val="20"/>
              </w:rPr>
              <w:t>.</w:t>
            </w:r>
          </w:p>
          <w:p w14:paraId="6B005CF7" w14:textId="77777777" w:rsidR="00037739" w:rsidRPr="00903404" w:rsidRDefault="00037739" w:rsidP="00051BCA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07FB61A0" w14:textId="628784B4" w:rsidR="00037739" w:rsidRPr="00903404" w:rsidRDefault="00037739" w:rsidP="00051BCA">
            <w:pPr>
              <w:spacing w:after="60" w:line="276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Cs/>
                <w:color w:val="000000" w:themeColor="text1"/>
                <w:sz w:val="20"/>
                <w:szCs w:val="20"/>
              </w:rPr>
              <w:t>Ponadto,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niezależnie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od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stosowanej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terapii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badania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monitorujące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skuteczność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należy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wykonać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zawsze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przypadku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wskazań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klinicznych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oraz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chwili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wyłączenia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programu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przyczyn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innych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niż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udokumentowana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progresja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choroby.</w:t>
            </w:r>
          </w:p>
          <w:p w14:paraId="51DCEE32" w14:textId="38624337" w:rsidR="00037739" w:rsidRPr="00903404" w:rsidRDefault="00037739" w:rsidP="00051BC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Na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podstawie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ww.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badań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celu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monitorowania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skuteczności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leczenia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przekazywane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są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dane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dotyczące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wybranych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wskaźników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skuteczności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terapii,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dla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których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jest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możliwe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ich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określenie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przez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lekarza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prowadzącego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dla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indywidualnego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pacjenta,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spośród:</w:t>
            </w:r>
          </w:p>
          <w:p w14:paraId="23AAE169" w14:textId="3D90C30F" w:rsidR="00037739" w:rsidRPr="00903404" w:rsidRDefault="00037739" w:rsidP="00051BCA">
            <w:pPr>
              <w:pStyle w:val="Akapitzlist"/>
              <w:numPr>
                <w:ilvl w:val="5"/>
                <w:numId w:val="6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całkowita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(CR)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lub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częściowa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odpowiedź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(PR)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na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leczenie,</w:t>
            </w:r>
          </w:p>
          <w:p w14:paraId="6D964C8A" w14:textId="0C60D533" w:rsidR="00037739" w:rsidRPr="00903404" w:rsidRDefault="00037739" w:rsidP="00051BCA">
            <w:pPr>
              <w:pStyle w:val="Akapitzlist"/>
              <w:numPr>
                <w:ilvl w:val="5"/>
                <w:numId w:val="6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stabilizacja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(SD)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lub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progresja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choroby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(PD),</w:t>
            </w:r>
          </w:p>
          <w:p w14:paraId="3A032A57" w14:textId="1A7DEE0A" w:rsidR="00037739" w:rsidRPr="00903404" w:rsidRDefault="00037739" w:rsidP="00051BCA">
            <w:pPr>
              <w:pStyle w:val="Akapitzlist"/>
              <w:numPr>
                <w:ilvl w:val="5"/>
                <w:numId w:val="6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03404">
              <w:rPr>
                <w:sz w:val="20"/>
                <w:szCs w:val="20"/>
              </w:rPr>
              <w:t>całkowite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przeżycie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(OS)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czas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do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progresji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(PFS).</w:t>
            </w:r>
          </w:p>
          <w:p w14:paraId="267C2E23" w14:textId="77777777" w:rsidR="00037739" w:rsidRPr="00903404" w:rsidRDefault="00037739" w:rsidP="00051BCA">
            <w:pPr>
              <w:spacing w:after="60" w:line="276" w:lineRule="auto"/>
              <w:rPr>
                <w:bCs/>
                <w:sz w:val="20"/>
                <w:szCs w:val="20"/>
              </w:rPr>
            </w:pPr>
          </w:p>
          <w:p w14:paraId="0502C917" w14:textId="63A63A3A" w:rsidR="00037739" w:rsidRPr="00903404" w:rsidRDefault="00037739" w:rsidP="00051BCA">
            <w:pPr>
              <w:pStyle w:val="Akapitzlist"/>
              <w:numPr>
                <w:ilvl w:val="0"/>
                <w:numId w:val="67"/>
              </w:numPr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03404">
              <w:rPr>
                <w:b/>
                <w:color w:val="000000" w:themeColor="text1"/>
                <w:sz w:val="20"/>
                <w:szCs w:val="20"/>
              </w:rPr>
              <w:t>Monitorowanie</w:t>
            </w:r>
            <w:r w:rsidR="00F64F73" w:rsidRPr="0090340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/>
                <w:color w:val="000000" w:themeColor="text1"/>
                <w:sz w:val="20"/>
                <w:szCs w:val="20"/>
              </w:rPr>
              <w:t>programu</w:t>
            </w:r>
          </w:p>
          <w:p w14:paraId="56E918B3" w14:textId="00E1AA20" w:rsidR="00037739" w:rsidRPr="00903404" w:rsidRDefault="00037739" w:rsidP="00051BCA">
            <w:pPr>
              <w:pStyle w:val="Akapitzlist"/>
              <w:numPr>
                <w:ilvl w:val="3"/>
                <w:numId w:val="67"/>
              </w:numPr>
              <w:spacing w:after="60" w:line="276" w:lineRule="auto"/>
              <w:contextualSpacing w:val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Cs/>
                <w:color w:val="000000" w:themeColor="text1"/>
                <w:sz w:val="20"/>
                <w:szCs w:val="20"/>
              </w:rPr>
              <w:t>gromadzenie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dokumentacji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medycznej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danych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dotyczących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monitorowania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i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każdorazowe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ich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przedstawianie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żądanie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kontrolerów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Narodowego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Funduszu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Zdrowia;</w:t>
            </w:r>
          </w:p>
          <w:p w14:paraId="47655E59" w14:textId="79373C18" w:rsidR="00037739" w:rsidRPr="00903404" w:rsidRDefault="00037739" w:rsidP="00051BCA">
            <w:pPr>
              <w:pStyle w:val="Akapitzlist"/>
              <w:numPr>
                <w:ilvl w:val="3"/>
                <w:numId w:val="67"/>
              </w:numPr>
              <w:spacing w:after="60" w:line="276" w:lineRule="auto"/>
              <w:contextualSpacing w:val="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03404">
              <w:rPr>
                <w:bCs/>
                <w:color w:val="000000" w:themeColor="text1"/>
                <w:sz w:val="20"/>
                <w:szCs w:val="20"/>
              </w:rPr>
              <w:t>uzupełnianie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danych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zawartych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elektronicznym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systemie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monitorowania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programów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sz w:val="20"/>
                <w:szCs w:val="20"/>
              </w:rPr>
              <w:t>lekowych,</w:t>
            </w:r>
            <w:r w:rsidR="00F64F73" w:rsidRPr="00903404">
              <w:rPr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tym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przekazywanie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danych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dotyczących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wskaźników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skuteczności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terapii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lastRenderedPageBreak/>
              <w:t>zawartych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pkt.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3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dostępnym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pomocą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aplikacji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internetowej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udostępnionej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przez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OW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NFZ,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częstotliwością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zgodną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opisem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programu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oraz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na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zakończenie</w:t>
            </w:r>
            <w:r w:rsidR="00F64F73" w:rsidRPr="0090340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bCs/>
                <w:color w:val="000000" w:themeColor="text1"/>
                <w:sz w:val="20"/>
                <w:szCs w:val="20"/>
              </w:rPr>
              <w:t>leczenia;</w:t>
            </w:r>
          </w:p>
          <w:p w14:paraId="54F37CD1" w14:textId="1F6C1CDF" w:rsidR="0072633C" w:rsidRPr="00903404" w:rsidRDefault="00037739" w:rsidP="00051BCA">
            <w:pPr>
              <w:pStyle w:val="Akapitzlist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903404">
              <w:rPr>
                <w:color w:val="000000" w:themeColor="text1"/>
                <w:sz w:val="20"/>
                <w:szCs w:val="20"/>
              </w:rPr>
              <w:t>przekazywanie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informacji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sprawozdawczo-rozliczeniowych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NFZ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(informacje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przekazuje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się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do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NFZ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formie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papierowej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lub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formie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elektronicznej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zgodnie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wymaganiami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opublikowanymi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przez</w:t>
            </w:r>
            <w:r w:rsidR="00F64F73" w:rsidRPr="0090340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03404">
              <w:rPr>
                <w:color w:val="000000" w:themeColor="text1"/>
                <w:sz w:val="20"/>
                <w:szCs w:val="20"/>
              </w:rPr>
              <w:t>NFZ)</w:t>
            </w:r>
            <w:r w:rsidR="009B40E4" w:rsidRPr="00903404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bookmarkEnd w:id="0"/>
    </w:tbl>
    <w:p w14:paraId="03B1BBF9" w14:textId="77777777" w:rsidR="00743C43" w:rsidRDefault="00743C43">
      <w:pPr>
        <w:spacing w:line="276" w:lineRule="auto"/>
        <w:rPr>
          <w:color w:val="000000" w:themeColor="text1"/>
          <w:sz w:val="2"/>
          <w:szCs w:val="2"/>
        </w:rPr>
      </w:pPr>
    </w:p>
    <w:p w14:paraId="3682EA7B" w14:textId="77777777" w:rsidR="00274A7C" w:rsidRDefault="00274A7C">
      <w:pPr>
        <w:spacing w:line="276" w:lineRule="auto"/>
        <w:rPr>
          <w:color w:val="000000" w:themeColor="text1"/>
          <w:sz w:val="2"/>
          <w:szCs w:val="2"/>
        </w:rPr>
      </w:pPr>
    </w:p>
    <w:p w14:paraId="23AE48DF" w14:textId="77777777" w:rsidR="00274A7C" w:rsidRDefault="00274A7C">
      <w:pPr>
        <w:spacing w:line="276" w:lineRule="auto"/>
        <w:rPr>
          <w:color w:val="000000" w:themeColor="text1"/>
          <w:sz w:val="2"/>
          <w:szCs w:val="2"/>
        </w:rPr>
      </w:pPr>
    </w:p>
    <w:p w14:paraId="3CBA1F68" w14:textId="77777777" w:rsidR="00274A7C" w:rsidRDefault="00274A7C">
      <w:pPr>
        <w:spacing w:line="276" w:lineRule="auto"/>
        <w:rPr>
          <w:color w:val="000000" w:themeColor="text1"/>
          <w:sz w:val="2"/>
          <w:szCs w:val="2"/>
        </w:rPr>
      </w:pPr>
    </w:p>
    <w:sectPr w:rsidR="00274A7C" w:rsidSect="00F33A7B">
      <w:footerReference w:type="default" r:id="rId12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DC51C" w14:textId="77777777" w:rsidR="002A3EFB" w:rsidRDefault="002A3EFB" w:rsidP="00EA21BD">
      <w:r>
        <w:separator/>
      </w:r>
    </w:p>
  </w:endnote>
  <w:endnote w:type="continuationSeparator" w:id="0">
    <w:p w14:paraId="49682B90" w14:textId="77777777" w:rsidR="002A3EFB" w:rsidRDefault="002A3EFB" w:rsidP="00EA21BD">
      <w:r>
        <w:continuationSeparator/>
      </w:r>
    </w:p>
  </w:endnote>
  <w:endnote w:type="continuationNotice" w:id="1">
    <w:p w14:paraId="335FF81B" w14:textId="77777777" w:rsidR="002A3EFB" w:rsidRDefault="002A3E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CF9FC" w14:textId="2472EA9D" w:rsidR="00007E2B" w:rsidRPr="00F02EF3" w:rsidRDefault="00007E2B" w:rsidP="00C02A9B">
    <w:pPr>
      <w:pStyle w:val="Stopka"/>
      <w:tabs>
        <w:tab w:val="clear" w:pos="4536"/>
        <w:tab w:val="clear" w:pos="9072"/>
        <w:tab w:val="center" w:pos="7699"/>
        <w:tab w:val="right" w:pos="153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A637B" w14:textId="77777777" w:rsidR="002A3EFB" w:rsidRDefault="002A3EFB" w:rsidP="00EA21BD">
      <w:r>
        <w:separator/>
      </w:r>
    </w:p>
  </w:footnote>
  <w:footnote w:type="continuationSeparator" w:id="0">
    <w:p w14:paraId="71083220" w14:textId="77777777" w:rsidR="002A3EFB" w:rsidRDefault="002A3EFB" w:rsidP="00EA21BD">
      <w:r>
        <w:continuationSeparator/>
      </w:r>
    </w:p>
  </w:footnote>
  <w:footnote w:type="continuationNotice" w:id="1">
    <w:p w14:paraId="2FCDEFCD" w14:textId="77777777" w:rsidR="002A3EFB" w:rsidRDefault="002A3E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1ED"/>
    <w:multiLevelType w:val="multilevel"/>
    <w:tmpl w:val="388A707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2FE7459"/>
    <w:multiLevelType w:val="multilevel"/>
    <w:tmpl w:val="41EC864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000000" w:themeColor="text1"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Times New Roman" w:hAnsi="Times New Roman" w:cs="Times New Roman"/>
        <w:b w:val="0"/>
        <w:bCs w:val="0"/>
        <w:color w:val="000000" w:themeColor="text1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space"/>
      <w:lvlText w:val="%5)"/>
      <w:lvlJc w:val="left"/>
      <w:pPr>
        <w:ind w:left="652" w:hanging="226"/>
      </w:pPr>
      <w:rPr>
        <w:rFonts w:hint="default"/>
        <w:b w:val="0"/>
        <w:bCs w:val="0"/>
        <w:color w:val="000000" w:themeColor="text1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33527F8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" w15:restartNumberingAfterBreak="0">
    <w:nsid w:val="05F42456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" w15:restartNumberingAfterBreak="0">
    <w:nsid w:val="065A4EAC"/>
    <w:multiLevelType w:val="multilevel"/>
    <w:tmpl w:val="158C0EE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08E67F23"/>
    <w:multiLevelType w:val="multilevel"/>
    <w:tmpl w:val="158C0EE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08EC6E81"/>
    <w:multiLevelType w:val="multilevel"/>
    <w:tmpl w:val="6F5EF0F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Roman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08F7100E"/>
    <w:multiLevelType w:val="hybridMultilevel"/>
    <w:tmpl w:val="BEBCEC9E"/>
    <w:lvl w:ilvl="0" w:tplc="19321666">
      <w:start w:val="1"/>
      <w:numFmt w:val="decimal"/>
      <w:lvlText w:val="%1)"/>
      <w:lvlJc w:val="left"/>
      <w:pPr>
        <w:ind w:left="587" w:hanging="360"/>
      </w:pPr>
      <w:rPr>
        <w:rFonts w:ascii="Times New Roman" w:eastAsia="Malgun Gothic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8" w15:restartNumberingAfterBreak="0">
    <w:nsid w:val="0A5F0C81"/>
    <w:multiLevelType w:val="multilevel"/>
    <w:tmpl w:val="83C6AC6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0F321642"/>
    <w:multiLevelType w:val="hybridMultilevel"/>
    <w:tmpl w:val="52DE97AC"/>
    <w:lvl w:ilvl="0" w:tplc="381265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24C8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2ACF1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84E26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7AE73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A3297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EFA9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138B5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159072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0FDB7036"/>
    <w:multiLevelType w:val="multilevel"/>
    <w:tmpl w:val="133C478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10110A47"/>
    <w:multiLevelType w:val="multilevel"/>
    <w:tmpl w:val="CC3A53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10193A89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10A3007E"/>
    <w:multiLevelType w:val="multilevel"/>
    <w:tmpl w:val="41EC864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000000" w:themeColor="text1"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Times New Roman" w:hAnsi="Times New Roman" w:cs="Times New Roman"/>
        <w:b w:val="0"/>
        <w:bCs w:val="0"/>
        <w:color w:val="000000" w:themeColor="text1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space"/>
      <w:lvlText w:val="%5)"/>
      <w:lvlJc w:val="left"/>
      <w:pPr>
        <w:ind w:left="652" w:hanging="226"/>
      </w:pPr>
      <w:rPr>
        <w:rFonts w:hint="default"/>
        <w:b w:val="0"/>
        <w:bCs w:val="0"/>
        <w:color w:val="000000" w:themeColor="text1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12736B73"/>
    <w:multiLevelType w:val="multilevel"/>
    <w:tmpl w:val="133C478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12CF3913"/>
    <w:multiLevelType w:val="hybridMultilevel"/>
    <w:tmpl w:val="BDB20196"/>
    <w:lvl w:ilvl="0" w:tplc="3642C8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54D6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57C5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952DB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E5CA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D3E10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FDC0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DE67F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B823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150A49D1"/>
    <w:multiLevelType w:val="multilevel"/>
    <w:tmpl w:val="D520B7B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15145BA0"/>
    <w:multiLevelType w:val="multilevel"/>
    <w:tmpl w:val="133C478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162A6D0A"/>
    <w:multiLevelType w:val="multilevel"/>
    <w:tmpl w:val="83C6AC6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195D2F01"/>
    <w:multiLevelType w:val="multilevel"/>
    <w:tmpl w:val="011AA93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color w:val="000000" w:themeColor="text1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19E23466"/>
    <w:multiLevelType w:val="hybridMultilevel"/>
    <w:tmpl w:val="5ACE098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DC0954"/>
    <w:multiLevelType w:val="multilevel"/>
    <w:tmpl w:val="7CBA4BA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1DC4193F"/>
    <w:multiLevelType w:val="hybridMultilevel"/>
    <w:tmpl w:val="E318AF6E"/>
    <w:lvl w:ilvl="0" w:tplc="FC5E48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F16517"/>
    <w:multiLevelType w:val="hybridMultilevel"/>
    <w:tmpl w:val="FEEE87D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F28759B"/>
    <w:multiLevelType w:val="multilevel"/>
    <w:tmpl w:val="377C09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0F76D58"/>
    <w:multiLevelType w:val="multilevel"/>
    <w:tmpl w:val="C340167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23564BB3"/>
    <w:multiLevelType w:val="multilevel"/>
    <w:tmpl w:val="83C6AC6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252B0F7E"/>
    <w:multiLevelType w:val="hybridMultilevel"/>
    <w:tmpl w:val="12405FB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55E337E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258510E4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271635B5"/>
    <w:multiLevelType w:val="hybridMultilevel"/>
    <w:tmpl w:val="47A846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A6447E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27D258CB"/>
    <w:multiLevelType w:val="hybridMultilevel"/>
    <w:tmpl w:val="5338FAB2"/>
    <w:lvl w:ilvl="0" w:tplc="0415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33" w15:restartNumberingAfterBreak="0">
    <w:nsid w:val="2F842571"/>
    <w:multiLevelType w:val="multilevel"/>
    <w:tmpl w:val="158C0EE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2FD70A17"/>
    <w:multiLevelType w:val="multilevel"/>
    <w:tmpl w:val="C32C11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31C0638"/>
    <w:multiLevelType w:val="multilevel"/>
    <w:tmpl w:val="8DE05FBE"/>
    <w:lvl w:ilvl="0">
      <w:start w:val="4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6" w15:restartNumberingAfterBreak="0">
    <w:nsid w:val="341666D4"/>
    <w:multiLevelType w:val="hybridMultilevel"/>
    <w:tmpl w:val="54546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4F082E"/>
    <w:multiLevelType w:val="multilevel"/>
    <w:tmpl w:val="158C0EE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8" w15:restartNumberingAfterBreak="0">
    <w:nsid w:val="3457268E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371A24CC"/>
    <w:multiLevelType w:val="multilevel"/>
    <w:tmpl w:val="9B28BE3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0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0" w15:restartNumberingAfterBreak="0">
    <w:nsid w:val="3A406805"/>
    <w:multiLevelType w:val="multilevel"/>
    <w:tmpl w:val="C3CC1DDA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1" w15:restartNumberingAfterBreak="0">
    <w:nsid w:val="3B1F4F9D"/>
    <w:multiLevelType w:val="hybridMultilevel"/>
    <w:tmpl w:val="80EA25C6"/>
    <w:lvl w:ilvl="0" w:tplc="0415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9A2C0A"/>
    <w:multiLevelType w:val="multilevel"/>
    <w:tmpl w:val="E4DA0A76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3" w15:restartNumberingAfterBreak="0">
    <w:nsid w:val="40D73920"/>
    <w:multiLevelType w:val="hybridMultilevel"/>
    <w:tmpl w:val="6F441DF6"/>
    <w:lvl w:ilvl="0" w:tplc="FC5E480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A641C6B"/>
    <w:multiLevelType w:val="multilevel"/>
    <w:tmpl w:val="FD3EC4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5" w15:restartNumberingAfterBreak="0">
    <w:nsid w:val="4A7F2750"/>
    <w:multiLevelType w:val="hybridMultilevel"/>
    <w:tmpl w:val="67D278A2"/>
    <w:lvl w:ilvl="0" w:tplc="8C68064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6" w15:restartNumberingAfterBreak="0">
    <w:nsid w:val="4F3729E5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7" w15:restartNumberingAfterBreak="0">
    <w:nsid w:val="50285498"/>
    <w:multiLevelType w:val="multilevel"/>
    <w:tmpl w:val="3E4EAF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51671A9B"/>
    <w:multiLevelType w:val="hybridMultilevel"/>
    <w:tmpl w:val="C2084252"/>
    <w:lvl w:ilvl="0" w:tplc="90BCDEF8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1B70D7C"/>
    <w:multiLevelType w:val="hybridMultilevel"/>
    <w:tmpl w:val="EBF22EF4"/>
    <w:lvl w:ilvl="0" w:tplc="FC5E48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AA0433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51" w15:restartNumberingAfterBreak="0">
    <w:nsid w:val="57D72056"/>
    <w:multiLevelType w:val="multilevel"/>
    <w:tmpl w:val="F80689D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lowerLetter"/>
      <w:lvlText w:val="%3)"/>
      <w:lvlJc w:val="left"/>
      <w:pPr>
        <w:ind w:left="360" w:hanging="360"/>
      </w:p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2" w15:restartNumberingAfterBreak="0">
    <w:nsid w:val="5A2469CB"/>
    <w:multiLevelType w:val="hybridMultilevel"/>
    <w:tmpl w:val="B45E2A6C"/>
    <w:lvl w:ilvl="0" w:tplc="0415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3" w15:restartNumberingAfterBreak="0">
    <w:nsid w:val="5CCE05D6"/>
    <w:multiLevelType w:val="hybridMultilevel"/>
    <w:tmpl w:val="6BF882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0E6FD5"/>
    <w:multiLevelType w:val="hybridMultilevel"/>
    <w:tmpl w:val="3B6E6B22"/>
    <w:lvl w:ilvl="0" w:tplc="57026BCC">
      <w:start w:val="1"/>
      <w:numFmt w:val="lowerLetter"/>
      <w:lvlText w:val="%1)"/>
      <w:lvlJc w:val="left"/>
      <w:pPr>
        <w:ind w:left="360" w:hanging="360"/>
      </w:pPr>
      <w:rPr>
        <w:rFonts w:ascii="Times New Roman" w:eastAsia="Malgun Gothic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F23159C"/>
    <w:multiLevelType w:val="hybridMultilevel"/>
    <w:tmpl w:val="6A4A2B70"/>
    <w:lvl w:ilvl="0" w:tplc="0415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6" w15:restartNumberingAfterBreak="0">
    <w:nsid w:val="63A75BF7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  <w:dstrike w:val="0"/>
        <w:u w:val="none"/>
        <w:effect w:val="none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57" w15:restartNumberingAfterBreak="0">
    <w:nsid w:val="66313009"/>
    <w:multiLevelType w:val="multilevel"/>
    <w:tmpl w:val="644AC020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Roman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8" w15:restartNumberingAfterBreak="0">
    <w:nsid w:val="68A71B1E"/>
    <w:multiLevelType w:val="hybridMultilevel"/>
    <w:tmpl w:val="12405FBA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8D2058B"/>
    <w:multiLevelType w:val="hybridMultilevel"/>
    <w:tmpl w:val="D0CCA81A"/>
    <w:lvl w:ilvl="0" w:tplc="FC5E4806">
      <w:numFmt w:val="bullet"/>
      <w:lvlText w:val="•"/>
      <w:lvlJc w:val="left"/>
      <w:pPr>
        <w:ind w:left="587" w:hanging="360"/>
      </w:pPr>
      <w:rPr>
        <w:rFonts w:hint="default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0" w15:restartNumberingAfterBreak="0">
    <w:nsid w:val="703C04A0"/>
    <w:multiLevelType w:val="hybridMultilevel"/>
    <w:tmpl w:val="31BC42A4"/>
    <w:lvl w:ilvl="0" w:tplc="F2380F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E20BA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C8E05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8A6E456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CF7A097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94CE35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437EC6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343EBB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0366C4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1" w15:restartNumberingAfterBreak="0">
    <w:nsid w:val="71482124"/>
    <w:multiLevelType w:val="hybridMultilevel"/>
    <w:tmpl w:val="2F8EBD36"/>
    <w:lvl w:ilvl="0" w:tplc="0415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2" w15:restartNumberingAfterBreak="0">
    <w:nsid w:val="760A40FA"/>
    <w:multiLevelType w:val="hybridMultilevel"/>
    <w:tmpl w:val="13BA412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8604EB5"/>
    <w:multiLevelType w:val="multilevel"/>
    <w:tmpl w:val="133C478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4" w15:restartNumberingAfterBreak="0">
    <w:nsid w:val="78F35227"/>
    <w:multiLevelType w:val="multilevel"/>
    <w:tmpl w:val="1946DA30"/>
    <w:lvl w:ilvl="0">
      <w:start w:val="1"/>
      <w:numFmt w:val="decimal"/>
      <w:lvlText w:val="%1."/>
      <w:lvlJc w:val="left"/>
      <w:pPr>
        <w:ind w:left="382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382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62" w:hanging="1440"/>
      </w:pPr>
      <w:rPr>
        <w:rFonts w:hint="default"/>
      </w:rPr>
    </w:lvl>
  </w:abstractNum>
  <w:abstractNum w:abstractNumId="65" w15:restartNumberingAfterBreak="0">
    <w:nsid w:val="7ABB34AC"/>
    <w:multiLevelType w:val="hybridMultilevel"/>
    <w:tmpl w:val="92682AB8"/>
    <w:lvl w:ilvl="0" w:tplc="0415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6" w15:restartNumberingAfterBreak="0">
    <w:nsid w:val="7BFB2FDA"/>
    <w:multiLevelType w:val="multilevel"/>
    <w:tmpl w:val="C340FA3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lowerLetter"/>
      <w:lvlText w:val="%3)"/>
      <w:lvlJc w:val="left"/>
      <w:pPr>
        <w:ind w:left="360" w:hanging="360"/>
      </w:p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7" w15:restartNumberingAfterBreak="0">
    <w:nsid w:val="7E222B31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8" w15:restartNumberingAfterBreak="0">
    <w:nsid w:val="7F426575"/>
    <w:multiLevelType w:val="multilevel"/>
    <w:tmpl w:val="9B28BE3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0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981763862">
    <w:abstractNumId w:val="13"/>
  </w:num>
  <w:num w:numId="2" w16cid:durableId="2129279407">
    <w:abstractNumId w:val="25"/>
  </w:num>
  <w:num w:numId="3" w16cid:durableId="370571095">
    <w:abstractNumId w:val="35"/>
  </w:num>
  <w:num w:numId="4" w16cid:durableId="754089180">
    <w:abstractNumId w:val="21"/>
  </w:num>
  <w:num w:numId="5" w16cid:durableId="831263524">
    <w:abstractNumId w:val="44"/>
  </w:num>
  <w:num w:numId="6" w16cid:durableId="584188844">
    <w:abstractNumId w:val="40"/>
  </w:num>
  <w:num w:numId="7" w16cid:durableId="604188679">
    <w:abstractNumId w:val="55"/>
  </w:num>
  <w:num w:numId="8" w16cid:durableId="1679966958">
    <w:abstractNumId w:val="65"/>
  </w:num>
  <w:num w:numId="9" w16cid:durableId="1684014779">
    <w:abstractNumId w:val="52"/>
  </w:num>
  <w:num w:numId="10" w16cid:durableId="787243293">
    <w:abstractNumId w:val="23"/>
  </w:num>
  <w:num w:numId="11" w16cid:durableId="669479507">
    <w:abstractNumId w:val="61"/>
  </w:num>
  <w:num w:numId="12" w16cid:durableId="754477710">
    <w:abstractNumId w:val="19"/>
  </w:num>
  <w:num w:numId="13" w16cid:durableId="1002197995">
    <w:abstractNumId w:val="59"/>
  </w:num>
  <w:num w:numId="14" w16cid:durableId="250241779">
    <w:abstractNumId w:val="36"/>
  </w:num>
  <w:num w:numId="15" w16cid:durableId="604773634">
    <w:abstractNumId w:val="34"/>
  </w:num>
  <w:num w:numId="16" w16cid:durableId="1542553066">
    <w:abstractNumId w:val="48"/>
  </w:num>
  <w:num w:numId="17" w16cid:durableId="1461075486">
    <w:abstractNumId w:val="43"/>
  </w:num>
  <w:num w:numId="18" w16cid:durableId="1673339514">
    <w:abstractNumId w:val="62"/>
  </w:num>
  <w:num w:numId="19" w16cid:durableId="565265008">
    <w:abstractNumId w:val="22"/>
  </w:num>
  <w:num w:numId="20" w16cid:durableId="1353993164">
    <w:abstractNumId w:val="6"/>
  </w:num>
  <w:num w:numId="21" w16cid:durableId="936449342">
    <w:abstractNumId w:val="32"/>
  </w:num>
  <w:num w:numId="22" w16cid:durableId="1947342307">
    <w:abstractNumId w:val="7"/>
  </w:num>
  <w:num w:numId="23" w16cid:durableId="448548152">
    <w:abstractNumId w:val="64"/>
  </w:num>
  <w:num w:numId="24" w16cid:durableId="866721260">
    <w:abstractNumId w:val="16"/>
  </w:num>
  <w:num w:numId="25" w16cid:durableId="1015767377">
    <w:abstractNumId w:val="58"/>
  </w:num>
  <w:num w:numId="26" w16cid:durableId="689331876">
    <w:abstractNumId w:val="27"/>
  </w:num>
  <w:num w:numId="27" w16cid:durableId="1441603179">
    <w:abstractNumId w:val="54"/>
  </w:num>
  <w:num w:numId="28" w16cid:durableId="1963225844">
    <w:abstractNumId w:val="14"/>
  </w:num>
  <w:num w:numId="29" w16cid:durableId="374617827">
    <w:abstractNumId w:val="11"/>
  </w:num>
  <w:num w:numId="30" w16cid:durableId="1743525833">
    <w:abstractNumId w:val="51"/>
  </w:num>
  <w:num w:numId="31" w16cid:durableId="904798554">
    <w:abstractNumId w:val="57"/>
  </w:num>
  <w:num w:numId="32" w16cid:durableId="20977422">
    <w:abstractNumId w:val="24"/>
  </w:num>
  <w:num w:numId="33" w16cid:durableId="705637408">
    <w:abstractNumId w:val="66"/>
  </w:num>
  <w:num w:numId="34" w16cid:durableId="747844010">
    <w:abstractNumId w:val="42"/>
  </w:num>
  <w:num w:numId="35" w16cid:durableId="849951814">
    <w:abstractNumId w:val="49"/>
  </w:num>
  <w:num w:numId="36" w16cid:durableId="240603434">
    <w:abstractNumId w:val="47"/>
  </w:num>
  <w:num w:numId="37" w16cid:durableId="1696034916">
    <w:abstractNumId w:val="60"/>
  </w:num>
  <w:num w:numId="38" w16cid:durableId="1807576511">
    <w:abstractNumId w:val="9"/>
  </w:num>
  <w:num w:numId="39" w16cid:durableId="1281035240">
    <w:abstractNumId w:val="15"/>
  </w:num>
  <w:num w:numId="40" w16cid:durableId="154689944">
    <w:abstractNumId w:val="1"/>
  </w:num>
  <w:num w:numId="41" w16cid:durableId="1499542687">
    <w:abstractNumId w:val="68"/>
  </w:num>
  <w:num w:numId="42" w16cid:durableId="595525829">
    <w:abstractNumId w:val="8"/>
  </w:num>
  <w:num w:numId="43" w16cid:durableId="349645114">
    <w:abstractNumId w:val="3"/>
  </w:num>
  <w:num w:numId="44" w16cid:durableId="437725911">
    <w:abstractNumId w:val="45"/>
  </w:num>
  <w:num w:numId="45" w16cid:durableId="540441279">
    <w:abstractNumId w:val="53"/>
  </w:num>
  <w:num w:numId="46" w16cid:durableId="507141876">
    <w:abstractNumId w:val="20"/>
  </w:num>
  <w:num w:numId="47" w16cid:durableId="818963505">
    <w:abstractNumId w:val="41"/>
  </w:num>
  <w:num w:numId="48" w16cid:durableId="1506019467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805851359">
    <w:abstractNumId w:val="17"/>
  </w:num>
  <w:num w:numId="50" w16cid:durableId="1027098291">
    <w:abstractNumId w:val="10"/>
  </w:num>
  <w:num w:numId="51" w16cid:durableId="1159882239">
    <w:abstractNumId w:val="39"/>
  </w:num>
  <w:num w:numId="52" w16cid:durableId="1278680676">
    <w:abstractNumId w:val="63"/>
  </w:num>
  <w:num w:numId="53" w16cid:durableId="607199908">
    <w:abstractNumId w:val="30"/>
  </w:num>
  <w:num w:numId="54" w16cid:durableId="2066100209">
    <w:abstractNumId w:val="26"/>
  </w:num>
  <w:num w:numId="55" w16cid:durableId="1959483334">
    <w:abstractNumId w:val="18"/>
  </w:num>
  <w:num w:numId="56" w16cid:durableId="211236858">
    <w:abstractNumId w:val="29"/>
  </w:num>
  <w:num w:numId="57" w16cid:durableId="160700078">
    <w:abstractNumId w:val="28"/>
  </w:num>
  <w:num w:numId="58" w16cid:durableId="1881093760">
    <w:abstractNumId w:val="38"/>
  </w:num>
  <w:num w:numId="59" w16cid:durableId="1571889917">
    <w:abstractNumId w:val="46"/>
  </w:num>
  <w:num w:numId="60" w16cid:durableId="1864399979">
    <w:abstractNumId w:val="2"/>
  </w:num>
  <w:num w:numId="61" w16cid:durableId="1842230792">
    <w:abstractNumId w:val="31"/>
  </w:num>
  <w:num w:numId="62" w16cid:durableId="1767845229">
    <w:abstractNumId w:val="67"/>
  </w:num>
  <w:num w:numId="63" w16cid:durableId="1908804192">
    <w:abstractNumId w:val="12"/>
  </w:num>
  <w:num w:numId="64" w16cid:durableId="547910287">
    <w:abstractNumId w:val="0"/>
  </w:num>
  <w:num w:numId="65" w16cid:durableId="1652638044">
    <w:abstractNumId w:val="37"/>
  </w:num>
  <w:num w:numId="66" w16cid:durableId="179053741">
    <w:abstractNumId w:val="50"/>
  </w:num>
  <w:num w:numId="67" w16cid:durableId="1951547802">
    <w:abstractNumId w:val="4"/>
  </w:num>
  <w:num w:numId="68" w16cid:durableId="294992738">
    <w:abstractNumId w:val="5"/>
  </w:num>
  <w:num w:numId="69" w16cid:durableId="1917126591">
    <w:abstractNumId w:val="3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C43"/>
    <w:rsid w:val="00001AF1"/>
    <w:rsid w:val="00003FB6"/>
    <w:rsid w:val="000052C5"/>
    <w:rsid w:val="00005A18"/>
    <w:rsid w:val="00006775"/>
    <w:rsid w:val="00006DA5"/>
    <w:rsid w:val="00007E2B"/>
    <w:rsid w:val="00010CB6"/>
    <w:rsid w:val="00014BD4"/>
    <w:rsid w:val="00015C6D"/>
    <w:rsid w:val="00015D29"/>
    <w:rsid w:val="00016CEB"/>
    <w:rsid w:val="00020D5A"/>
    <w:rsid w:val="0002462E"/>
    <w:rsid w:val="00024F01"/>
    <w:rsid w:val="000265D5"/>
    <w:rsid w:val="0003089B"/>
    <w:rsid w:val="00031BD0"/>
    <w:rsid w:val="000324C8"/>
    <w:rsid w:val="00034C41"/>
    <w:rsid w:val="000358E9"/>
    <w:rsid w:val="000362C4"/>
    <w:rsid w:val="00036878"/>
    <w:rsid w:val="00037739"/>
    <w:rsid w:val="00037A4D"/>
    <w:rsid w:val="000406E6"/>
    <w:rsid w:val="00042072"/>
    <w:rsid w:val="000421DB"/>
    <w:rsid w:val="00043484"/>
    <w:rsid w:val="00043541"/>
    <w:rsid w:val="00043594"/>
    <w:rsid w:val="000448DB"/>
    <w:rsid w:val="000451C1"/>
    <w:rsid w:val="000461F4"/>
    <w:rsid w:val="00046791"/>
    <w:rsid w:val="00047029"/>
    <w:rsid w:val="0004737A"/>
    <w:rsid w:val="00050638"/>
    <w:rsid w:val="0005193B"/>
    <w:rsid w:val="00051BCA"/>
    <w:rsid w:val="0005269F"/>
    <w:rsid w:val="0005340E"/>
    <w:rsid w:val="00054E27"/>
    <w:rsid w:val="00056780"/>
    <w:rsid w:val="00056CB8"/>
    <w:rsid w:val="000571AF"/>
    <w:rsid w:val="000577EC"/>
    <w:rsid w:val="00060269"/>
    <w:rsid w:val="00061231"/>
    <w:rsid w:val="00062D52"/>
    <w:rsid w:val="00063C07"/>
    <w:rsid w:val="000642FA"/>
    <w:rsid w:val="00066200"/>
    <w:rsid w:val="0006696F"/>
    <w:rsid w:val="000707EC"/>
    <w:rsid w:val="00071A37"/>
    <w:rsid w:val="00071F53"/>
    <w:rsid w:val="00072ED4"/>
    <w:rsid w:val="00075175"/>
    <w:rsid w:val="0007699C"/>
    <w:rsid w:val="00076C48"/>
    <w:rsid w:val="00077406"/>
    <w:rsid w:val="00080162"/>
    <w:rsid w:val="00081EA0"/>
    <w:rsid w:val="0008215F"/>
    <w:rsid w:val="00084786"/>
    <w:rsid w:val="000849AC"/>
    <w:rsid w:val="00086D70"/>
    <w:rsid w:val="0008730C"/>
    <w:rsid w:val="00090F70"/>
    <w:rsid w:val="000916AE"/>
    <w:rsid w:val="00097B65"/>
    <w:rsid w:val="000A0004"/>
    <w:rsid w:val="000A008C"/>
    <w:rsid w:val="000A04F9"/>
    <w:rsid w:val="000A11CE"/>
    <w:rsid w:val="000A2D58"/>
    <w:rsid w:val="000A3985"/>
    <w:rsid w:val="000A51D6"/>
    <w:rsid w:val="000A63E3"/>
    <w:rsid w:val="000A765E"/>
    <w:rsid w:val="000B16FD"/>
    <w:rsid w:val="000B26AA"/>
    <w:rsid w:val="000B3751"/>
    <w:rsid w:val="000B5054"/>
    <w:rsid w:val="000B6E43"/>
    <w:rsid w:val="000C12FD"/>
    <w:rsid w:val="000C16FC"/>
    <w:rsid w:val="000C3F1B"/>
    <w:rsid w:val="000C6A47"/>
    <w:rsid w:val="000D2612"/>
    <w:rsid w:val="000D2CE6"/>
    <w:rsid w:val="000D34D2"/>
    <w:rsid w:val="000D422B"/>
    <w:rsid w:val="000E0606"/>
    <w:rsid w:val="000E0FCC"/>
    <w:rsid w:val="000E25C8"/>
    <w:rsid w:val="000E4CC9"/>
    <w:rsid w:val="000E75AC"/>
    <w:rsid w:val="000E7B7F"/>
    <w:rsid w:val="000F17A4"/>
    <w:rsid w:val="000F17E1"/>
    <w:rsid w:val="000F1B49"/>
    <w:rsid w:val="000F28F4"/>
    <w:rsid w:val="000F3501"/>
    <w:rsid w:val="000F5D97"/>
    <w:rsid w:val="000F5DEC"/>
    <w:rsid w:val="000F7256"/>
    <w:rsid w:val="000F741E"/>
    <w:rsid w:val="00100410"/>
    <w:rsid w:val="00100861"/>
    <w:rsid w:val="00103D2E"/>
    <w:rsid w:val="0010544E"/>
    <w:rsid w:val="00107C99"/>
    <w:rsid w:val="00110AD5"/>
    <w:rsid w:val="001128C6"/>
    <w:rsid w:val="00112A7E"/>
    <w:rsid w:val="001139FB"/>
    <w:rsid w:val="0011451A"/>
    <w:rsid w:val="001147F7"/>
    <w:rsid w:val="0011750A"/>
    <w:rsid w:val="001176F0"/>
    <w:rsid w:val="00122901"/>
    <w:rsid w:val="00122C86"/>
    <w:rsid w:val="00125DA5"/>
    <w:rsid w:val="00126625"/>
    <w:rsid w:val="001274E2"/>
    <w:rsid w:val="00134BE9"/>
    <w:rsid w:val="00136191"/>
    <w:rsid w:val="00137CC4"/>
    <w:rsid w:val="0014035D"/>
    <w:rsid w:val="001412CF"/>
    <w:rsid w:val="001414FD"/>
    <w:rsid w:val="00142A8A"/>
    <w:rsid w:val="00144C47"/>
    <w:rsid w:val="00145EC5"/>
    <w:rsid w:val="00147848"/>
    <w:rsid w:val="00150CF7"/>
    <w:rsid w:val="00152B52"/>
    <w:rsid w:val="00154275"/>
    <w:rsid w:val="00155E03"/>
    <w:rsid w:val="00156047"/>
    <w:rsid w:val="00157AFB"/>
    <w:rsid w:val="001603AC"/>
    <w:rsid w:val="00162E44"/>
    <w:rsid w:val="0016524B"/>
    <w:rsid w:val="001653F2"/>
    <w:rsid w:val="001655FD"/>
    <w:rsid w:val="00165F32"/>
    <w:rsid w:val="00166DAF"/>
    <w:rsid w:val="0017102E"/>
    <w:rsid w:val="00174934"/>
    <w:rsid w:val="0017758F"/>
    <w:rsid w:val="0019021B"/>
    <w:rsid w:val="001932B9"/>
    <w:rsid w:val="00194C0C"/>
    <w:rsid w:val="00196C83"/>
    <w:rsid w:val="00196C8F"/>
    <w:rsid w:val="001A03CD"/>
    <w:rsid w:val="001A0EDB"/>
    <w:rsid w:val="001A16A4"/>
    <w:rsid w:val="001A23DB"/>
    <w:rsid w:val="001A2845"/>
    <w:rsid w:val="001A2B07"/>
    <w:rsid w:val="001A4A98"/>
    <w:rsid w:val="001A4AC1"/>
    <w:rsid w:val="001A4BB0"/>
    <w:rsid w:val="001A5DB5"/>
    <w:rsid w:val="001A696D"/>
    <w:rsid w:val="001A7ADC"/>
    <w:rsid w:val="001B0059"/>
    <w:rsid w:val="001B2684"/>
    <w:rsid w:val="001B7C04"/>
    <w:rsid w:val="001C23CB"/>
    <w:rsid w:val="001C2457"/>
    <w:rsid w:val="001C3EC6"/>
    <w:rsid w:val="001C60B6"/>
    <w:rsid w:val="001C77B1"/>
    <w:rsid w:val="001D28E6"/>
    <w:rsid w:val="001D2F51"/>
    <w:rsid w:val="001D35C7"/>
    <w:rsid w:val="001D4367"/>
    <w:rsid w:val="001D7998"/>
    <w:rsid w:val="001D7CB9"/>
    <w:rsid w:val="001E0F91"/>
    <w:rsid w:val="001E35B2"/>
    <w:rsid w:val="001E676A"/>
    <w:rsid w:val="001E7CA4"/>
    <w:rsid w:val="001F1C8E"/>
    <w:rsid w:val="001F356C"/>
    <w:rsid w:val="001F3616"/>
    <w:rsid w:val="001F5960"/>
    <w:rsid w:val="001F6474"/>
    <w:rsid w:val="0020288D"/>
    <w:rsid w:val="002030AC"/>
    <w:rsid w:val="0020596B"/>
    <w:rsid w:val="002108CF"/>
    <w:rsid w:val="00210B0D"/>
    <w:rsid w:val="00211635"/>
    <w:rsid w:val="002120F9"/>
    <w:rsid w:val="00212FB4"/>
    <w:rsid w:val="0021415A"/>
    <w:rsid w:val="0021572A"/>
    <w:rsid w:val="0021688B"/>
    <w:rsid w:val="00217ECB"/>
    <w:rsid w:val="00221D34"/>
    <w:rsid w:val="00222A27"/>
    <w:rsid w:val="00223BEF"/>
    <w:rsid w:val="00224988"/>
    <w:rsid w:val="00224DAF"/>
    <w:rsid w:val="0022738C"/>
    <w:rsid w:val="00230BFA"/>
    <w:rsid w:val="002351A0"/>
    <w:rsid w:val="002361B0"/>
    <w:rsid w:val="0023634D"/>
    <w:rsid w:val="00237D71"/>
    <w:rsid w:val="0024095E"/>
    <w:rsid w:val="00240C92"/>
    <w:rsid w:val="00241236"/>
    <w:rsid w:val="00241A84"/>
    <w:rsid w:val="00243DFB"/>
    <w:rsid w:val="00244C12"/>
    <w:rsid w:val="00244D22"/>
    <w:rsid w:val="00245A80"/>
    <w:rsid w:val="00246D45"/>
    <w:rsid w:val="00250747"/>
    <w:rsid w:val="00252ABE"/>
    <w:rsid w:val="00255404"/>
    <w:rsid w:val="00256AFD"/>
    <w:rsid w:val="00257E1C"/>
    <w:rsid w:val="00260CD4"/>
    <w:rsid w:val="002614DE"/>
    <w:rsid w:val="002617E0"/>
    <w:rsid w:val="0026181D"/>
    <w:rsid w:val="002622F5"/>
    <w:rsid w:val="00266105"/>
    <w:rsid w:val="00266886"/>
    <w:rsid w:val="00267ACF"/>
    <w:rsid w:val="002707AD"/>
    <w:rsid w:val="0027211E"/>
    <w:rsid w:val="00272D59"/>
    <w:rsid w:val="00273EBA"/>
    <w:rsid w:val="00273EF5"/>
    <w:rsid w:val="00274A7C"/>
    <w:rsid w:val="00275747"/>
    <w:rsid w:val="0027652B"/>
    <w:rsid w:val="00277994"/>
    <w:rsid w:val="002779E8"/>
    <w:rsid w:val="00277FC8"/>
    <w:rsid w:val="00280D25"/>
    <w:rsid w:val="002818D6"/>
    <w:rsid w:val="00281A18"/>
    <w:rsid w:val="00281E6F"/>
    <w:rsid w:val="002821BB"/>
    <w:rsid w:val="002853E3"/>
    <w:rsid w:val="00290779"/>
    <w:rsid w:val="002976D8"/>
    <w:rsid w:val="002A0CD0"/>
    <w:rsid w:val="002A25A9"/>
    <w:rsid w:val="002A3EFB"/>
    <w:rsid w:val="002A4315"/>
    <w:rsid w:val="002A4BAF"/>
    <w:rsid w:val="002A6AB4"/>
    <w:rsid w:val="002B198A"/>
    <w:rsid w:val="002B35D9"/>
    <w:rsid w:val="002B49E8"/>
    <w:rsid w:val="002B56AD"/>
    <w:rsid w:val="002B7491"/>
    <w:rsid w:val="002C4AEC"/>
    <w:rsid w:val="002C628C"/>
    <w:rsid w:val="002D07A0"/>
    <w:rsid w:val="002D3C22"/>
    <w:rsid w:val="002D4016"/>
    <w:rsid w:val="002D452F"/>
    <w:rsid w:val="002D5F2F"/>
    <w:rsid w:val="002D6884"/>
    <w:rsid w:val="002E1303"/>
    <w:rsid w:val="002E1BA2"/>
    <w:rsid w:val="002E22B3"/>
    <w:rsid w:val="002E47FF"/>
    <w:rsid w:val="002E629D"/>
    <w:rsid w:val="002F28BF"/>
    <w:rsid w:val="002F2974"/>
    <w:rsid w:val="002F30E6"/>
    <w:rsid w:val="002F724F"/>
    <w:rsid w:val="003033E5"/>
    <w:rsid w:val="003074A3"/>
    <w:rsid w:val="0031138F"/>
    <w:rsid w:val="0031204B"/>
    <w:rsid w:val="00312335"/>
    <w:rsid w:val="00312E32"/>
    <w:rsid w:val="00313FB3"/>
    <w:rsid w:val="0031512E"/>
    <w:rsid w:val="00315F31"/>
    <w:rsid w:val="003179CA"/>
    <w:rsid w:val="00321A53"/>
    <w:rsid w:val="00323201"/>
    <w:rsid w:val="0032398E"/>
    <w:rsid w:val="003240DC"/>
    <w:rsid w:val="00324DE6"/>
    <w:rsid w:val="0032679D"/>
    <w:rsid w:val="00327269"/>
    <w:rsid w:val="00331737"/>
    <w:rsid w:val="003326BC"/>
    <w:rsid w:val="00332C5D"/>
    <w:rsid w:val="00333259"/>
    <w:rsid w:val="00333C7E"/>
    <w:rsid w:val="00335A7E"/>
    <w:rsid w:val="00336157"/>
    <w:rsid w:val="00336DBF"/>
    <w:rsid w:val="00342BDF"/>
    <w:rsid w:val="00343136"/>
    <w:rsid w:val="0034410B"/>
    <w:rsid w:val="0034469A"/>
    <w:rsid w:val="003451D7"/>
    <w:rsid w:val="00345A6D"/>
    <w:rsid w:val="00345CF3"/>
    <w:rsid w:val="00346A9C"/>
    <w:rsid w:val="00347798"/>
    <w:rsid w:val="00350C0D"/>
    <w:rsid w:val="0035129D"/>
    <w:rsid w:val="00352DD8"/>
    <w:rsid w:val="00353518"/>
    <w:rsid w:val="00354575"/>
    <w:rsid w:val="00354CC3"/>
    <w:rsid w:val="00354CFF"/>
    <w:rsid w:val="00355036"/>
    <w:rsid w:val="003567F4"/>
    <w:rsid w:val="0035693B"/>
    <w:rsid w:val="00356D6B"/>
    <w:rsid w:val="00361E28"/>
    <w:rsid w:val="003626A8"/>
    <w:rsid w:val="00362C81"/>
    <w:rsid w:val="00363EFE"/>
    <w:rsid w:val="00365D99"/>
    <w:rsid w:val="003670D3"/>
    <w:rsid w:val="003707C1"/>
    <w:rsid w:val="00370C19"/>
    <w:rsid w:val="00372F8F"/>
    <w:rsid w:val="00374603"/>
    <w:rsid w:val="00377A2F"/>
    <w:rsid w:val="003806AA"/>
    <w:rsid w:val="00380FAD"/>
    <w:rsid w:val="003837AF"/>
    <w:rsid w:val="00384D71"/>
    <w:rsid w:val="00385F78"/>
    <w:rsid w:val="00386341"/>
    <w:rsid w:val="00386E90"/>
    <w:rsid w:val="0038781F"/>
    <w:rsid w:val="003903DA"/>
    <w:rsid w:val="00391666"/>
    <w:rsid w:val="00391917"/>
    <w:rsid w:val="003937A7"/>
    <w:rsid w:val="00394D40"/>
    <w:rsid w:val="00397B45"/>
    <w:rsid w:val="00397CFB"/>
    <w:rsid w:val="00397F27"/>
    <w:rsid w:val="00397F35"/>
    <w:rsid w:val="003A0A12"/>
    <w:rsid w:val="003A1EA8"/>
    <w:rsid w:val="003A235A"/>
    <w:rsid w:val="003A34BF"/>
    <w:rsid w:val="003A4275"/>
    <w:rsid w:val="003A51F8"/>
    <w:rsid w:val="003B1258"/>
    <w:rsid w:val="003B3E12"/>
    <w:rsid w:val="003B45D2"/>
    <w:rsid w:val="003B6538"/>
    <w:rsid w:val="003B789E"/>
    <w:rsid w:val="003C04B5"/>
    <w:rsid w:val="003C1CD4"/>
    <w:rsid w:val="003C30C9"/>
    <w:rsid w:val="003C386F"/>
    <w:rsid w:val="003C4692"/>
    <w:rsid w:val="003C6D48"/>
    <w:rsid w:val="003C74BA"/>
    <w:rsid w:val="003C75B9"/>
    <w:rsid w:val="003D0BC1"/>
    <w:rsid w:val="003D4C04"/>
    <w:rsid w:val="003D5510"/>
    <w:rsid w:val="003D5D8F"/>
    <w:rsid w:val="003D5DCC"/>
    <w:rsid w:val="003D7B3F"/>
    <w:rsid w:val="003E06DD"/>
    <w:rsid w:val="003E07BC"/>
    <w:rsid w:val="003E3485"/>
    <w:rsid w:val="003E44D4"/>
    <w:rsid w:val="003E5936"/>
    <w:rsid w:val="003E629A"/>
    <w:rsid w:val="003E7459"/>
    <w:rsid w:val="003F03A9"/>
    <w:rsid w:val="003F13BE"/>
    <w:rsid w:val="003F1688"/>
    <w:rsid w:val="003F2CAE"/>
    <w:rsid w:val="003F4A58"/>
    <w:rsid w:val="003F4D99"/>
    <w:rsid w:val="003F5F5A"/>
    <w:rsid w:val="003F653D"/>
    <w:rsid w:val="003F7B30"/>
    <w:rsid w:val="00403A32"/>
    <w:rsid w:val="00403F80"/>
    <w:rsid w:val="00404AFA"/>
    <w:rsid w:val="00404CED"/>
    <w:rsid w:val="004068D0"/>
    <w:rsid w:val="00406EC4"/>
    <w:rsid w:val="00406F49"/>
    <w:rsid w:val="00407A1C"/>
    <w:rsid w:val="004107C5"/>
    <w:rsid w:val="00412066"/>
    <w:rsid w:val="004129F1"/>
    <w:rsid w:val="00414067"/>
    <w:rsid w:val="00416925"/>
    <w:rsid w:val="00416D93"/>
    <w:rsid w:val="00420922"/>
    <w:rsid w:val="00421194"/>
    <w:rsid w:val="0042284B"/>
    <w:rsid w:val="00423B41"/>
    <w:rsid w:val="0042444E"/>
    <w:rsid w:val="0042728F"/>
    <w:rsid w:val="00427839"/>
    <w:rsid w:val="004311BB"/>
    <w:rsid w:val="004318F8"/>
    <w:rsid w:val="00432C04"/>
    <w:rsid w:val="00432FD8"/>
    <w:rsid w:val="00433AD9"/>
    <w:rsid w:val="00436441"/>
    <w:rsid w:val="004405D9"/>
    <w:rsid w:val="00440BBA"/>
    <w:rsid w:val="00442E3B"/>
    <w:rsid w:val="004436F0"/>
    <w:rsid w:val="0044490C"/>
    <w:rsid w:val="004469DD"/>
    <w:rsid w:val="00447186"/>
    <w:rsid w:val="004474EC"/>
    <w:rsid w:val="00447B4D"/>
    <w:rsid w:val="00450E04"/>
    <w:rsid w:val="00452650"/>
    <w:rsid w:val="00452C80"/>
    <w:rsid w:val="00457A1B"/>
    <w:rsid w:val="00461660"/>
    <w:rsid w:val="0046216C"/>
    <w:rsid w:val="0046281A"/>
    <w:rsid w:val="004630A6"/>
    <w:rsid w:val="00463569"/>
    <w:rsid w:val="0046516E"/>
    <w:rsid w:val="00465CFC"/>
    <w:rsid w:val="0046645A"/>
    <w:rsid w:val="00467232"/>
    <w:rsid w:val="00470C8B"/>
    <w:rsid w:val="00471CC3"/>
    <w:rsid w:val="0047290D"/>
    <w:rsid w:val="00472B65"/>
    <w:rsid w:val="00476945"/>
    <w:rsid w:val="00476948"/>
    <w:rsid w:val="00477E8D"/>
    <w:rsid w:val="00480687"/>
    <w:rsid w:val="00480F1A"/>
    <w:rsid w:val="00481D53"/>
    <w:rsid w:val="00483139"/>
    <w:rsid w:val="00483459"/>
    <w:rsid w:val="00484592"/>
    <w:rsid w:val="00486558"/>
    <w:rsid w:val="0049211A"/>
    <w:rsid w:val="00493293"/>
    <w:rsid w:val="00494A20"/>
    <w:rsid w:val="004961D2"/>
    <w:rsid w:val="00497A25"/>
    <w:rsid w:val="004A254E"/>
    <w:rsid w:val="004A3401"/>
    <w:rsid w:val="004A3CA8"/>
    <w:rsid w:val="004A567B"/>
    <w:rsid w:val="004A74F2"/>
    <w:rsid w:val="004B00B4"/>
    <w:rsid w:val="004B1B2A"/>
    <w:rsid w:val="004B38C8"/>
    <w:rsid w:val="004B74E8"/>
    <w:rsid w:val="004C0083"/>
    <w:rsid w:val="004C07B2"/>
    <w:rsid w:val="004C322B"/>
    <w:rsid w:val="004C3A69"/>
    <w:rsid w:val="004C3F12"/>
    <w:rsid w:val="004C4D47"/>
    <w:rsid w:val="004D21DD"/>
    <w:rsid w:val="004D2A79"/>
    <w:rsid w:val="004D5007"/>
    <w:rsid w:val="004D51AB"/>
    <w:rsid w:val="004D5713"/>
    <w:rsid w:val="004E0BC1"/>
    <w:rsid w:val="004E0CC6"/>
    <w:rsid w:val="004E150C"/>
    <w:rsid w:val="004E2C9F"/>
    <w:rsid w:val="004E5AF9"/>
    <w:rsid w:val="004E72B7"/>
    <w:rsid w:val="004F0A6A"/>
    <w:rsid w:val="004F1877"/>
    <w:rsid w:val="004F2187"/>
    <w:rsid w:val="004F2EBC"/>
    <w:rsid w:val="004F43AB"/>
    <w:rsid w:val="004F4D27"/>
    <w:rsid w:val="004F5D44"/>
    <w:rsid w:val="0050050A"/>
    <w:rsid w:val="00500BDE"/>
    <w:rsid w:val="005027AA"/>
    <w:rsid w:val="00503ED4"/>
    <w:rsid w:val="0050767F"/>
    <w:rsid w:val="0051013B"/>
    <w:rsid w:val="00512E20"/>
    <w:rsid w:val="0051352D"/>
    <w:rsid w:val="00513F30"/>
    <w:rsid w:val="00515665"/>
    <w:rsid w:val="00517719"/>
    <w:rsid w:val="005202A8"/>
    <w:rsid w:val="005227D7"/>
    <w:rsid w:val="00522EC3"/>
    <w:rsid w:val="00523AB7"/>
    <w:rsid w:val="00524BCD"/>
    <w:rsid w:val="00531B21"/>
    <w:rsid w:val="005338B3"/>
    <w:rsid w:val="00534386"/>
    <w:rsid w:val="005344E4"/>
    <w:rsid w:val="005413F9"/>
    <w:rsid w:val="005424C1"/>
    <w:rsid w:val="00542817"/>
    <w:rsid w:val="0054319B"/>
    <w:rsid w:val="0054527D"/>
    <w:rsid w:val="00546344"/>
    <w:rsid w:val="005463B7"/>
    <w:rsid w:val="0054669A"/>
    <w:rsid w:val="00547065"/>
    <w:rsid w:val="00550CA7"/>
    <w:rsid w:val="00553C0F"/>
    <w:rsid w:val="00554CAF"/>
    <w:rsid w:val="005557DB"/>
    <w:rsid w:val="005624C1"/>
    <w:rsid w:val="00565361"/>
    <w:rsid w:val="005655AE"/>
    <w:rsid w:val="00566FCC"/>
    <w:rsid w:val="00567171"/>
    <w:rsid w:val="0056727A"/>
    <w:rsid w:val="00570605"/>
    <w:rsid w:val="00571CD6"/>
    <w:rsid w:val="00571EFF"/>
    <w:rsid w:val="00572F6E"/>
    <w:rsid w:val="005775A9"/>
    <w:rsid w:val="00577639"/>
    <w:rsid w:val="00577D76"/>
    <w:rsid w:val="00577F6A"/>
    <w:rsid w:val="00577F86"/>
    <w:rsid w:val="00580A1B"/>
    <w:rsid w:val="005852B9"/>
    <w:rsid w:val="00587386"/>
    <w:rsid w:val="00590B81"/>
    <w:rsid w:val="005919AC"/>
    <w:rsid w:val="00591EA4"/>
    <w:rsid w:val="005925D4"/>
    <w:rsid w:val="00593677"/>
    <w:rsid w:val="00593689"/>
    <w:rsid w:val="005A05CC"/>
    <w:rsid w:val="005A17F8"/>
    <w:rsid w:val="005A385F"/>
    <w:rsid w:val="005A3E8F"/>
    <w:rsid w:val="005A4124"/>
    <w:rsid w:val="005A49EC"/>
    <w:rsid w:val="005B0CFA"/>
    <w:rsid w:val="005B3BD2"/>
    <w:rsid w:val="005B497E"/>
    <w:rsid w:val="005B7E38"/>
    <w:rsid w:val="005C17F9"/>
    <w:rsid w:val="005C22A5"/>
    <w:rsid w:val="005C275B"/>
    <w:rsid w:val="005C2A01"/>
    <w:rsid w:val="005C357B"/>
    <w:rsid w:val="005C4287"/>
    <w:rsid w:val="005C4EE1"/>
    <w:rsid w:val="005D06EB"/>
    <w:rsid w:val="005D4344"/>
    <w:rsid w:val="005D5E58"/>
    <w:rsid w:val="005D6D19"/>
    <w:rsid w:val="005D702F"/>
    <w:rsid w:val="005E095C"/>
    <w:rsid w:val="005E36DB"/>
    <w:rsid w:val="005E44D7"/>
    <w:rsid w:val="005E691B"/>
    <w:rsid w:val="005E795C"/>
    <w:rsid w:val="005E7F1A"/>
    <w:rsid w:val="005F0AC4"/>
    <w:rsid w:val="005F2F62"/>
    <w:rsid w:val="005F3246"/>
    <w:rsid w:val="005F456E"/>
    <w:rsid w:val="005F4B61"/>
    <w:rsid w:val="005F6B9C"/>
    <w:rsid w:val="005F75B7"/>
    <w:rsid w:val="006018DE"/>
    <w:rsid w:val="00601F0B"/>
    <w:rsid w:val="00603DE3"/>
    <w:rsid w:val="006069ED"/>
    <w:rsid w:val="00606D61"/>
    <w:rsid w:val="00607D0A"/>
    <w:rsid w:val="006110D3"/>
    <w:rsid w:val="0061220A"/>
    <w:rsid w:val="0061452E"/>
    <w:rsid w:val="006152EB"/>
    <w:rsid w:val="006168FE"/>
    <w:rsid w:val="00617EB3"/>
    <w:rsid w:val="006206CE"/>
    <w:rsid w:val="00621004"/>
    <w:rsid w:val="00621254"/>
    <w:rsid w:val="00623725"/>
    <w:rsid w:val="00624A80"/>
    <w:rsid w:val="00626116"/>
    <w:rsid w:val="006262DC"/>
    <w:rsid w:val="00627382"/>
    <w:rsid w:val="00630552"/>
    <w:rsid w:val="0063247B"/>
    <w:rsid w:val="0063308B"/>
    <w:rsid w:val="006362E6"/>
    <w:rsid w:val="006363E3"/>
    <w:rsid w:val="00637547"/>
    <w:rsid w:val="00637E38"/>
    <w:rsid w:val="00640D1A"/>
    <w:rsid w:val="00641C47"/>
    <w:rsid w:val="006450E0"/>
    <w:rsid w:val="00646AFA"/>
    <w:rsid w:val="00650745"/>
    <w:rsid w:val="0065179C"/>
    <w:rsid w:val="00651C94"/>
    <w:rsid w:val="006535FA"/>
    <w:rsid w:val="00655372"/>
    <w:rsid w:val="0065616D"/>
    <w:rsid w:val="00656447"/>
    <w:rsid w:val="006570B2"/>
    <w:rsid w:val="006606D5"/>
    <w:rsid w:val="0066100A"/>
    <w:rsid w:val="0066239D"/>
    <w:rsid w:val="006639A2"/>
    <w:rsid w:val="0066564B"/>
    <w:rsid w:val="00666A1C"/>
    <w:rsid w:val="00667158"/>
    <w:rsid w:val="0066743D"/>
    <w:rsid w:val="00673A2A"/>
    <w:rsid w:val="00674072"/>
    <w:rsid w:val="00674810"/>
    <w:rsid w:val="00675448"/>
    <w:rsid w:val="00677B68"/>
    <w:rsid w:val="00681617"/>
    <w:rsid w:val="00681BA0"/>
    <w:rsid w:val="00681E75"/>
    <w:rsid w:val="00683977"/>
    <w:rsid w:val="006866B8"/>
    <w:rsid w:val="00686EDF"/>
    <w:rsid w:val="00687AD0"/>
    <w:rsid w:val="00690429"/>
    <w:rsid w:val="00692FD0"/>
    <w:rsid w:val="00694613"/>
    <w:rsid w:val="006973B7"/>
    <w:rsid w:val="006A02A5"/>
    <w:rsid w:val="006A1F7A"/>
    <w:rsid w:val="006A45D7"/>
    <w:rsid w:val="006A58A8"/>
    <w:rsid w:val="006A7462"/>
    <w:rsid w:val="006A769A"/>
    <w:rsid w:val="006A791B"/>
    <w:rsid w:val="006A7F5B"/>
    <w:rsid w:val="006B0001"/>
    <w:rsid w:val="006B10C1"/>
    <w:rsid w:val="006B11AD"/>
    <w:rsid w:val="006B289F"/>
    <w:rsid w:val="006B4F9B"/>
    <w:rsid w:val="006B544C"/>
    <w:rsid w:val="006B59D9"/>
    <w:rsid w:val="006B5EEE"/>
    <w:rsid w:val="006C1CFB"/>
    <w:rsid w:val="006C2C1D"/>
    <w:rsid w:val="006C30BD"/>
    <w:rsid w:val="006C5623"/>
    <w:rsid w:val="006C5EE9"/>
    <w:rsid w:val="006C67CC"/>
    <w:rsid w:val="006C70B6"/>
    <w:rsid w:val="006D168E"/>
    <w:rsid w:val="006D19A6"/>
    <w:rsid w:val="006D2A91"/>
    <w:rsid w:val="006D7FB8"/>
    <w:rsid w:val="006E0AB7"/>
    <w:rsid w:val="006E0C16"/>
    <w:rsid w:val="006E16AF"/>
    <w:rsid w:val="006E497B"/>
    <w:rsid w:val="006E5285"/>
    <w:rsid w:val="006E6A22"/>
    <w:rsid w:val="006E6E10"/>
    <w:rsid w:val="006E7B8C"/>
    <w:rsid w:val="006F03DC"/>
    <w:rsid w:val="006F1A95"/>
    <w:rsid w:val="006F1C43"/>
    <w:rsid w:val="006F5A56"/>
    <w:rsid w:val="006F67B5"/>
    <w:rsid w:val="006F67B9"/>
    <w:rsid w:val="006F6A93"/>
    <w:rsid w:val="006F7325"/>
    <w:rsid w:val="0070093F"/>
    <w:rsid w:val="007016E3"/>
    <w:rsid w:val="00702288"/>
    <w:rsid w:val="007045A2"/>
    <w:rsid w:val="007049DF"/>
    <w:rsid w:val="00704C7E"/>
    <w:rsid w:val="00704E5D"/>
    <w:rsid w:val="00705529"/>
    <w:rsid w:val="00705B10"/>
    <w:rsid w:val="00706078"/>
    <w:rsid w:val="007103A1"/>
    <w:rsid w:val="0071052E"/>
    <w:rsid w:val="00711AAB"/>
    <w:rsid w:val="007156E9"/>
    <w:rsid w:val="00715C28"/>
    <w:rsid w:val="00721797"/>
    <w:rsid w:val="0072633C"/>
    <w:rsid w:val="00726B6F"/>
    <w:rsid w:val="00726D3E"/>
    <w:rsid w:val="00731F4C"/>
    <w:rsid w:val="00733FB9"/>
    <w:rsid w:val="0073477A"/>
    <w:rsid w:val="007369A7"/>
    <w:rsid w:val="00737711"/>
    <w:rsid w:val="00740079"/>
    <w:rsid w:val="00740A25"/>
    <w:rsid w:val="00740FBC"/>
    <w:rsid w:val="007423D3"/>
    <w:rsid w:val="00742631"/>
    <w:rsid w:val="00742AA4"/>
    <w:rsid w:val="00743266"/>
    <w:rsid w:val="00743C43"/>
    <w:rsid w:val="00747C1C"/>
    <w:rsid w:val="0075072A"/>
    <w:rsid w:val="007510F1"/>
    <w:rsid w:val="0075147D"/>
    <w:rsid w:val="00751540"/>
    <w:rsid w:val="0076102E"/>
    <w:rsid w:val="00761279"/>
    <w:rsid w:val="0076270B"/>
    <w:rsid w:val="00763935"/>
    <w:rsid w:val="00766086"/>
    <w:rsid w:val="00766766"/>
    <w:rsid w:val="007675BB"/>
    <w:rsid w:val="0076777E"/>
    <w:rsid w:val="00767F56"/>
    <w:rsid w:val="00770490"/>
    <w:rsid w:val="00771B27"/>
    <w:rsid w:val="00772116"/>
    <w:rsid w:val="00772AF9"/>
    <w:rsid w:val="00775AEE"/>
    <w:rsid w:val="00775D5C"/>
    <w:rsid w:val="007765FA"/>
    <w:rsid w:val="00780D30"/>
    <w:rsid w:val="007817D3"/>
    <w:rsid w:val="007823EB"/>
    <w:rsid w:val="00782B46"/>
    <w:rsid w:val="00782B70"/>
    <w:rsid w:val="00783CED"/>
    <w:rsid w:val="00783EE6"/>
    <w:rsid w:val="00785F41"/>
    <w:rsid w:val="0079112B"/>
    <w:rsid w:val="00791620"/>
    <w:rsid w:val="00792086"/>
    <w:rsid w:val="00792910"/>
    <w:rsid w:val="00793BCF"/>
    <w:rsid w:val="0079457C"/>
    <w:rsid w:val="00795BEC"/>
    <w:rsid w:val="00795E51"/>
    <w:rsid w:val="0079670E"/>
    <w:rsid w:val="00797C90"/>
    <w:rsid w:val="007A0A9A"/>
    <w:rsid w:val="007A1F54"/>
    <w:rsid w:val="007A2632"/>
    <w:rsid w:val="007A405A"/>
    <w:rsid w:val="007A55E8"/>
    <w:rsid w:val="007A6849"/>
    <w:rsid w:val="007A7E2F"/>
    <w:rsid w:val="007B254F"/>
    <w:rsid w:val="007B277B"/>
    <w:rsid w:val="007B2DA0"/>
    <w:rsid w:val="007B34F4"/>
    <w:rsid w:val="007B50F3"/>
    <w:rsid w:val="007B64F9"/>
    <w:rsid w:val="007B6A95"/>
    <w:rsid w:val="007C0E2E"/>
    <w:rsid w:val="007C2408"/>
    <w:rsid w:val="007D188D"/>
    <w:rsid w:val="007D19AB"/>
    <w:rsid w:val="007D2C73"/>
    <w:rsid w:val="007D3592"/>
    <w:rsid w:val="007D48BF"/>
    <w:rsid w:val="007D51C0"/>
    <w:rsid w:val="007D5F39"/>
    <w:rsid w:val="007D692C"/>
    <w:rsid w:val="007D747F"/>
    <w:rsid w:val="007D7B3C"/>
    <w:rsid w:val="007E2604"/>
    <w:rsid w:val="007E27CD"/>
    <w:rsid w:val="007E2E5B"/>
    <w:rsid w:val="007E5151"/>
    <w:rsid w:val="007E57D5"/>
    <w:rsid w:val="007E5C75"/>
    <w:rsid w:val="007E68C0"/>
    <w:rsid w:val="007E7A20"/>
    <w:rsid w:val="007F1327"/>
    <w:rsid w:val="007F2CAF"/>
    <w:rsid w:val="007F4744"/>
    <w:rsid w:val="007F67F7"/>
    <w:rsid w:val="007F6FBE"/>
    <w:rsid w:val="007F6FDC"/>
    <w:rsid w:val="007F7B11"/>
    <w:rsid w:val="007F7FD2"/>
    <w:rsid w:val="008002A0"/>
    <w:rsid w:val="00800A84"/>
    <w:rsid w:val="00801DE1"/>
    <w:rsid w:val="0080212D"/>
    <w:rsid w:val="00803244"/>
    <w:rsid w:val="00805A39"/>
    <w:rsid w:val="00807D02"/>
    <w:rsid w:val="00813466"/>
    <w:rsid w:val="008135DC"/>
    <w:rsid w:val="00813CAC"/>
    <w:rsid w:val="00820CD2"/>
    <w:rsid w:val="00820CF1"/>
    <w:rsid w:val="0082186D"/>
    <w:rsid w:val="00821AD5"/>
    <w:rsid w:val="00826414"/>
    <w:rsid w:val="008327DC"/>
    <w:rsid w:val="00834AD8"/>
    <w:rsid w:val="00834FD4"/>
    <w:rsid w:val="00835582"/>
    <w:rsid w:val="00835901"/>
    <w:rsid w:val="00835EE2"/>
    <w:rsid w:val="00837703"/>
    <w:rsid w:val="00837F15"/>
    <w:rsid w:val="0084433C"/>
    <w:rsid w:val="00846D4E"/>
    <w:rsid w:val="00847D0D"/>
    <w:rsid w:val="00851130"/>
    <w:rsid w:val="0085400D"/>
    <w:rsid w:val="00855550"/>
    <w:rsid w:val="00855D79"/>
    <w:rsid w:val="00855F23"/>
    <w:rsid w:val="00860F43"/>
    <w:rsid w:val="00861353"/>
    <w:rsid w:val="00865BE6"/>
    <w:rsid w:val="00866C54"/>
    <w:rsid w:val="00866EC2"/>
    <w:rsid w:val="0087026F"/>
    <w:rsid w:val="008709D2"/>
    <w:rsid w:val="00871DF4"/>
    <w:rsid w:val="0087579B"/>
    <w:rsid w:val="00880F44"/>
    <w:rsid w:val="008820DE"/>
    <w:rsid w:val="00884D27"/>
    <w:rsid w:val="008857ED"/>
    <w:rsid w:val="00886C7B"/>
    <w:rsid w:val="0089160B"/>
    <w:rsid w:val="0089227D"/>
    <w:rsid w:val="00892DA0"/>
    <w:rsid w:val="008962EB"/>
    <w:rsid w:val="00897842"/>
    <w:rsid w:val="008A4600"/>
    <w:rsid w:val="008A4FFC"/>
    <w:rsid w:val="008A63EB"/>
    <w:rsid w:val="008A7C8A"/>
    <w:rsid w:val="008B0240"/>
    <w:rsid w:val="008B03DB"/>
    <w:rsid w:val="008B2632"/>
    <w:rsid w:val="008B4894"/>
    <w:rsid w:val="008B4E16"/>
    <w:rsid w:val="008B709D"/>
    <w:rsid w:val="008B7138"/>
    <w:rsid w:val="008B7773"/>
    <w:rsid w:val="008C063A"/>
    <w:rsid w:val="008C1301"/>
    <w:rsid w:val="008C38BC"/>
    <w:rsid w:val="008C5F87"/>
    <w:rsid w:val="008C66F0"/>
    <w:rsid w:val="008C71CB"/>
    <w:rsid w:val="008D1777"/>
    <w:rsid w:val="008D68E8"/>
    <w:rsid w:val="008E0CAB"/>
    <w:rsid w:val="008E2992"/>
    <w:rsid w:val="008E3304"/>
    <w:rsid w:val="008E5BF7"/>
    <w:rsid w:val="008E6E81"/>
    <w:rsid w:val="008F29D3"/>
    <w:rsid w:val="008F2A25"/>
    <w:rsid w:val="008F66A9"/>
    <w:rsid w:val="00900C45"/>
    <w:rsid w:val="00902AE1"/>
    <w:rsid w:val="00902E9F"/>
    <w:rsid w:val="00903404"/>
    <w:rsid w:val="00904576"/>
    <w:rsid w:val="009045F7"/>
    <w:rsid w:val="00906CCF"/>
    <w:rsid w:val="00914853"/>
    <w:rsid w:val="00915C5C"/>
    <w:rsid w:val="00915E25"/>
    <w:rsid w:val="00916155"/>
    <w:rsid w:val="00916964"/>
    <w:rsid w:val="00917A45"/>
    <w:rsid w:val="00923111"/>
    <w:rsid w:val="00923485"/>
    <w:rsid w:val="009247B1"/>
    <w:rsid w:val="00924932"/>
    <w:rsid w:val="00924B92"/>
    <w:rsid w:val="00925CD6"/>
    <w:rsid w:val="0092725B"/>
    <w:rsid w:val="00927291"/>
    <w:rsid w:val="0093093E"/>
    <w:rsid w:val="009310E5"/>
    <w:rsid w:val="009318A1"/>
    <w:rsid w:val="00931AB5"/>
    <w:rsid w:val="00932263"/>
    <w:rsid w:val="00933E01"/>
    <w:rsid w:val="009352D6"/>
    <w:rsid w:val="009375C6"/>
    <w:rsid w:val="00937694"/>
    <w:rsid w:val="009429D3"/>
    <w:rsid w:val="00942C15"/>
    <w:rsid w:val="00943945"/>
    <w:rsid w:val="00944A71"/>
    <w:rsid w:val="009464EB"/>
    <w:rsid w:val="00947487"/>
    <w:rsid w:val="009530A8"/>
    <w:rsid w:val="00954487"/>
    <w:rsid w:val="00955CE8"/>
    <w:rsid w:val="00956638"/>
    <w:rsid w:val="00957B28"/>
    <w:rsid w:val="009608A9"/>
    <w:rsid w:val="009625E7"/>
    <w:rsid w:val="00964ABB"/>
    <w:rsid w:val="00965C08"/>
    <w:rsid w:val="00967067"/>
    <w:rsid w:val="00972FAA"/>
    <w:rsid w:val="0097520D"/>
    <w:rsid w:val="00976291"/>
    <w:rsid w:val="00985465"/>
    <w:rsid w:val="009859A1"/>
    <w:rsid w:val="00985ABD"/>
    <w:rsid w:val="0098691F"/>
    <w:rsid w:val="009870E3"/>
    <w:rsid w:val="009877EA"/>
    <w:rsid w:val="009916C1"/>
    <w:rsid w:val="00992A4E"/>
    <w:rsid w:val="009941FB"/>
    <w:rsid w:val="0099464B"/>
    <w:rsid w:val="00995044"/>
    <w:rsid w:val="0099581A"/>
    <w:rsid w:val="00996246"/>
    <w:rsid w:val="009966FD"/>
    <w:rsid w:val="00996B4B"/>
    <w:rsid w:val="00996CE7"/>
    <w:rsid w:val="009978CA"/>
    <w:rsid w:val="009A1249"/>
    <w:rsid w:val="009A1530"/>
    <w:rsid w:val="009A23DC"/>
    <w:rsid w:val="009A2B66"/>
    <w:rsid w:val="009A3532"/>
    <w:rsid w:val="009A3BA2"/>
    <w:rsid w:val="009A5213"/>
    <w:rsid w:val="009A5BED"/>
    <w:rsid w:val="009B14E8"/>
    <w:rsid w:val="009B2762"/>
    <w:rsid w:val="009B32ED"/>
    <w:rsid w:val="009B33C7"/>
    <w:rsid w:val="009B40E4"/>
    <w:rsid w:val="009B466E"/>
    <w:rsid w:val="009B47E0"/>
    <w:rsid w:val="009B795B"/>
    <w:rsid w:val="009C41F9"/>
    <w:rsid w:val="009C46D6"/>
    <w:rsid w:val="009C4808"/>
    <w:rsid w:val="009C71F0"/>
    <w:rsid w:val="009D1B96"/>
    <w:rsid w:val="009D203F"/>
    <w:rsid w:val="009D34EA"/>
    <w:rsid w:val="009D423F"/>
    <w:rsid w:val="009D6C23"/>
    <w:rsid w:val="009D6E6B"/>
    <w:rsid w:val="009E02AC"/>
    <w:rsid w:val="009E257F"/>
    <w:rsid w:val="009E2E33"/>
    <w:rsid w:val="009E358A"/>
    <w:rsid w:val="009E4030"/>
    <w:rsid w:val="009E40FF"/>
    <w:rsid w:val="009E483D"/>
    <w:rsid w:val="009E6234"/>
    <w:rsid w:val="009E6D9A"/>
    <w:rsid w:val="009F03B8"/>
    <w:rsid w:val="009F351A"/>
    <w:rsid w:val="009F47D2"/>
    <w:rsid w:val="009F6D06"/>
    <w:rsid w:val="00A02493"/>
    <w:rsid w:val="00A02F6D"/>
    <w:rsid w:val="00A02F9D"/>
    <w:rsid w:val="00A0457D"/>
    <w:rsid w:val="00A04ABA"/>
    <w:rsid w:val="00A069EC"/>
    <w:rsid w:val="00A06DFB"/>
    <w:rsid w:val="00A07CC8"/>
    <w:rsid w:val="00A1111A"/>
    <w:rsid w:val="00A12133"/>
    <w:rsid w:val="00A12786"/>
    <w:rsid w:val="00A13DD8"/>
    <w:rsid w:val="00A14079"/>
    <w:rsid w:val="00A141C0"/>
    <w:rsid w:val="00A17D87"/>
    <w:rsid w:val="00A20306"/>
    <w:rsid w:val="00A22519"/>
    <w:rsid w:val="00A22F16"/>
    <w:rsid w:val="00A22F47"/>
    <w:rsid w:val="00A23F3F"/>
    <w:rsid w:val="00A24959"/>
    <w:rsid w:val="00A25530"/>
    <w:rsid w:val="00A27D40"/>
    <w:rsid w:val="00A308A1"/>
    <w:rsid w:val="00A308D0"/>
    <w:rsid w:val="00A309DD"/>
    <w:rsid w:val="00A33E02"/>
    <w:rsid w:val="00A36FB3"/>
    <w:rsid w:val="00A3770D"/>
    <w:rsid w:val="00A40EC4"/>
    <w:rsid w:val="00A50F5C"/>
    <w:rsid w:val="00A52043"/>
    <w:rsid w:val="00A52393"/>
    <w:rsid w:val="00A5297B"/>
    <w:rsid w:val="00A529BA"/>
    <w:rsid w:val="00A52C26"/>
    <w:rsid w:val="00A530F4"/>
    <w:rsid w:val="00A57FDD"/>
    <w:rsid w:val="00A60D0F"/>
    <w:rsid w:val="00A60F66"/>
    <w:rsid w:val="00A619B4"/>
    <w:rsid w:val="00A632FA"/>
    <w:rsid w:val="00A67080"/>
    <w:rsid w:val="00A717B6"/>
    <w:rsid w:val="00A72839"/>
    <w:rsid w:val="00A73D81"/>
    <w:rsid w:val="00A7527D"/>
    <w:rsid w:val="00A765AE"/>
    <w:rsid w:val="00A76D44"/>
    <w:rsid w:val="00A77E8F"/>
    <w:rsid w:val="00A80720"/>
    <w:rsid w:val="00A82555"/>
    <w:rsid w:val="00A8285C"/>
    <w:rsid w:val="00A854F0"/>
    <w:rsid w:val="00A85FE4"/>
    <w:rsid w:val="00A91A20"/>
    <w:rsid w:val="00A93808"/>
    <w:rsid w:val="00A93C16"/>
    <w:rsid w:val="00A94562"/>
    <w:rsid w:val="00A94D15"/>
    <w:rsid w:val="00A9656B"/>
    <w:rsid w:val="00AA1D3A"/>
    <w:rsid w:val="00AA4F9F"/>
    <w:rsid w:val="00AA5D5C"/>
    <w:rsid w:val="00AA6108"/>
    <w:rsid w:val="00AA6979"/>
    <w:rsid w:val="00AA713C"/>
    <w:rsid w:val="00AA7E65"/>
    <w:rsid w:val="00AB1564"/>
    <w:rsid w:val="00AB5418"/>
    <w:rsid w:val="00AB7A9D"/>
    <w:rsid w:val="00AC07D0"/>
    <w:rsid w:val="00AC12FB"/>
    <w:rsid w:val="00AC1E16"/>
    <w:rsid w:val="00AC1FA6"/>
    <w:rsid w:val="00AC221E"/>
    <w:rsid w:val="00AC2991"/>
    <w:rsid w:val="00AC2B9C"/>
    <w:rsid w:val="00AC390B"/>
    <w:rsid w:val="00AC444E"/>
    <w:rsid w:val="00AC55AE"/>
    <w:rsid w:val="00AC597A"/>
    <w:rsid w:val="00AC5DDB"/>
    <w:rsid w:val="00AC681A"/>
    <w:rsid w:val="00AD272A"/>
    <w:rsid w:val="00AD286A"/>
    <w:rsid w:val="00AD2D09"/>
    <w:rsid w:val="00AD320C"/>
    <w:rsid w:val="00AD3AAF"/>
    <w:rsid w:val="00AD5A00"/>
    <w:rsid w:val="00AD5B22"/>
    <w:rsid w:val="00AD61DF"/>
    <w:rsid w:val="00AE128E"/>
    <w:rsid w:val="00AE188A"/>
    <w:rsid w:val="00AE49FE"/>
    <w:rsid w:val="00AE58DE"/>
    <w:rsid w:val="00AE6205"/>
    <w:rsid w:val="00AE62CD"/>
    <w:rsid w:val="00AE69E8"/>
    <w:rsid w:val="00AF1DA6"/>
    <w:rsid w:val="00AF227A"/>
    <w:rsid w:val="00AF3DF7"/>
    <w:rsid w:val="00AF4B11"/>
    <w:rsid w:val="00AF53AA"/>
    <w:rsid w:val="00AF55C4"/>
    <w:rsid w:val="00AF5B2E"/>
    <w:rsid w:val="00AF6012"/>
    <w:rsid w:val="00B0055C"/>
    <w:rsid w:val="00B02A55"/>
    <w:rsid w:val="00B02C31"/>
    <w:rsid w:val="00B05A85"/>
    <w:rsid w:val="00B0610F"/>
    <w:rsid w:val="00B077F4"/>
    <w:rsid w:val="00B07B3E"/>
    <w:rsid w:val="00B106EB"/>
    <w:rsid w:val="00B1104C"/>
    <w:rsid w:val="00B122C2"/>
    <w:rsid w:val="00B12EE1"/>
    <w:rsid w:val="00B13BFC"/>
    <w:rsid w:val="00B13D6A"/>
    <w:rsid w:val="00B16201"/>
    <w:rsid w:val="00B17042"/>
    <w:rsid w:val="00B22BA9"/>
    <w:rsid w:val="00B2385C"/>
    <w:rsid w:val="00B23EEC"/>
    <w:rsid w:val="00B25366"/>
    <w:rsid w:val="00B25FCC"/>
    <w:rsid w:val="00B271D2"/>
    <w:rsid w:val="00B31CE6"/>
    <w:rsid w:val="00B34542"/>
    <w:rsid w:val="00B42A49"/>
    <w:rsid w:val="00B4307E"/>
    <w:rsid w:val="00B451CE"/>
    <w:rsid w:val="00B46963"/>
    <w:rsid w:val="00B46DF0"/>
    <w:rsid w:val="00B47677"/>
    <w:rsid w:val="00B51676"/>
    <w:rsid w:val="00B55454"/>
    <w:rsid w:val="00B554DF"/>
    <w:rsid w:val="00B57377"/>
    <w:rsid w:val="00B61DDB"/>
    <w:rsid w:val="00B6275C"/>
    <w:rsid w:val="00B632CB"/>
    <w:rsid w:val="00B637FE"/>
    <w:rsid w:val="00B64B6D"/>
    <w:rsid w:val="00B6522F"/>
    <w:rsid w:val="00B658AE"/>
    <w:rsid w:val="00B669EF"/>
    <w:rsid w:val="00B67301"/>
    <w:rsid w:val="00B67AFE"/>
    <w:rsid w:val="00B67C78"/>
    <w:rsid w:val="00B71680"/>
    <w:rsid w:val="00B71DE6"/>
    <w:rsid w:val="00B74756"/>
    <w:rsid w:val="00B75F06"/>
    <w:rsid w:val="00B76ADD"/>
    <w:rsid w:val="00B77F45"/>
    <w:rsid w:val="00B81974"/>
    <w:rsid w:val="00B821E4"/>
    <w:rsid w:val="00B82C9A"/>
    <w:rsid w:val="00B83695"/>
    <w:rsid w:val="00B8401D"/>
    <w:rsid w:val="00B910EF"/>
    <w:rsid w:val="00B92A73"/>
    <w:rsid w:val="00B93824"/>
    <w:rsid w:val="00B95496"/>
    <w:rsid w:val="00BA06FB"/>
    <w:rsid w:val="00BA0A6B"/>
    <w:rsid w:val="00BA1921"/>
    <w:rsid w:val="00BA25F6"/>
    <w:rsid w:val="00BA3D98"/>
    <w:rsid w:val="00BA4372"/>
    <w:rsid w:val="00BA442B"/>
    <w:rsid w:val="00BA480E"/>
    <w:rsid w:val="00BA6D81"/>
    <w:rsid w:val="00BA736C"/>
    <w:rsid w:val="00BB1DC0"/>
    <w:rsid w:val="00BB3B71"/>
    <w:rsid w:val="00BB3D6A"/>
    <w:rsid w:val="00BB6199"/>
    <w:rsid w:val="00BB7B72"/>
    <w:rsid w:val="00BB7C62"/>
    <w:rsid w:val="00BC0B51"/>
    <w:rsid w:val="00BC17F5"/>
    <w:rsid w:val="00BC6455"/>
    <w:rsid w:val="00BC7849"/>
    <w:rsid w:val="00BD2CCC"/>
    <w:rsid w:val="00BD434B"/>
    <w:rsid w:val="00BD7E75"/>
    <w:rsid w:val="00BE27E4"/>
    <w:rsid w:val="00BE31C9"/>
    <w:rsid w:val="00BE3F67"/>
    <w:rsid w:val="00BE45AA"/>
    <w:rsid w:val="00BE5C21"/>
    <w:rsid w:val="00BE6D1A"/>
    <w:rsid w:val="00BF1095"/>
    <w:rsid w:val="00BF120F"/>
    <w:rsid w:val="00BF1411"/>
    <w:rsid w:val="00BF1A8A"/>
    <w:rsid w:val="00BF26E7"/>
    <w:rsid w:val="00BF2A66"/>
    <w:rsid w:val="00BF2F7A"/>
    <w:rsid w:val="00BF3039"/>
    <w:rsid w:val="00BF3A54"/>
    <w:rsid w:val="00BF58FA"/>
    <w:rsid w:val="00BF607E"/>
    <w:rsid w:val="00C02A9B"/>
    <w:rsid w:val="00C02C28"/>
    <w:rsid w:val="00C038D4"/>
    <w:rsid w:val="00C0483C"/>
    <w:rsid w:val="00C0550D"/>
    <w:rsid w:val="00C06622"/>
    <w:rsid w:val="00C06B3E"/>
    <w:rsid w:val="00C06E1E"/>
    <w:rsid w:val="00C07257"/>
    <w:rsid w:val="00C103F7"/>
    <w:rsid w:val="00C122EE"/>
    <w:rsid w:val="00C12728"/>
    <w:rsid w:val="00C13705"/>
    <w:rsid w:val="00C14F14"/>
    <w:rsid w:val="00C14FDC"/>
    <w:rsid w:val="00C150ED"/>
    <w:rsid w:val="00C1562C"/>
    <w:rsid w:val="00C176D7"/>
    <w:rsid w:val="00C205B8"/>
    <w:rsid w:val="00C20FD5"/>
    <w:rsid w:val="00C23808"/>
    <w:rsid w:val="00C252EF"/>
    <w:rsid w:val="00C25F84"/>
    <w:rsid w:val="00C2602F"/>
    <w:rsid w:val="00C31472"/>
    <w:rsid w:val="00C3155D"/>
    <w:rsid w:val="00C33C31"/>
    <w:rsid w:val="00C35188"/>
    <w:rsid w:val="00C35716"/>
    <w:rsid w:val="00C37678"/>
    <w:rsid w:val="00C42099"/>
    <w:rsid w:val="00C42C59"/>
    <w:rsid w:val="00C43BD5"/>
    <w:rsid w:val="00C43C47"/>
    <w:rsid w:val="00C442DD"/>
    <w:rsid w:val="00C4582D"/>
    <w:rsid w:val="00C45EB8"/>
    <w:rsid w:val="00C46FB0"/>
    <w:rsid w:val="00C4732D"/>
    <w:rsid w:val="00C54569"/>
    <w:rsid w:val="00C546F8"/>
    <w:rsid w:val="00C556F6"/>
    <w:rsid w:val="00C55F04"/>
    <w:rsid w:val="00C5659B"/>
    <w:rsid w:val="00C56701"/>
    <w:rsid w:val="00C56E9E"/>
    <w:rsid w:val="00C60C85"/>
    <w:rsid w:val="00C6118F"/>
    <w:rsid w:val="00C62B50"/>
    <w:rsid w:val="00C70D3A"/>
    <w:rsid w:val="00C72907"/>
    <w:rsid w:val="00C72D10"/>
    <w:rsid w:val="00C730DC"/>
    <w:rsid w:val="00C74988"/>
    <w:rsid w:val="00C76928"/>
    <w:rsid w:val="00C76B69"/>
    <w:rsid w:val="00C772DD"/>
    <w:rsid w:val="00C77F76"/>
    <w:rsid w:val="00C83149"/>
    <w:rsid w:val="00C84BAF"/>
    <w:rsid w:val="00C8702B"/>
    <w:rsid w:val="00C9090B"/>
    <w:rsid w:val="00C90E6D"/>
    <w:rsid w:val="00C925E3"/>
    <w:rsid w:val="00C93076"/>
    <w:rsid w:val="00C93102"/>
    <w:rsid w:val="00C957BE"/>
    <w:rsid w:val="00C9599F"/>
    <w:rsid w:val="00C9721F"/>
    <w:rsid w:val="00CA2CA9"/>
    <w:rsid w:val="00CA2F0C"/>
    <w:rsid w:val="00CA326F"/>
    <w:rsid w:val="00CA491B"/>
    <w:rsid w:val="00CA593D"/>
    <w:rsid w:val="00CA5958"/>
    <w:rsid w:val="00CA68F2"/>
    <w:rsid w:val="00CB5041"/>
    <w:rsid w:val="00CC2BF0"/>
    <w:rsid w:val="00CC5CB9"/>
    <w:rsid w:val="00CC6B89"/>
    <w:rsid w:val="00CD0007"/>
    <w:rsid w:val="00CD1AB6"/>
    <w:rsid w:val="00CD1B46"/>
    <w:rsid w:val="00CD7E3F"/>
    <w:rsid w:val="00CE153E"/>
    <w:rsid w:val="00CE2530"/>
    <w:rsid w:val="00CE3F24"/>
    <w:rsid w:val="00CE567C"/>
    <w:rsid w:val="00CE709D"/>
    <w:rsid w:val="00CF3545"/>
    <w:rsid w:val="00CF4389"/>
    <w:rsid w:val="00CF5B75"/>
    <w:rsid w:val="00D01826"/>
    <w:rsid w:val="00D03166"/>
    <w:rsid w:val="00D04BE1"/>
    <w:rsid w:val="00D06138"/>
    <w:rsid w:val="00D06149"/>
    <w:rsid w:val="00D07FAC"/>
    <w:rsid w:val="00D152DB"/>
    <w:rsid w:val="00D17441"/>
    <w:rsid w:val="00D21EBB"/>
    <w:rsid w:val="00D23141"/>
    <w:rsid w:val="00D233DF"/>
    <w:rsid w:val="00D23C49"/>
    <w:rsid w:val="00D248A4"/>
    <w:rsid w:val="00D24D72"/>
    <w:rsid w:val="00D27CF4"/>
    <w:rsid w:val="00D302EB"/>
    <w:rsid w:val="00D31514"/>
    <w:rsid w:val="00D354D8"/>
    <w:rsid w:val="00D35922"/>
    <w:rsid w:val="00D36011"/>
    <w:rsid w:val="00D36A2F"/>
    <w:rsid w:val="00D45C5A"/>
    <w:rsid w:val="00D4674C"/>
    <w:rsid w:val="00D47A01"/>
    <w:rsid w:val="00D50D46"/>
    <w:rsid w:val="00D56AD9"/>
    <w:rsid w:val="00D60A20"/>
    <w:rsid w:val="00D63DE0"/>
    <w:rsid w:val="00D671CE"/>
    <w:rsid w:val="00D712EB"/>
    <w:rsid w:val="00D82800"/>
    <w:rsid w:val="00D8375A"/>
    <w:rsid w:val="00D87D4D"/>
    <w:rsid w:val="00D946E8"/>
    <w:rsid w:val="00D9546A"/>
    <w:rsid w:val="00D959BA"/>
    <w:rsid w:val="00D96260"/>
    <w:rsid w:val="00D96E7D"/>
    <w:rsid w:val="00DA43A4"/>
    <w:rsid w:val="00DA447F"/>
    <w:rsid w:val="00DA501E"/>
    <w:rsid w:val="00DA586C"/>
    <w:rsid w:val="00DA5BDA"/>
    <w:rsid w:val="00DA6460"/>
    <w:rsid w:val="00DA65B7"/>
    <w:rsid w:val="00DB00A5"/>
    <w:rsid w:val="00DB0194"/>
    <w:rsid w:val="00DB31EA"/>
    <w:rsid w:val="00DB37DC"/>
    <w:rsid w:val="00DB3F3C"/>
    <w:rsid w:val="00DB40B6"/>
    <w:rsid w:val="00DB55E9"/>
    <w:rsid w:val="00DB7D54"/>
    <w:rsid w:val="00DC09A2"/>
    <w:rsid w:val="00DD40FB"/>
    <w:rsid w:val="00DD5194"/>
    <w:rsid w:val="00DD5295"/>
    <w:rsid w:val="00DD6931"/>
    <w:rsid w:val="00DE262F"/>
    <w:rsid w:val="00DE6663"/>
    <w:rsid w:val="00DE6C95"/>
    <w:rsid w:val="00DE6EC6"/>
    <w:rsid w:val="00DF0CF9"/>
    <w:rsid w:val="00DF1187"/>
    <w:rsid w:val="00DF198F"/>
    <w:rsid w:val="00DF3008"/>
    <w:rsid w:val="00DF37C5"/>
    <w:rsid w:val="00DF3C27"/>
    <w:rsid w:val="00DF41A9"/>
    <w:rsid w:val="00DF4C2D"/>
    <w:rsid w:val="00DF5152"/>
    <w:rsid w:val="00DF51AE"/>
    <w:rsid w:val="00DF6BE8"/>
    <w:rsid w:val="00E00AA1"/>
    <w:rsid w:val="00E02187"/>
    <w:rsid w:val="00E0326B"/>
    <w:rsid w:val="00E03622"/>
    <w:rsid w:val="00E0389F"/>
    <w:rsid w:val="00E039C1"/>
    <w:rsid w:val="00E05B76"/>
    <w:rsid w:val="00E073C9"/>
    <w:rsid w:val="00E130EA"/>
    <w:rsid w:val="00E16532"/>
    <w:rsid w:val="00E17CCA"/>
    <w:rsid w:val="00E20976"/>
    <w:rsid w:val="00E20997"/>
    <w:rsid w:val="00E21E09"/>
    <w:rsid w:val="00E24212"/>
    <w:rsid w:val="00E24449"/>
    <w:rsid w:val="00E24E80"/>
    <w:rsid w:val="00E259B1"/>
    <w:rsid w:val="00E26C53"/>
    <w:rsid w:val="00E27381"/>
    <w:rsid w:val="00E3113B"/>
    <w:rsid w:val="00E317DA"/>
    <w:rsid w:val="00E31DC9"/>
    <w:rsid w:val="00E3391F"/>
    <w:rsid w:val="00E401DE"/>
    <w:rsid w:val="00E42CD0"/>
    <w:rsid w:val="00E45FBA"/>
    <w:rsid w:val="00E4665B"/>
    <w:rsid w:val="00E50244"/>
    <w:rsid w:val="00E51B31"/>
    <w:rsid w:val="00E6146E"/>
    <w:rsid w:val="00E640A9"/>
    <w:rsid w:val="00E65D9F"/>
    <w:rsid w:val="00E67BA8"/>
    <w:rsid w:val="00E67FA5"/>
    <w:rsid w:val="00E7029A"/>
    <w:rsid w:val="00E7075D"/>
    <w:rsid w:val="00E711A6"/>
    <w:rsid w:val="00E7177B"/>
    <w:rsid w:val="00E724E0"/>
    <w:rsid w:val="00E72D44"/>
    <w:rsid w:val="00E73D97"/>
    <w:rsid w:val="00E75AFF"/>
    <w:rsid w:val="00E77C0F"/>
    <w:rsid w:val="00E836E0"/>
    <w:rsid w:val="00E84597"/>
    <w:rsid w:val="00E86808"/>
    <w:rsid w:val="00E86D50"/>
    <w:rsid w:val="00E93A9F"/>
    <w:rsid w:val="00E942D3"/>
    <w:rsid w:val="00E94570"/>
    <w:rsid w:val="00E9482D"/>
    <w:rsid w:val="00E94F06"/>
    <w:rsid w:val="00E95229"/>
    <w:rsid w:val="00E965EE"/>
    <w:rsid w:val="00E97DAD"/>
    <w:rsid w:val="00EA0238"/>
    <w:rsid w:val="00EA05B1"/>
    <w:rsid w:val="00EA21BD"/>
    <w:rsid w:val="00EA2449"/>
    <w:rsid w:val="00EA47F1"/>
    <w:rsid w:val="00EB0570"/>
    <w:rsid w:val="00EB13EC"/>
    <w:rsid w:val="00EB201E"/>
    <w:rsid w:val="00EB5F1A"/>
    <w:rsid w:val="00EB70CA"/>
    <w:rsid w:val="00EB719F"/>
    <w:rsid w:val="00EB7565"/>
    <w:rsid w:val="00EB7672"/>
    <w:rsid w:val="00EC06B4"/>
    <w:rsid w:val="00EC0E95"/>
    <w:rsid w:val="00EC16FC"/>
    <w:rsid w:val="00EC17EF"/>
    <w:rsid w:val="00EC2C46"/>
    <w:rsid w:val="00EC433A"/>
    <w:rsid w:val="00EC5854"/>
    <w:rsid w:val="00EC594B"/>
    <w:rsid w:val="00EC5B49"/>
    <w:rsid w:val="00EC7AAA"/>
    <w:rsid w:val="00ED0746"/>
    <w:rsid w:val="00ED0F2D"/>
    <w:rsid w:val="00ED1318"/>
    <w:rsid w:val="00ED1A4F"/>
    <w:rsid w:val="00ED279A"/>
    <w:rsid w:val="00ED2B27"/>
    <w:rsid w:val="00ED314F"/>
    <w:rsid w:val="00ED3211"/>
    <w:rsid w:val="00ED34B1"/>
    <w:rsid w:val="00ED4DE2"/>
    <w:rsid w:val="00ED5F5B"/>
    <w:rsid w:val="00ED6529"/>
    <w:rsid w:val="00ED6FB8"/>
    <w:rsid w:val="00EE4332"/>
    <w:rsid w:val="00EE4569"/>
    <w:rsid w:val="00EE4BBD"/>
    <w:rsid w:val="00EE6431"/>
    <w:rsid w:val="00EE794F"/>
    <w:rsid w:val="00EE7FD2"/>
    <w:rsid w:val="00EF3608"/>
    <w:rsid w:val="00EF57C3"/>
    <w:rsid w:val="00F02EF3"/>
    <w:rsid w:val="00F0439D"/>
    <w:rsid w:val="00F05BF9"/>
    <w:rsid w:val="00F10A72"/>
    <w:rsid w:val="00F159B3"/>
    <w:rsid w:val="00F16D09"/>
    <w:rsid w:val="00F17C9C"/>
    <w:rsid w:val="00F216FC"/>
    <w:rsid w:val="00F23EAB"/>
    <w:rsid w:val="00F2594C"/>
    <w:rsid w:val="00F25E46"/>
    <w:rsid w:val="00F26018"/>
    <w:rsid w:val="00F2642B"/>
    <w:rsid w:val="00F26B4E"/>
    <w:rsid w:val="00F26F45"/>
    <w:rsid w:val="00F30945"/>
    <w:rsid w:val="00F30FB8"/>
    <w:rsid w:val="00F334DE"/>
    <w:rsid w:val="00F33A7B"/>
    <w:rsid w:val="00F34342"/>
    <w:rsid w:val="00F34B10"/>
    <w:rsid w:val="00F37526"/>
    <w:rsid w:val="00F41BAB"/>
    <w:rsid w:val="00F4270A"/>
    <w:rsid w:val="00F43ACD"/>
    <w:rsid w:val="00F46ACB"/>
    <w:rsid w:val="00F50CD6"/>
    <w:rsid w:val="00F51370"/>
    <w:rsid w:val="00F54D44"/>
    <w:rsid w:val="00F56B1A"/>
    <w:rsid w:val="00F575C9"/>
    <w:rsid w:val="00F61F81"/>
    <w:rsid w:val="00F6391B"/>
    <w:rsid w:val="00F64F73"/>
    <w:rsid w:val="00F72D67"/>
    <w:rsid w:val="00F758CA"/>
    <w:rsid w:val="00F75AD4"/>
    <w:rsid w:val="00F76362"/>
    <w:rsid w:val="00F76A44"/>
    <w:rsid w:val="00F771D5"/>
    <w:rsid w:val="00F815CE"/>
    <w:rsid w:val="00F8463B"/>
    <w:rsid w:val="00F8515A"/>
    <w:rsid w:val="00F85DFF"/>
    <w:rsid w:val="00F85EFA"/>
    <w:rsid w:val="00F87FAA"/>
    <w:rsid w:val="00F92886"/>
    <w:rsid w:val="00F942D1"/>
    <w:rsid w:val="00F95490"/>
    <w:rsid w:val="00FA1DDF"/>
    <w:rsid w:val="00FA3298"/>
    <w:rsid w:val="00FB0B4D"/>
    <w:rsid w:val="00FB0FC1"/>
    <w:rsid w:val="00FB1715"/>
    <w:rsid w:val="00FB2120"/>
    <w:rsid w:val="00FB239D"/>
    <w:rsid w:val="00FB2F05"/>
    <w:rsid w:val="00FB56B4"/>
    <w:rsid w:val="00FB690A"/>
    <w:rsid w:val="00FB6A6C"/>
    <w:rsid w:val="00FC104F"/>
    <w:rsid w:val="00FC18A0"/>
    <w:rsid w:val="00FD4A37"/>
    <w:rsid w:val="00FD55FF"/>
    <w:rsid w:val="00FD6868"/>
    <w:rsid w:val="00FD729E"/>
    <w:rsid w:val="00FD779F"/>
    <w:rsid w:val="00FD7F70"/>
    <w:rsid w:val="00FE22FA"/>
    <w:rsid w:val="00FE263A"/>
    <w:rsid w:val="00FE2E34"/>
    <w:rsid w:val="00FE3C5F"/>
    <w:rsid w:val="00FE42A4"/>
    <w:rsid w:val="00FE4AED"/>
    <w:rsid w:val="00FE6E95"/>
    <w:rsid w:val="00FF0F84"/>
    <w:rsid w:val="00FF124D"/>
    <w:rsid w:val="00FF3F6B"/>
    <w:rsid w:val="00FF59A6"/>
    <w:rsid w:val="00FF5E5D"/>
    <w:rsid w:val="00FF7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14FFAF"/>
  <w15:docId w15:val="{D7F7C2EB-0F95-4C11-ACD4-DFEADB91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0550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EA21B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A21BD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EA21B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A21BD"/>
    <w:rPr>
      <w:sz w:val="24"/>
      <w:szCs w:val="24"/>
    </w:rPr>
  </w:style>
  <w:style w:type="paragraph" w:styleId="Tekstdymka">
    <w:name w:val="Balloon Text"/>
    <w:basedOn w:val="Normalny"/>
    <w:link w:val="TekstdymkaZnak"/>
    <w:rsid w:val="00BF1411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BF1411"/>
    <w:rPr>
      <w:rFonts w:ascii="Tahoma" w:hAnsi="Tahoma" w:cs="Tahoma"/>
      <w:sz w:val="16"/>
      <w:szCs w:val="16"/>
    </w:rPr>
  </w:style>
  <w:style w:type="character" w:styleId="Odwoaniedokomentarza">
    <w:name w:val="annotation reference"/>
    <w:rsid w:val="009429D3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9429D3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9429D3"/>
  </w:style>
  <w:style w:type="paragraph" w:styleId="Tematkomentarza">
    <w:name w:val="annotation subject"/>
    <w:basedOn w:val="Tekstkomentarza"/>
    <w:next w:val="Tekstkomentarza"/>
    <w:link w:val="TematkomentarzaZnak"/>
    <w:rsid w:val="009429D3"/>
    <w:rPr>
      <w:b/>
      <w:bCs/>
    </w:rPr>
  </w:style>
  <w:style w:type="character" w:customStyle="1" w:styleId="TematkomentarzaZnak">
    <w:name w:val="Temat komentarza Znak"/>
    <w:link w:val="Tematkomentarza"/>
    <w:rsid w:val="009429D3"/>
    <w:rPr>
      <w:b/>
      <w:bCs/>
    </w:r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,Numbered Para 1"/>
    <w:basedOn w:val="Normalny"/>
    <w:link w:val="AkapitzlistZnak"/>
    <w:uiPriority w:val="99"/>
    <w:qFormat/>
    <w:rsid w:val="0072633C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unhideWhenUsed/>
    <w:rsid w:val="00C122EE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C122EE"/>
    <w:rPr>
      <w:rFonts w:ascii="Calibri" w:eastAsiaTheme="minorHAnsi" w:hAnsi="Calibri" w:cstheme="minorBidi"/>
      <w:sz w:val="22"/>
      <w:szCs w:val="21"/>
      <w:lang w:eastAsia="en-US"/>
    </w:rPr>
  </w:style>
  <w:style w:type="paragraph" w:styleId="Poprawka">
    <w:name w:val="Revision"/>
    <w:hidden/>
    <w:uiPriority w:val="99"/>
    <w:semiHidden/>
    <w:rsid w:val="00C038D4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semiHidden/>
    <w:unhideWhenUsed/>
    <w:rsid w:val="001E35B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1E35B2"/>
  </w:style>
  <w:style w:type="character" w:styleId="Odwoanieprzypisukocowego">
    <w:name w:val="endnote reference"/>
    <w:basedOn w:val="Domylnaczcionkaakapitu"/>
    <w:semiHidden/>
    <w:unhideWhenUsed/>
    <w:rsid w:val="001E35B2"/>
    <w:rPr>
      <w:vertAlign w:val="superscript"/>
    </w:rPr>
  </w:style>
  <w:style w:type="character" w:styleId="Uwydatnienie">
    <w:name w:val="Emphasis"/>
    <w:basedOn w:val="Domylnaczcionkaakapitu"/>
    <w:uiPriority w:val="20"/>
    <w:qFormat/>
    <w:rsid w:val="008A4600"/>
    <w:rPr>
      <w:i/>
      <w:iCs/>
    </w:rPr>
  </w:style>
  <w:style w:type="character" w:styleId="Hipercze">
    <w:name w:val="Hyperlink"/>
    <w:basedOn w:val="Domylnaczcionkaakapitu"/>
    <w:unhideWhenUsed/>
    <w:rsid w:val="00AC07D0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C07D0"/>
    <w:rPr>
      <w:color w:val="605E5C"/>
      <w:shd w:val="clear" w:color="auto" w:fill="E1DFDD"/>
    </w:rPr>
  </w:style>
  <w:style w:type="paragraph" w:customStyle="1" w:styleId="Default">
    <w:name w:val="Default"/>
    <w:rsid w:val="00A13DD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basedOn w:val="Domylnaczcionkaakapitu"/>
    <w:link w:val="Akapitzlist"/>
    <w:uiPriority w:val="99"/>
    <w:qFormat/>
    <w:rsid w:val="000377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5290b-b4cc-467f-b655-36de84a9016b">
      <Terms xmlns="http://schemas.microsoft.com/office/infopath/2007/PartnerControls"/>
    </lcf76f155ced4ddcb4097134ff3c332f>
    <TaxCatchAll xmlns="b5f4ac2e-806e-49f5-a686-a680762967c8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8FA842E187249B4E3E440EF384CE0" ma:contentTypeVersion="18" ma:contentTypeDescription="Create a new document." ma:contentTypeScope="" ma:versionID="ae517090c3f7ae99ade6c47da35f9f37">
  <xsd:schema xmlns:xsd="http://www.w3.org/2001/XMLSchema" xmlns:xs="http://www.w3.org/2001/XMLSchema" xmlns:p="http://schemas.microsoft.com/office/2006/metadata/properties" xmlns:ns2="d765290b-b4cc-467f-b655-36de84a9016b" xmlns:ns3="b5f4ac2e-806e-49f5-a686-a680762967c8" targetNamespace="http://schemas.microsoft.com/office/2006/metadata/properties" ma:root="true" ma:fieldsID="2d14cc8b68a8e2de357c2973ba07d477" ns2:_="" ns3:_="">
    <xsd:import namespace="d765290b-b4cc-467f-b655-36de84a9016b"/>
    <xsd:import namespace="b5f4ac2e-806e-49f5-a686-a680762967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5290b-b4cc-467f-b655-36de84a901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a06dc81-7351-40b9-acc0-3b5a169b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4ac2e-806e-49f5-a686-a680762967c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1781a62-bbe7-4f66-b342-eac21ae57923}" ma:internalName="TaxCatchAll" ma:showField="CatchAllData" ma:web="b5f4ac2e-806e-49f5-a686-a68076296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4FF05B-6A87-499A-BEE2-F0A8D4F744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9303EA-4FC4-46F3-81ED-22397A197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6DC5B-0C54-4E42-A87E-5F7336E0D771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2FA9F6E9-9972-47E9-91EC-60B4995C68EB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a0b6778b-5d65-46de-9db4-ae21e6779d04"/>
    <ds:schemaRef ds:uri="http://purl.org/dc/dcmitype/"/>
    <ds:schemaRef ds:uri="22cee9b5-ac5c-4abb-a493-eb2482fc51cf"/>
    <ds:schemaRef ds:uri="http://schemas.openxmlformats.org/package/2006/metadata/core-properties"/>
    <ds:schemaRef ds:uri="http://schemas.microsoft.com/office/2006/metadata/properties"/>
    <ds:schemaRef ds:uri="http://purl.org/dc/terms/"/>
    <ds:schemaRef ds:uri="d765290b-b4cc-467f-b655-36de84a9016b"/>
    <ds:schemaRef ds:uri="b5f4ac2e-806e-49f5-a686-a680762967c8"/>
  </ds:schemaRefs>
</ds:datastoreItem>
</file>

<file path=customXml/itemProps5.xml><?xml version="1.0" encoding="utf-8"?>
<ds:datastoreItem xmlns:ds="http://schemas.openxmlformats.org/officeDocument/2006/customXml" ds:itemID="{EA3F3564-0AE2-4DB4-9B0D-F06C52960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65290b-b4cc-467f-b655-36de84a9016b"/>
    <ds:schemaRef ds:uri="b5f4ac2e-806e-49f5-a686-a68076296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1950</Words>
  <Characters>13084</Characters>
  <Application>Microsoft Office Word</Application>
  <DocSecurity>0</DocSecurity>
  <Lines>109</Lines>
  <Paragraphs>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Majcherek, Dawid</dc:creator>
  <cp:lastModifiedBy>Wilk Justyna</cp:lastModifiedBy>
  <cp:revision>3</cp:revision>
  <cp:lastPrinted>2024-12-19T06:13:00Z</cp:lastPrinted>
  <dcterms:created xsi:type="dcterms:W3CDTF">2025-08-29T12:54:00Z</dcterms:created>
  <dcterms:modified xsi:type="dcterms:W3CDTF">2025-09-03T09:51:00Z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bf00c69a-1567-4fe8-a10a-3b11fdd01ac0</vt:lpwstr>
  </property>
  <property fmtid="{D5CDD505-2E9C-101B-9397-08002B2CF9AE}" pid="3" name="bjSaver">
    <vt:lpwstr>B7UflNl/bcH8W8Rupi3yzPYYKqvuGBU1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ContentTypeId">
    <vt:lpwstr>0x0101003178FA842E187249B4E3E440EF384CE0</vt:lpwstr>
  </property>
  <property fmtid="{D5CDD505-2E9C-101B-9397-08002B2CF9AE}" pid="8" name="MediaServiceImageTags">
    <vt:lpwstr/>
  </property>
</Properties>
</file>