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AEA0" w14:textId="044AEBB2" w:rsidR="00126B11" w:rsidRPr="00C51E02" w:rsidRDefault="00750051" w:rsidP="00126B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 w:themeColor="text1"/>
        </w:rPr>
      </w:pPr>
      <w:r w:rsidRPr="00C51E02">
        <w:rPr>
          <w:rFonts w:ascii="Times New Roman" w:eastAsiaTheme="minorHAnsi" w:hAnsi="Times New Roman"/>
          <w:color w:val="000000" w:themeColor="text1"/>
        </w:rPr>
        <w:t xml:space="preserve">Załącznik </w:t>
      </w:r>
      <w:r w:rsidRPr="00C51E02">
        <w:rPr>
          <w:rFonts w:ascii="Times New Roman" w:eastAsiaTheme="minorHAnsi" w:hAnsi="Times New Roman"/>
          <w:color w:val="000000" w:themeColor="text1"/>
        </w:rPr>
        <w:fldChar w:fldCharType="begin"/>
      </w:r>
      <w:r w:rsidRPr="00C51E02">
        <w:rPr>
          <w:rFonts w:ascii="Times New Roman" w:eastAsiaTheme="minorHAnsi" w:hAnsi="Times New Roman"/>
          <w:color w:val="000000" w:themeColor="text1"/>
        </w:rPr>
        <w:instrText xml:space="preserve"> FILENAME   \* MERGEFORMAT </w:instrText>
      </w:r>
      <w:r w:rsidRPr="00C51E02">
        <w:rPr>
          <w:rFonts w:ascii="Times New Roman" w:eastAsiaTheme="minorHAnsi" w:hAnsi="Times New Roman"/>
          <w:color w:val="000000" w:themeColor="text1"/>
        </w:rPr>
        <w:fldChar w:fldCharType="separate"/>
      </w:r>
      <w:r w:rsidRPr="00C51E02">
        <w:rPr>
          <w:rFonts w:ascii="Times New Roman" w:eastAsiaTheme="minorHAnsi" w:hAnsi="Times New Roman"/>
          <w:color w:val="000000" w:themeColor="text1"/>
        </w:rPr>
        <w:t>B.40.</w:t>
      </w:r>
      <w:r w:rsidRPr="00C51E02">
        <w:rPr>
          <w:rFonts w:ascii="Times New Roman" w:eastAsiaTheme="minorHAnsi" w:hAnsi="Times New Roman"/>
          <w:color w:val="000000" w:themeColor="text1"/>
        </w:rPr>
        <w:fldChar w:fldCharType="end"/>
      </w:r>
    </w:p>
    <w:p w14:paraId="60EC1374" w14:textId="032B2896" w:rsidR="00750051" w:rsidRPr="00C51E02" w:rsidRDefault="00750051" w:rsidP="00126B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 w:themeColor="text1"/>
        </w:rPr>
      </w:pPr>
      <w:r w:rsidRPr="00C51E02">
        <w:rPr>
          <w:rFonts w:ascii="Times New Roman" w:eastAsiaTheme="minorHAnsi" w:hAnsi="Times New Roman"/>
          <w:color w:val="000000" w:themeColor="text1"/>
        </w:rPr>
        <w:fldChar w:fldCharType="begin"/>
      </w:r>
      <w:r w:rsidRPr="00C51E02">
        <w:rPr>
          <w:rFonts w:ascii="Times New Roman" w:eastAsiaTheme="minorHAnsi" w:hAnsi="Times New Roman"/>
          <w:color w:val="000000" w:themeColor="text1"/>
        </w:rPr>
        <w:instrText xml:space="preserve"> FILENAME   \* MERGEFORMAT </w:instrText>
      </w:r>
      <w:r w:rsidRPr="00C51E02">
        <w:rPr>
          <w:rFonts w:ascii="Times New Roman" w:eastAsiaTheme="minorHAnsi" w:hAnsi="Times New Roman"/>
          <w:color w:val="000000" w:themeColor="text1"/>
        </w:rPr>
        <w:fldChar w:fldCharType="end"/>
      </w:r>
    </w:p>
    <w:p w14:paraId="5BB32927" w14:textId="4163D9B1" w:rsidR="00750051" w:rsidRPr="00C51E02" w:rsidRDefault="00750051" w:rsidP="00126B11">
      <w:pPr>
        <w:spacing w:after="240" w:line="240" w:lineRule="auto"/>
        <w:jc w:val="both"/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</w:pPr>
      <w:r w:rsidRPr="00C51E02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>PROFILAKTYKA ZAKAŻEŃ WIRUSEM RS (ICD-10</w:t>
      </w:r>
      <w:r w:rsidR="00126B11" w:rsidRPr="00C51E02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>:</w:t>
      </w:r>
      <w:r w:rsidRPr="00C51E02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 xml:space="preserve"> P07.2, P07.3, P27.1, P07.0, P07.1, Q20-Q24</w:t>
      </w:r>
      <w:r w:rsidR="006E4DDB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 xml:space="preserve">, </w:t>
      </w:r>
      <w:r w:rsidR="006E4DDB" w:rsidRPr="006E4DDB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>G12.0, G12.1, E84.0</w:t>
      </w:r>
      <w:r w:rsidRPr="00C51E02">
        <w:rPr>
          <w:rFonts w:ascii="Times New Roman" w:eastAsiaTheme="minorHAnsi" w:hAnsi="Times New Roman"/>
          <w:b/>
          <w:bCs/>
          <w:color w:val="000000" w:themeColor="text1"/>
          <w:sz w:val="28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0"/>
        <w:gridCol w:w="4222"/>
        <w:gridCol w:w="4226"/>
      </w:tblGrid>
      <w:tr w:rsidR="00750051" w:rsidRPr="00C51E02" w14:paraId="4A626C86" w14:textId="77777777" w:rsidTr="00C51E02">
        <w:trPr>
          <w:trHeight w:val="567"/>
        </w:trPr>
        <w:tc>
          <w:tcPr>
            <w:tcW w:w="5000" w:type="pct"/>
            <w:gridSpan w:val="3"/>
            <w:vAlign w:val="center"/>
          </w:tcPr>
          <w:p w14:paraId="1752465F" w14:textId="77777777" w:rsidR="00750051" w:rsidRPr="00C51E02" w:rsidRDefault="00750051" w:rsidP="00126B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1E02">
              <w:rPr>
                <w:rFonts w:ascii="Times New Roman" w:hAnsi="Times New Roman"/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750051" w:rsidRPr="00C51E02" w14:paraId="6E861791" w14:textId="77777777" w:rsidTr="00C51E02">
        <w:trPr>
          <w:trHeight w:val="567"/>
        </w:trPr>
        <w:tc>
          <w:tcPr>
            <w:tcW w:w="2255" w:type="pct"/>
            <w:vAlign w:val="center"/>
          </w:tcPr>
          <w:p w14:paraId="3CEA2B7E" w14:textId="77777777" w:rsidR="00750051" w:rsidRPr="00C51E02" w:rsidRDefault="00750051" w:rsidP="00126B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1E02">
              <w:rPr>
                <w:rFonts w:ascii="Times New Roman" w:hAnsi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372" w:type="pct"/>
            <w:vAlign w:val="center"/>
          </w:tcPr>
          <w:p w14:paraId="76E280E0" w14:textId="4C9A147B" w:rsidR="00750051" w:rsidRPr="00C51E02" w:rsidRDefault="00750051" w:rsidP="00126B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1E0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SCHEMAT DAWKOWANIA LEKÓW </w:t>
            </w:r>
            <w:r w:rsidR="002B25D8" w:rsidRPr="00C51E02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 w:rsidRPr="00C51E02">
              <w:rPr>
                <w:rFonts w:ascii="Times New Roman" w:hAnsi="Times New Roman"/>
                <w:b/>
                <w:bCs/>
                <w:sz w:val="20"/>
                <w:szCs w:val="20"/>
              </w:rPr>
              <w:t>W PROGRAMIE</w:t>
            </w:r>
          </w:p>
        </w:tc>
        <w:tc>
          <w:tcPr>
            <w:tcW w:w="1373" w:type="pct"/>
            <w:vAlign w:val="center"/>
          </w:tcPr>
          <w:p w14:paraId="73ED37E4" w14:textId="761EE44C" w:rsidR="00750051" w:rsidRPr="00C51E02" w:rsidRDefault="00750051" w:rsidP="00A40451">
            <w:pPr>
              <w:autoSpaceDE w:val="0"/>
              <w:autoSpaceDN w:val="0"/>
              <w:adjustRightInd w:val="0"/>
              <w:spacing w:after="0" w:line="240" w:lineRule="auto"/>
              <w:ind w:right="7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51E02">
              <w:rPr>
                <w:rFonts w:ascii="Times New Roman" w:hAnsi="Times New Roman"/>
                <w:b/>
                <w:bCs/>
                <w:sz w:val="20"/>
                <w:szCs w:val="20"/>
              </w:rPr>
              <w:t>BADANIA DIAGNOSTYCZNE WYKONYWANE</w:t>
            </w:r>
            <w:r w:rsidR="002B25D8" w:rsidRPr="00C51E0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C51E02">
              <w:rPr>
                <w:rFonts w:ascii="Times New Roman" w:hAnsi="Times New Roman"/>
                <w:b/>
                <w:bCs/>
                <w:sz w:val="20"/>
                <w:szCs w:val="20"/>
              </w:rPr>
              <w:t>W RAMACH PROGRAMU</w:t>
            </w:r>
          </w:p>
        </w:tc>
      </w:tr>
      <w:tr w:rsidR="00750051" w:rsidRPr="00A416A6" w14:paraId="29BCD3C7" w14:textId="77777777" w:rsidTr="00C51E02">
        <w:trPr>
          <w:trHeight w:val="20"/>
        </w:trPr>
        <w:tc>
          <w:tcPr>
            <w:tcW w:w="2255" w:type="pct"/>
          </w:tcPr>
          <w:p w14:paraId="29674F52" w14:textId="62E1E64F" w:rsidR="0093256F" w:rsidRPr="004D23F1" w:rsidRDefault="0093256F" w:rsidP="004D23F1">
            <w:pPr>
              <w:autoSpaceDE w:val="0"/>
              <w:autoSpaceDN w:val="0"/>
              <w:adjustRightInd w:val="0"/>
              <w:spacing w:before="120" w:after="60"/>
              <w:ind w:right="6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Program lekowy dedykowany jest dla pacjentów w następujących populacjach:</w:t>
            </w:r>
          </w:p>
          <w:p w14:paraId="073F6122" w14:textId="2413BA46" w:rsidR="0093256F" w:rsidRPr="004D23F1" w:rsidRDefault="00A96E3E" w:rsidP="007417E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0" w:name="_Hlk157852841"/>
            <w:r w:rsidRPr="004D23F1">
              <w:rPr>
                <w:rFonts w:ascii="Times New Roman" w:hAnsi="Times New Roman"/>
                <w:sz w:val="20"/>
                <w:szCs w:val="20"/>
              </w:rPr>
              <w:t>p</w:t>
            </w:r>
            <w:r w:rsidR="0093256F" w:rsidRPr="004D23F1">
              <w:rPr>
                <w:rFonts w:ascii="Times New Roman" w:hAnsi="Times New Roman"/>
                <w:sz w:val="20"/>
                <w:szCs w:val="20"/>
              </w:rPr>
              <w:t xml:space="preserve">acjenci neonatologiczni, </w:t>
            </w:r>
          </w:p>
          <w:p w14:paraId="7D9B37D1" w14:textId="5EC9AF11" w:rsidR="0093256F" w:rsidRDefault="00A96E3E" w:rsidP="007417E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p</w:t>
            </w:r>
            <w:r w:rsidR="0093256F" w:rsidRPr="004D23F1">
              <w:rPr>
                <w:rFonts w:ascii="Times New Roman" w:hAnsi="Times New Roman"/>
                <w:sz w:val="20"/>
                <w:szCs w:val="20"/>
              </w:rPr>
              <w:t>acjenci z rozpoznaną mukowiscydozą</w:t>
            </w:r>
            <w:r w:rsidR="00071FAA" w:rsidRPr="004D23F1">
              <w:rPr>
                <w:rFonts w:ascii="Times New Roman" w:hAnsi="Times New Roman"/>
                <w:sz w:val="20"/>
                <w:szCs w:val="20"/>
              </w:rPr>
              <w:t xml:space="preserve"> do 1 roku życia</w:t>
            </w:r>
            <w:r w:rsidR="0093256F" w:rsidRPr="004D23F1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689593A5" w14:textId="4C60B04C" w:rsidR="00584470" w:rsidRPr="00584470" w:rsidRDefault="00584470" w:rsidP="007417E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 xml:space="preserve">pacjenci kardiologiczni </w:t>
            </w:r>
            <w:r w:rsidRPr="00584470">
              <w:rPr>
                <w:rFonts w:ascii="Times New Roman" w:hAnsi="Times New Roman"/>
                <w:sz w:val="20"/>
                <w:szCs w:val="20"/>
              </w:rPr>
              <w:t xml:space="preserve">do 2 roku życia, </w:t>
            </w:r>
          </w:p>
          <w:p w14:paraId="73E1EDDF" w14:textId="6C009961" w:rsidR="0093256F" w:rsidRPr="004D23F1" w:rsidRDefault="00A96E3E" w:rsidP="007417E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p</w:t>
            </w:r>
            <w:r w:rsidR="0093256F" w:rsidRPr="004D23F1">
              <w:rPr>
                <w:rFonts w:ascii="Times New Roman" w:hAnsi="Times New Roman"/>
                <w:sz w:val="20"/>
                <w:szCs w:val="20"/>
              </w:rPr>
              <w:t>acjenci z rozpoznanym rdzeniowym zanikiem mięśni</w:t>
            </w:r>
            <w:r w:rsidR="00071FAA" w:rsidRPr="004D23F1">
              <w:rPr>
                <w:rFonts w:ascii="Times New Roman" w:hAnsi="Times New Roman"/>
                <w:sz w:val="20"/>
                <w:szCs w:val="20"/>
              </w:rPr>
              <w:t xml:space="preserve"> do 2 roku życia</w:t>
            </w:r>
            <w:r w:rsidR="00B74F7D">
              <w:rPr>
                <w:rFonts w:ascii="Times New Roman" w:hAnsi="Times New Roman"/>
                <w:sz w:val="20"/>
                <w:szCs w:val="20"/>
              </w:rPr>
              <w:t>.</w:t>
            </w:r>
          </w:p>
          <w:bookmarkEnd w:id="0"/>
          <w:p w14:paraId="601AAA91" w14:textId="2F16B92A" w:rsidR="00340808" w:rsidRPr="004D23F1" w:rsidRDefault="00340808" w:rsidP="007417E1">
            <w:pPr>
              <w:autoSpaceDE w:val="0"/>
              <w:autoSpaceDN w:val="0"/>
              <w:adjustRightInd w:val="0"/>
              <w:spacing w:after="60"/>
              <w:ind w:right="6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Kwalifikację do udziału w programie zatwierdza konsultant wojewódzki w dziedzinie neonatologii, kardiologii dziecięcej, neurologii dziecięcej lub pulmonologii dziecięcej w porozumieniu z odpowiednim konsultantem krajowym na podstawie dokumentacji z ośrodka.</w:t>
            </w:r>
          </w:p>
          <w:p w14:paraId="0C243C14" w14:textId="7FA305AC" w:rsidR="00750051" w:rsidRPr="004D23F1" w:rsidRDefault="00750051" w:rsidP="007417E1">
            <w:pPr>
              <w:autoSpaceDE w:val="0"/>
              <w:autoSpaceDN w:val="0"/>
              <w:adjustRightInd w:val="0"/>
              <w:spacing w:after="60"/>
              <w:ind w:right="8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 xml:space="preserve">Program polega na podaniu maksymalnie 5 dawek </w:t>
            </w:r>
            <w:proofErr w:type="spellStart"/>
            <w:r w:rsidRPr="004D23F1">
              <w:rPr>
                <w:rFonts w:ascii="Times New Roman" w:hAnsi="Times New Roman"/>
                <w:sz w:val="20"/>
                <w:szCs w:val="20"/>
              </w:rPr>
              <w:t>paliwizumabu</w:t>
            </w:r>
            <w:proofErr w:type="spellEnd"/>
            <w:r w:rsidRPr="004D23F1">
              <w:rPr>
                <w:rFonts w:ascii="Times New Roman" w:hAnsi="Times New Roman"/>
                <w:sz w:val="20"/>
                <w:szCs w:val="20"/>
              </w:rPr>
              <w:t xml:space="preserve"> (w odstępach miesięcznych) w sezonie zakażeń wirusem RS, trwającym od 1 </w:t>
            </w:r>
            <w:r w:rsidR="00B05317" w:rsidRPr="004D23F1">
              <w:rPr>
                <w:rFonts w:ascii="Times New Roman" w:hAnsi="Times New Roman"/>
                <w:sz w:val="20"/>
                <w:szCs w:val="20"/>
              </w:rPr>
              <w:t>września</w:t>
            </w:r>
            <w:r w:rsidRPr="004D23F1">
              <w:rPr>
                <w:rFonts w:ascii="Times New Roman" w:hAnsi="Times New Roman"/>
                <w:sz w:val="20"/>
                <w:szCs w:val="20"/>
              </w:rPr>
              <w:t xml:space="preserve"> do 30 kwietnia.</w:t>
            </w:r>
          </w:p>
          <w:p w14:paraId="65217646" w14:textId="2538C8DE" w:rsidR="00750051" w:rsidRPr="004D23F1" w:rsidRDefault="00750051" w:rsidP="007417E1">
            <w:pPr>
              <w:autoSpaceDE w:val="0"/>
              <w:autoSpaceDN w:val="0"/>
              <w:adjustRightInd w:val="0"/>
              <w:spacing w:after="60"/>
              <w:ind w:right="8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 xml:space="preserve">Immunizację </w:t>
            </w:r>
            <w:proofErr w:type="spellStart"/>
            <w:r w:rsidRPr="004D23F1">
              <w:rPr>
                <w:rFonts w:ascii="Times New Roman" w:hAnsi="Times New Roman"/>
                <w:sz w:val="20"/>
                <w:szCs w:val="20"/>
              </w:rPr>
              <w:t>paliwizumabem</w:t>
            </w:r>
            <w:proofErr w:type="spellEnd"/>
            <w:r w:rsidRPr="004D23F1">
              <w:rPr>
                <w:rFonts w:ascii="Times New Roman" w:hAnsi="Times New Roman"/>
                <w:sz w:val="20"/>
                <w:szCs w:val="20"/>
              </w:rPr>
              <w:t xml:space="preserve"> przeprowadza się maksymalnie w dwóch następujących po sobie sezonach immunizacji zgodnie z kryteriami poniżej</w:t>
            </w:r>
            <w:r w:rsidR="00A416A6" w:rsidRPr="004D23F1">
              <w:rPr>
                <w:rFonts w:ascii="Times New Roman" w:hAnsi="Times New Roman"/>
                <w:sz w:val="20"/>
                <w:szCs w:val="20"/>
              </w:rPr>
              <w:t>.</w:t>
            </w:r>
            <w:r w:rsidR="00963E99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461818E" w14:textId="77777777" w:rsidR="00C51E02" w:rsidRPr="004D23F1" w:rsidRDefault="00C51E02" w:rsidP="007417E1">
            <w:pPr>
              <w:autoSpaceDE w:val="0"/>
              <w:autoSpaceDN w:val="0"/>
              <w:adjustRightInd w:val="0"/>
              <w:spacing w:after="60"/>
              <w:ind w:right="8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FC33F4F" w14:textId="040C6E69" w:rsidR="00750051" w:rsidRPr="004D23F1" w:rsidRDefault="00750051" w:rsidP="007417E1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0"/>
              <w:ind w:right="8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D23F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Kryteria kwalifikacji </w:t>
            </w:r>
          </w:p>
          <w:p w14:paraId="0C6B6EED" w14:textId="6BF46252" w:rsidR="0093256F" w:rsidRPr="004D23F1" w:rsidRDefault="0093256F" w:rsidP="007417E1">
            <w:pPr>
              <w:pStyle w:val="Akapitzlist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60"/>
              <w:ind w:right="8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bookmarkStart w:id="1" w:name="_Hlk157852863"/>
            <w:r w:rsidRPr="004D23F1">
              <w:rPr>
                <w:rFonts w:ascii="Times New Roman" w:hAnsi="Times New Roman"/>
                <w:b/>
                <w:bCs/>
                <w:sz w:val="20"/>
                <w:szCs w:val="20"/>
              </w:rPr>
              <w:t>Pacjenci neonatologiczni</w:t>
            </w:r>
          </w:p>
          <w:bookmarkEnd w:id="1"/>
          <w:p w14:paraId="72D6B11B" w14:textId="3116DABE" w:rsidR="00991D65" w:rsidRPr="004D23F1" w:rsidRDefault="00340808" w:rsidP="007417E1">
            <w:pPr>
              <w:pStyle w:val="Akapitzlist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brak ukończenia szóstego</w:t>
            </w:r>
            <w:r w:rsidR="00991D65" w:rsidRPr="004D23F1">
              <w:rPr>
                <w:rFonts w:ascii="Times New Roman" w:hAnsi="Times New Roman"/>
                <w:sz w:val="20"/>
                <w:szCs w:val="20"/>
              </w:rPr>
              <w:t xml:space="preserve"> miesiąca życia </w:t>
            </w:r>
            <w:r w:rsidRPr="004D23F1">
              <w:rPr>
                <w:rFonts w:ascii="Times New Roman" w:hAnsi="Times New Roman"/>
                <w:sz w:val="20"/>
                <w:szCs w:val="20"/>
              </w:rPr>
              <w:t xml:space="preserve">w momencie rozpoczęcia </w:t>
            </w:r>
            <w:r w:rsidR="00C626EC" w:rsidRPr="004D23F1">
              <w:rPr>
                <w:rFonts w:ascii="Times New Roman" w:hAnsi="Times New Roman"/>
                <w:sz w:val="20"/>
                <w:szCs w:val="20"/>
              </w:rPr>
              <w:t>immunizacji</w:t>
            </w:r>
            <w:r w:rsidRPr="004D23F1">
              <w:rPr>
                <w:rFonts w:ascii="Times New Roman" w:hAnsi="Times New Roman"/>
                <w:sz w:val="20"/>
                <w:szCs w:val="20"/>
              </w:rPr>
              <w:t>,</w:t>
            </w:r>
            <w:r w:rsidR="00C626EC" w:rsidRPr="004D23F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2971" w:rsidRPr="004D23F1">
              <w:rPr>
                <w:rFonts w:ascii="Times New Roman" w:hAnsi="Times New Roman"/>
                <w:sz w:val="20"/>
                <w:szCs w:val="20"/>
              </w:rPr>
              <w:t xml:space="preserve">oraz </w:t>
            </w:r>
            <w:r w:rsidRPr="004D23F1">
              <w:rPr>
                <w:rFonts w:ascii="Times New Roman" w:hAnsi="Times New Roman"/>
                <w:sz w:val="20"/>
                <w:szCs w:val="20"/>
              </w:rPr>
              <w:t>spełnienie kryterium</w:t>
            </w:r>
            <w:r w:rsidR="00E82971" w:rsidRPr="004D23F1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155503F" w14:textId="54D27CD8" w:rsidR="00991D65" w:rsidRPr="004D23F1" w:rsidRDefault="00991D65" w:rsidP="007417E1">
            <w:pPr>
              <w:pStyle w:val="Akapitzlist"/>
              <w:numPr>
                <w:ilvl w:val="3"/>
                <w:numId w:val="15"/>
              </w:numPr>
              <w:tabs>
                <w:tab w:val="left" w:pos="897"/>
              </w:tabs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wiek ciążowy 29 - 32 tygodni</w:t>
            </w:r>
            <w:r w:rsidR="00E82971" w:rsidRPr="004D23F1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30F4490B" w14:textId="77777777" w:rsidR="00991D65" w:rsidRPr="004D23F1" w:rsidRDefault="00991D65" w:rsidP="00A5391A">
            <w:pPr>
              <w:pStyle w:val="Akapitzlist"/>
              <w:tabs>
                <w:tab w:val="left" w:pos="897"/>
              </w:tabs>
              <w:autoSpaceDE w:val="0"/>
              <w:autoSpaceDN w:val="0"/>
              <w:adjustRightInd w:val="0"/>
              <w:spacing w:after="60"/>
              <w:ind w:left="634" w:right="8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5072B378" w14:textId="2A0C51CC" w:rsidR="00991D65" w:rsidRPr="004D23F1" w:rsidRDefault="00991D65" w:rsidP="00A5391A">
            <w:pPr>
              <w:pStyle w:val="Akapitzlist"/>
              <w:numPr>
                <w:ilvl w:val="3"/>
                <w:numId w:val="15"/>
              </w:numPr>
              <w:tabs>
                <w:tab w:val="left" w:pos="897"/>
              </w:tabs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lastRenderedPageBreak/>
              <w:t>wiek ciążowy ≤ 35 tygodni oraz mała masa urodzeniowa równa lub poniżej 1500 g,</w:t>
            </w:r>
          </w:p>
          <w:p w14:paraId="526580E7" w14:textId="25615839" w:rsidR="00C539F9" w:rsidRDefault="00E82971" w:rsidP="00A5391A">
            <w:pPr>
              <w:pStyle w:val="Akapitzlist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 xml:space="preserve">brak ukończenia pierwszego roku życia </w:t>
            </w:r>
            <w:r w:rsidR="00750051" w:rsidRPr="004D23F1">
              <w:rPr>
                <w:rFonts w:ascii="Times New Roman" w:hAnsi="Times New Roman"/>
                <w:sz w:val="20"/>
                <w:szCs w:val="20"/>
              </w:rPr>
              <w:t xml:space="preserve">w momencie rozpoczęcia immunizacji </w:t>
            </w:r>
            <w:r w:rsidRPr="004D23F1">
              <w:rPr>
                <w:rFonts w:ascii="Times New Roman" w:hAnsi="Times New Roman"/>
                <w:sz w:val="20"/>
                <w:szCs w:val="20"/>
              </w:rPr>
              <w:t>oraz narodziny</w:t>
            </w:r>
            <w:r w:rsidR="00750051" w:rsidRPr="004D23F1">
              <w:rPr>
                <w:rFonts w:ascii="Times New Roman" w:hAnsi="Times New Roman"/>
                <w:sz w:val="20"/>
                <w:szCs w:val="20"/>
              </w:rPr>
              <w:t xml:space="preserve"> w wieku ciążowym ≤ 28 tygodni</w:t>
            </w:r>
            <w:r w:rsidR="00E549B4">
              <w:rPr>
                <w:rFonts w:ascii="Times New Roman" w:hAnsi="Times New Roman"/>
                <w:sz w:val="20"/>
                <w:szCs w:val="20"/>
              </w:rPr>
              <w:t>,</w:t>
            </w:r>
            <w:r w:rsidR="00C539F9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5D95943" w14:textId="5E789C84" w:rsidR="00C539F9" w:rsidRDefault="00C539F9" w:rsidP="00A5391A">
            <w:pPr>
              <w:pStyle w:val="Akapitzlist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49B4">
              <w:rPr>
                <w:rFonts w:ascii="Times New Roman" w:hAnsi="Times New Roman"/>
                <w:sz w:val="20"/>
                <w:szCs w:val="20"/>
              </w:rPr>
              <w:t>brak ukończenia drugiego roku życia w momencie rozpoczęcia immunizacji oraz rozpoznanie  dysplazji oskrzelowo-płucnej.</w:t>
            </w:r>
          </w:p>
          <w:p w14:paraId="5E8189DC" w14:textId="77777777" w:rsidR="00A5391A" w:rsidRPr="00E549B4" w:rsidRDefault="00A5391A" w:rsidP="00A5391A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D6A3AAF" w14:textId="2843758F" w:rsidR="00A96E3E" w:rsidRPr="004D23F1" w:rsidRDefault="00A96E3E" w:rsidP="00A5391A">
            <w:pPr>
              <w:pStyle w:val="Akapitzlist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/>
              <w:ind w:right="8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bookmarkStart w:id="2" w:name="_Hlk157852872"/>
            <w:r w:rsidRPr="004D23F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Pacjenci z rozpoznaną mukowiscydozą: </w:t>
            </w:r>
          </w:p>
          <w:bookmarkEnd w:id="2"/>
          <w:p w14:paraId="7CCEA099" w14:textId="77777777" w:rsidR="00A5391A" w:rsidRDefault="00071FAA" w:rsidP="00A5391A">
            <w:pPr>
              <w:pStyle w:val="Akapitzlist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b</w:t>
            </w:r>
            <w:r w:rsidR="00A96E3E" w:rsidRPr="004D23F1">
              <w:rPr>
                <w:rFonts w:ascii="Times New Roman" w:hAnsi="Times New Roman"/>
                <w:sz w:val="20"/>
                <w:szCs w:val="20"/>
              </w:rPr>
              <w:t xml:space="preserve">rak ukończenia pierwszego roku życia </w:t>
            </w:r>
            <w:r w:rsidR="00991D65" w:rsidRPr="004D23F1">
              <w:rPr>
                <w:rFonts w:ascii="Times New Roman" w:hAnsi="Times New Roman"/>
                <w:sz w:val="20"/>
                <w:szCs w:val="20"/>
              </w:rPr>
              <w:t>w momencie rozpoczęcia immunizacji</w:t>
            </w:r>
            <w:r w:rsidR="00E549B4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4E56A4B" w14:textId="36CA2766" w:rsidR="00A96E3E" w:rsidRPr="004D23F1" w:rsidRDefault="00A96E3E" w:rsidP="00A5391A">
            <w:pPr>
              <w:pStyle w:val="Akapitzlist"/>
              <w:autoSpaceDE w:val="0"/>
              <w:autoSpaceDN w:val="0"/>
              <w:adjustRightInd w:val="0"/>
              <w:spacing w:after="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C6E6960" w14:textId="3A27FFC3" w:rsidR="00A96E3E" w:rsidRPr="004D23F1" w:rsidRDefault="00A96E3E" w:rsidP="00A5391A">
            <w:pPr>
              <w:pStyle w:val="Akapitzlist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/>
              <w:ind w:right="8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bookmarkStart w:id="3" w:name="_Hlk157852880"/>
            <w:r w:rsidRPr="004D23F1">
              <w:rPr>
                <w:rFonts w:ascii="Times New Roman" w:hAnsi="Times New Roman"/>
                <w:b/>
                <w:bCs/>
                <w:sz w:val="20"/>
                <w:szCs w:val="20"/>
              </w:rPr>
              <w:t>Pacjenci kardiologiczni</w:t>
            </w:r>
            <w:r w:rsidR="00E82971" w:rsidRPr="004D23F1"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  <w:bookmarkEnd w:id="3"/>
          <w:p w14:paraId="04724A7B" w14:textId="12819D15" w:rsidR="00750051" w:rsidRPr="00E549B4" w:rsidRDefault="00D644A8" w:rsidP="00A5391A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84470">
              <w:rPr>
                <w:rFonts w:ascii="Times New Roman" w:hAnsi="Times New Roman"/>
                <w:sz w:val="20"/>
                <w:szCs w:val="20"/>
              </w:rPr>
              <w:t>brak ukończenia drugiego roku życia</w:t>
            </w:r>
            <w:r w:rsidRPr="004D23F1">
              <w:rPr>
                <w:rFonts w:ascii="Times New Roman" w:hAnsi="Times New Roman"/>
                <w:sz w:val="20"/>
                <w:szCs w:val="20"/>
              </w:rPr>
              <w:t xml:space="preserve"> w momencie rozpoczęcia immunizacji oraz rozpoznanie</w:t>
            </w:r>
            <w:r w:rsidR="00E549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50051" w:rsidRPr="00E549B4">
              <w:rPr>
                <w:rFonts w:ascii="Times New Roman" w:hAnsi="Times New Roman"/>
                <w:sz w:val="20"/>
                <w:szCs w:val="20"/>
              </w:rPr>
              <w:t>hemodynamicznie</w:t>
            </w:r>
            <w:r w:rsidRPr="00E549B4">
              <w:rPr>
                <w:rFonts w:ascii="Times New Roman" w:hAnsi="Times New Roman"/>
                <w:sz w:val="20"/>
                <w:szCs w:val="20"/>
              </w:rPr>
              <w:t xml:space="preserve"> istotnej wady serca z</w:t>
            </w:r>
            <w:r w:rsidR="00750051" w:rsidRPr="00E549B4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2DD31266" w14:textId="445A4D9A" w:rsidR="002B25D8" w:rsidRPr="004D23F1" w:rsidRDefault="00750051" w:rsidP="00A5391A">
            <w:pPr>
              <w:pStyle w:val="Akapitzlist"/>
              <w:numPr>
                <w:ilvl w:val="3"/>
                <w:numId w:val="35"/>
              </w:numPr>
              <w:tabs>
                <w:tab w:val="left" w:pos="897"/>
              </w:tabs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jawną niewydolnością serca, utrzymującą się pomimo leczenia farmakologicznego</w:t>
            </w:r>
            <w:r w:rsidR="00885BC1" w:rsidRPr="004D23F1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F9FF759" w14:textId="2D4792AF" w:rsidR="00750051" w:rsidRPr="004D23F1" w:rsidRDefault="00750051" w:rsidP="00A5391A">
            <w:pPr>
              <w:pStyle w:val="Akapitzlist"/>
              <w:tabs>
                <w:tab w:val="left" w:pos="897"/>
              </w:tabs>
              <w:autoSpaceDE w:val="0"/>
              <w:autoSpaceDN w:val="0"/>
              <w:adjustRightInd w:val="0"/>
              <w:spacing w:after="0"/>
              <w:ind w:left="680" w:right="8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lub</w:t>
            </w:r>
          </w:p>
          <w:p w14:paraId="39B157F8" w14:textId="77777777" w:rsidR="002E1146" w:rsidRPr="004D23F1" w:rsidRDefault="00750051" w:rsidP="007417E1">
            <w:pPr>
              <w:pStyle w:val="Akapitzlist"/>
              <w:numPr>
                <w:ilvl w:val="3"/>
                <w:numId w:val="35"/>
              </w:numPr>
              <w:tabs>
                <w:tab w:val="left" w:pos="897"/>
              </w:tabs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umiarkowanym lub ciężkim wtórnym nadciśnieniem płucnym</w:t>
            </w:r>
            <w:r w:rsidR="00885BC1" w:rsidRPr="004D23F1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A98F7E1" w14:textId="5DE9B306" w:rsidR="002E1146" w:rsidRPr="004D23F1" w:rsidRDefault="002E1146" w:rsidP="00A5391A">
            <w:pPr>
              <w:spacing w:after="0"/>
              <w:ind w:left="680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 xml:space="preserve">lub </w:t>
            </w:r>
          </w:p>
          <w:p w14:paraId="00183A1C" w14:textId="1173EEFF" w:rsidR="00C626EC" w:rsidRDefault="00750051" w:rsidP="007417E1">
            <w:pPr>
              <w:pStyle w:val="Akapitzlist"/>
              <w:numPr>
                <w:ilvl w:val="3"/>
                <w:numId w:val="35"/>
              </w:numPr>
              <w:tabs>
                <w:tab w:val="left" w:pos="897"/>
              </w:tabs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D23F1">
              <w:rPr>
                <w:rFonts w:ascii="Times New Roman" w:hAnsi="Times New Roman"/>
                <w:sz w:val="20"/>
                <w:szCs w:val="20"/>
              </w:rPr>
              <w:t>siniczymi</w:t>
            </w:r>
            <w:proofErr w:type="spellEnd"/>
            <w:r w:rsidRPr="004D23F1">
              <w:rPr>
                <w:rFonts w:ascii="Times New Roman" w:hAnsi="Times New Roman"/>
                <w:sz w:val="20"/>
                <w:szCs w:val="20"/>
              </w:rPr>
              <w:t xml:space="preserve"> wadami serca, z przezskórnym utlenowaniem krwi tętniczej utrzymującej się &lt;90%</w:t>
            </w:r>
            <w:r w:rsidR="00E549B4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9D07EE1" w14:textId="77777777" w:rsidR="007417E1" w:rsidRPr="004D23F1" w:rsidRDefault="007417E1" w:rsidP="007417E1">
            <w:pPr>
              <w:pStyle w:val="Akapitzlist"/>
              <w:tabs>
                <w:tab w:val="left" w:pos="897"/>
              </w:tabs>
              <w:autoSpaceDE w:val="0"/>
              <w:autoSpaceDN w:val="0"/>
              <w:adjustRightInd w:val="0"/>
              <w:spacing w:after="60"/>
              <w:ind w:left="681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B16D888" w14:textId="452A7C03" w:rsidR="00991D65" w:rsidRPr="004D23F1" w:rsidRDefault="00A96E3E" w:rsidP="007417E1">
            <w:pPr>
              <w:pStyle w:val="Akapitzlist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60"/>
              <w:ind w:right="8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bookmarkStart w:id="4" w:name="_Hlk157852889"/>
            <w:r w:rsidRPr="004D23F1">
              <w:rPr>
                <w:rFonts w:ascii="Times New Roman" w:hAnsi="Times New Roman"/>
                <w:b/>
                <w:bCs/>
                <w:sz w:val="20"/>
                <w:szCs w:val="20"/>
              </w:rPr>
              <w:t>Pacjenci z rozpoznanym rdzeniowym zanikiem mięśni:</w:t>
            </w:r>
          </w:p>
          <w:bookmarkEnd w:id="4"/>
          <w:p w14:paraId="4B52871C" w14:textId="27A4613D" w:rsidR="00C626EC" w:rsidRPr="004D23F1" w:rsidRDefault="00A96E3E" w:rsidP="007417E1">
            <w:pPr>
              <w:pStyle w:val="Akapitzlist"/>
              <w:numPr>
                <w:ilvl w:val="4"/>
                <w:numId w:val="29"/>
              </w:numPr>
              <w:spacing w:after="60"/>
              <w:ind w:left="454" w:hanging="227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brak ukończenia drugiego roku życia w momencie rozpoczęcia immunizacji</w:t>
            </w:r>
            <w:r w:rsidR="00E549B4">
              <w:rPr>
                <w:rFonts w:ascii="Times New Roman" w:hAnsi="Times New Roman"/>
                <w:sz w:val="20"/>
                <w:szCs w:val="20"/>
              </w:rPr>
              <w:t>.</w:t>
            </w:r>
            <w:r w:rsidRPr="004D23F1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31009D5" w14:textId="77777777" w:rsidR="007417E1" w:rsidRDefault="007417E1" w:rsidP="007417E1">
            <w:pPr>
              <w:autoSpaceDE w:val="0"/>
              <w:autoSpaceDN w:val="0"/>
              <w:adjustRightInd w:val="0"/>
              <w:spacing w:after="60"/>
              <w:ind w:right="79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51D44E9" w14:textId="07E26381" w:rsidR="00071FAA" w:rsidRPr="004D23F1" w:rsidRDefault="00071FAA" w:rsidP="007417E1">
            <w:pPr>
              <w:autoSpaceDE w:val="0"/>
              <w:autoSpaceDN w:val="0"/>
              <w:adjustRightInd w:val="0"/>
              <w:spacing w:after="60"/>
              <w:ind w:right="79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J</w:t>
            </w:r>
            <w:r w:rsidR="00750051" w:rsidRPr="004D23F1">
              <w:rPr>
                <w:rFonts w:ascii="Times New Roman" w:hAnsi="Times New Roman"/>
                <w:sz w:val="20"/>
                <w:szCs w:val="20"/>
              </w:rPr>
              <w:t xml:space="preserve">eżeli świadczeniobiorca, który spełnia opisane powyżej kryteria kwalifikacji do programu, urodzi się w trakcie trwania sezonu zakażeń wirusem RS, wówczas otrzymuje od 3 do 5 dawek </w:t>
            </w:r>
            <w:proofErr w:type="spellStart"/>
            <w:r w:rsidR="00750051" w:rsidRPr="004D23F1">
              <w:rPr>
                <w:rFonts w:ascii="Times New Roman" w:hAnsi="Times New Roman"/>
                <w:sz w:val="20"/>
                <w:szCs w:val="20"/>
              </w:rPr>
              <w:t>paliwizumabu</w:t>
            </w:r>
            <w:proofErr w:type="spellEnd"/>
            <w:r w:rsidR="00750051" w:rsidRPr="004D23F1">
              <w:rPr>
                <w:rFonts w:ascii="Times New Roman" w:hAnsi="Times New Roman"/>
                <w:sz w:val="20"/>
                <w:szCs w:val="20"/>
              </w:rPr>
              <w:t>, jednak nie mniej niż 3 dawki</w:t>
            </w:r>
            <w:r w:rsidR="00A416A6" w:rsidRPr="004D23F1">
              <w:rPr>
                <w:rFonts w:ascii="Times New Roman" w:hAnsi="Times New Roman"/>
                <w:sz w:val="20"/>
                <w:szCs w:val="20"/>
              </w:rPr>
              <w:t>; l</w:t>
            </w:r>
            <w:r w:rsidR="00750051" w:rsidRPr="004D23F1">
              <w:rPr>
                <w:rFonts w:ascii="Times New Roman" w:hAnsi="Times New Roman"/>
                <w:sz w:val="20"/>
                <w:szCs w:val="20"/>
              </w:rPr>
              <w:t>iczba podanych dawek jest uzależniona od okresu pozostałego od dnia urodzenia do zakończenia sezonu zakażeń</w:t>
            </w:r>
            <w:r w:rsidR="00706991" w:rsidRPr="004D23F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BBED20F" w14:textId="5F98D175" w:rsidR="00D644A8" w:rsidRPr="004D23F1" w:rsidRDefault="00D644A8" w:rsidP="007417E1">
            <w:pPr>
              <w:autoSpaceDE w:val="0"/>
              <w:autoSpaceDN w:val="0"/>
              <w:adjustRightInd w:val="0"/>
              <w:spacing w:after="60"/>
              <w:ind w:right="79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lastRenderedPageBreak/>
              <w:t>Do programu lekowego kwalifikowani są również pacjenci, którym podano lek zawierający substancją czynną finansowaną w programie lekowym w ramach innego sposobu finansowania terapii, w celu zapewnienia kontynuacji immunizacji, o ile na dzień podania pierwszej dawki spełnili stosowne kryteria włączenia oraz nie mają przeciwwskazań do immunizacji oraz nie spełniają kryteriów wyłączenia wskazanych w punkcie 3., a łączny czas leczenia od rozpoczęcia terapii jest nie dłuższy niż wskazano w punkcie 2.</w:t>
            </w:r>
          </w:p>
          <w:p w14:paraId="0BD49F10" w14:textId="497A5DB6" w:rsidR="002B25D8" w:rsidRPr="004D23F1" w:rsidRDefault="002B25D8" w:rsidP="007417E1">
            <w:pPr>
              <w:autoSpaceDE w:val="0"/>
              <w:autoSpaceDN w:val="0"/>
              <w:adjustRightInd w:val="0"/>
              <w:spacing w:after="60"/>
              <w:ind w:right="79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8637ADC" w14:textId="10DB51E9" w:rsidR="00750051" w:rsidRPr="004D23F1" w:rsidRDefault="00750051" w:rsidP="007417E1">
            <w:pPr>
              <w:pStyle w:val="Akapitzlist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60"/>
              <w:ind w:right="79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b/>
                <w:bCs/>
                <w:sz w:val="20"/>
                <w:szCs w:val="20"/>
              </w:rPr>
              <w:t>Określenie czasu leczenia w programie</w:t>
            </w:r>
          </w:p>
          <w:p w14:paraId="6B6CFF45" w14:textId="5DC7EBA4" w:rsidR="00750051" w:rsidRPr="004D23F1" w:rsidRDefault="00750051" w:rsidP="007417E1">
            <w:pPr>
              <w:autoSpaceDE w:val="0"/>
              <w:autoSpaceDN w:val="0"/>
              <w:adjustRightInd w:val="0"/>
              <w:spacing w:after="60"/>
              <w:ind w:right="79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 xml:space="preserve">Lek podawany jest podczas sezonu zakażeń wirusem RS (od 1 </w:t>
            </w:r>
            <w:r w:rsidR="00852EE1" w:rsidRPr="004D23F1">
              <w:rPr>
                <w:rFonts w:ascii="Times New Roman" w:hAnsi="Times New Roman"/>
                <w:sz w:val="20"/>
                <w:szCs w:val="20"/>
              </w:rPr>
              <w:t>września</w:t>
            </w:r>
            <w:r w:rsidRPr="004D23F1">
              <w:rPr>
                <w:rFonts w:ascii="Times New Roman" w:hAnsi="Times New Roman"/>
                <w:sz w:val="20"/>
                <w:szCs w:val="20"/>
              </w:rPr>
              <w:t xml:space="preserve"> do 30 kwietnia) co miesiąc </w:t>
            </w:r>
            <w:r w:rsidR="000F7AAB" w:rsidRPr="004D23F1">
              <w:rPr>
                <w:rFonts w:ascii="Times New Roman" w:hAnsi="Times New Roman"/>
                <w:sz w:val="20"/>
                <w:szCs w:val="20"/>
              </w:rPr>
              <w:t>–</w:t>
            </w:r>
            <w:r w:rsidRPr="004D23F1">
              <w:rPr>
                <w:rFonts w:ascii="Times New Roman" w:hAnsi="Times New Roman"/>
                <w:sz w:val="20"/>
                <w:szCs w:val="20"/>
              </w:rPr>
              <w:t xml:space="preserve"> 5 razy, a w sytuacji opisanej w ust.1 pkt 2 – od 3 do 5 razy.</w:t>
            </w:r>
          </w:p>
          <w:p w14:paraId="16A855FF" w14:textId="77777777" w:rsidR="002B25D8" w:rsidRPr="004D23F1" w:rsidRDefault="002B25D8" w:rsidP="007417E1">
            <w:pPr>
              <w:autoSpaceDE w:val="0"/>
              <w:autoSpaceDN w:val="0"/>
              <w:adjustRightInd w:val="0"/>
              <w:spacing w:after="60"/>
              <w:ind w:right="79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F89E07E" w14:textId="57D833F2" w:rsidR="00750051" w:rsidRPr="004D23F1" w:rsidRDefault="00750051" w:rsidP="007417E1">
            <w:pPr>
              <w:pStyle w:val="Akapitzlist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60"/>
              <w:ind w:right="79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b/>
                <w:bCs/>
                <w:sz w:val="20"/>
                <w:szCs w:val="20"/>
              </w:rPr>
              <w:t>Kryteria wyłączenia z programu</w:t>
            </w:r>
          </w:p>
          <w:p w14:paraId="7776274C" w14:textId="3E8A3491" w:rsidR="00750051" w:rsidRPr="004D23F1" w:rsidRDefault="00750051" w:rsidP="007417E1">
            <w:pPr>
              <w:pStyle w:val="Akapitzlist"/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 xml:space="preserve">objawy nadwrażliwości na </w:t>
            </w:r>
            <w:proofErr w:type="spellStart"/>
            <w:r w:rsidRPr="004D23F1">
              <w:rPr>
                <w:rFonts w:ascii="Times New Roman" w:hAnsi="Times New Roman"/>
                <w:sz w:val="20"/>
                <w:szCs w:val="20"/>
              </w:rPr>
              <w:t>paliwizumab</w:t>
            </w:r>
            <w:proofErr w:type="spellEnd"/>
            <w:r w:rsidRPr="004D23F1">
              <w:rPr>
                <w:rFonts w:ascii="Times New Roman" w:hAnsi="Times New Roman"/>
                <w:sz w:val="20"/>
                <w:szCs w:val="20"/>
              </w:rPr>
              <w:t xml:space="preserve"> lub jakikolwiek ze składników występujących w preparacie</w:t>
            </w:r>
            <w:r w:rsidR="00E549B4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0ACE9389" w14:textId="570F6615" w:rsidR="00750051" w:rsidRPr="004D23F1" w:rsidRDefault="00750051" w:rsidP="007417E1">
            <w:pPr>
              <w:pStyle w:val="Akapitzlist"/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przebycie reakcji nadwrażliwości na podaż innych przeciwciał</w:t>
            </w:r>
            <w:r w:rsidR="00E549B4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26E08593" w14:textId="7669FAA3" w:rsidR="009B5B33" w:rsidRPr="004D23F1" w:rsidRDefault="00750051" w:rsidP="007417E1">
            <w:pPr>
              <w:pStyle w:val="Akapitzlist"/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 xml:space="preserve">brak zgody </w:t>
            </w:r>
            <w:r w:rsidR="009B5B33" w:rsidRPr="004D23F1">
              <w:rPr>
                <w:rFonts w:ascii="Times New Roman" w:hAnsi="Times New Roman"/>
                <w:sz w:val="20"/>
                <w:szCs w:val="20"/>
              </w:rPr>
              <w:t>prawnych opiekunów na leczenie,</w:t>
            </w:r>
          </w:p>
          <w:p w14:paraId="370B884C" w14:textId="50E3994E" w:rsidR="00750051" w:rsidRPr="004D23F1" w:rsidRDefault="009B5B33" w:rsidP="007417E1">
            <w:pPr>
              <w:pStyle w:val="Akapitzlist"/>
              <w:numPr>
                <w:ilvl w:val="3"/>
                <w:numId w:val="2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D23F1">
              <w:rPr>
                <w:rFonts w:ascii="Times New Roman" w:hAnsi="Times New Roman"/>
                <w:sz w:val="20"/>
                <w:szCs w:val="20"/>
              </w:rPr>
              <w:t>brak współpracy lub nieprzestrzeganie zaleceń lekarskich ze strony prawnych opiekunów</w:t>
            </w:r>
            <w:r w:rsidR="00750051" w:rsidRPr="004D23F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1FC0D0B" w14:textId="20820521" w:rsidR="00A416A6" w:rsidRPr="004D23F1" w:rsidRDefault="00A416A6" w:rsidP="00706991">
            <w:pPr>
              <w:autoSpaceDE w:val="0"/>
              <w:autoSpaceDN w:val="0"/>
              <w:adjustRightInd w:val="0"/>
              <w:spacing w:after="60"/>
              <w:ind w:right="8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72" w:type="pct"/>
          </w:tcPr>
          <w:p w14:paraId="0D8D1639" w14:textId="5FCEF36B" w:rsidR="00750051" w:rsidRPr="00706991" w:rsidRDefault="00750051" w:rsidP="00706991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06991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 xml:space="preserve">Dawkowanie </w:t>
            </w:r>
            <w:proofErr w:type="spellStart"/>
            <w:r w:rsidRPr="00706991">
              <w:rPr>
                <w:rFonts w:ascii="Times New Roman" w:hAnsi="Times New Roman"/>
                <w:b/>
                <w:sz w:val="20"/>
                <w:szCs w:val="20"/>
              </w:rPr>
              <w:t>paliwizumabu</w:t>
            </w:r>
            <w:proofErr w:type="spellEnd"/>
          </w:p>
          <w:p w14:paraId="4F497EB9" w14:textId="77777777" w:rsidR="00750051" w:rsidRDefault="00750051" w:rsidP="0070699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sz w:val="20"/>
                <w:szCs w:val="20"/>
              </w:rPr>
              <w:t>Lek podawany jest w dawce 15mg/kg masy ciała raz w miesiącu.</w:t>
            </w:r>
          </w:p>
          <w:p w14:paraId="789A3729" w14:textId="324D5BC7" w:rsidR="00963E99" w:rsidRPr="00706991" w:rsidRDefault="00963E99" w:rsidP="00706991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Lek podaje się we wstrzyknięciu domięśniowym, najlepiej w przednio-boczną część uda. Nie należy wybierać </w:t>
            </w:r>
            <w:r w:rsidR="00B71C65">
              <w:rPr>
                <w:rFonts w:ascii="Times New Roman" w:hAnsi="Times New Roman"/>
                <w:sz w:val="20"/>
                <w:szCs w:val="20"/>
              </w:rPr>
              <w:t xml:space="preserve">mięśnia pośladkowego. </w:t>
            </w:r>
          </w:p>
        </w:tc>
        <w:tc>
          <w:tcPr>
            <w:tcW w:w="1373" w:type="pct"/>
          </w:tcPr>
          <w:p w14:paraId="4F431169" w14:textId="21CD3BEE" w:rsidR="00750051" w:rsidRPr="00706991" w:rsidRDefault="00750051" w:rsidP="0070699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60"/>
              <w:ind w:right="6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b/>
                <w:bCs/>
                <w:sz w:val="20"/>
                <w:szCs w:val="20"/>
              </w:rPr>
              <w:t>Badania przy kwalifikacji</w:t>
            </w:r>
          </w:p>
          <w:p w14:paraId="5AFFCA2D" w14:textId="77777777" w:rsidR="00750051" w:rsidRPr="00706991" w:rsidRDefault="00750051" w:rsidP="00706991">
            <w:pPr>
              <w:autoSpaceDE w:val="0"/>
              <w:autoSpaceDN w:val="0"/>
              <w:adjustRightInd w:val="0"/>
              <w:spacing w:after="60"/>
              <w:ind w:right="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sz w:val="20"/>
                <w:szCs w:val="20"/>
              </w:rPr>
              <w:t xml:space="preserve">W przypadku kwalifikacji do leczenia </w:t>
            </w:r>
            <w:proofErr w:type="spellStart"/>
            <w:r w:rsidRPr="00706991">
              <w:rPr>
                <w:rFonts w:ascii="Times New Roman" w:hAnsi="Times New Roman"/>
                <w:sz w:val="20"/>
                <w:szCs w:val="20"/>
              </w:rPr>
              <w:t>paliwizumabem</w:t>
            </w:r>
            <w:proofErr w:type="spellEnd"/>
            <w:r w:rsidRPr="00706991">
              <w:rPr>
                <w:rFonts w:ascii="Times New Roman" w:hAnsi="Times New Roman"/>
                <w:sz w:val="20"/>
                <w:szCs w:val="20"/>
              </w:rPr>
              <w:t xml:space="preserve"> w oparciu o kryterium: </w:t>
            </w:r>
          </w:p>
          <w:p w14:paraId="21FC02CE" w14:textId="2CEFEE5E" w:rsidR="00750051" w:rsidRPr="00706991" w:rsidRDefault="00750051" w:rsidP="007417E1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sz w:val="20"/>
                <w:szCs w:val="20"/>
              </w:rPr>
              <w:t>dysplazja oskrzelowo-płucna: kliniczne potwierdzenie dysplazji oskrzelowo-płucnej;</w:t>
            </w:r>
          </w:p>
          <w:p w14:paraId="5C04663C" w14:textId="5AC13227" w:rsidR="00750051" w:rsidRDefault="00750051" w:rsidP="007417E1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sz w:val="20"/>
                <w:szCs w:val="20"/>
              </w:rPr>
              <w:t>hemodynamicznie istotna wada serca: kliniczne potwierdzenie hemodynamicznie istotnej wady serca</w:t>
            </w:r>
            <w:r w:rsidR="00706991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6B90F28" w14:textId="69E41825" w:rsidR="00706991" w:rsidRDefault="00706991" w:rsidP="007417E1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rdzeniowy zanik mięśni: kliniczne potwierdzenie rdzeniowego zaniku mięśni;</w:t>
            </w:r>
          </w:p>
          <w:p w14:paraId="551C29D0" w14:textId="04CC1171" w:rsidR="00706991" w:rsidRDefault="00706991" w:rsidP="007417E1">
            <w:pPr>
              <w:pStyle w:val="Akapitzlist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mukowiscydoza: kliniczne potwierdzenie mukowiscydozy</w:t>
            </w:r>
            <w:r w:rsidR="00B74F7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FD2FDFD" w14:textId="77777777" w:rsidR="00750051" w:rsidRPr="00706991" w:rsidRDefault="00750051" w:rsidP="007417E1">
            <w:pPr>
              <w:pStyle w:val="Akapitzlist"/>
              <w:autoSpaceDE w:val="0"/>
              <w:autoSpaceDN w:val="0"/>
              <w:adjustRightInd w:val="0"/>
              <w:spacing w:after="60"/>
              <w:ind w:left="856" w:right="6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C66A5DB" w14:textId="69439F56" w:rsidR="00750051" w:rsidRPr="00706991" w:rsidRDefault="00750051" w:rsidP="007417E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/>
              <w:ind w:right="6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 leczenia</w:t>
            </w:r>
          </w:p>
          <w:p w14:paraId="18F59F53" w14:textId="77777777" w:rsidR="00750051" w:rsidRPr="00706991" w:rsidRDefault="00750051" w:rsidP="007417E1">
            <w:pPr>
              <w:autoSpaceDE w:val="0"/>
              <w:autoSpaceDN w:val="0"/>
              <w:adjustRightInd w:val="0"/>
              <w:spacing w:after="60"/>
              <w:ind w:right="6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sz w:val="20"/>
                <w:szCs w:val="20"/>
              </w:rPr>
              <w:t xml:space="preserve">Dzieci zakwalifikowane do leczenia </w:t>
            </w:r>
            <w:proofErr w:type="spellStart"/>
            <w:r w:rsidRPr="00706991">
              <w:rPr>
                <w:rFonts w:ascii="Times New Roman" w:hAnsi="Times New Roman"/>
                <w:sz w:val="20"/>
                <w:szCs w:val="20"/>
              </w:rPr>
              <w:t>paliwizumabem</w:t>
            </w:r>
            <w:proofErr w:type="spellEnd"/>
            <w:r w:rsidRPr="00706991">
              <w:rPr>
                <w:rFonts w:ascii="Times New Roman" w:hAnsi="Times New Roman"/>
                <w:sz w:val="20"/>
                <w:szCs w:val="20"/>
              </w:rPr>
              <w:t xml:space="preserve"> wymagają comiesięcznych wizyt w ośrodku realizującym program do końca sezonu zakażeń RSV celem oceny stanu ogólnego pacjenta (wywiad i badanie fizykalne) przed otrzymaniem kolejnej dawki leku.</w:t>
            </w:r>
          </w:p>
          <w:p w14:paraId="21EDE1AF" w14:textId="6C8CDFFA" w:rsidR="00750051" w:rsidRPr="00706991" w:rsidRDefault="00750051" w:rsidP="007417E1">
            <w:pPr>
              <w:autoSpaceDE w:val="0"/>
              <w:autoSpaceDN w:val="0"/>
              <w:adjustRightInd w:val="0"/>
              <w:spacing w:after="60"/>
              <w:ind w:right="6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sz w:val="20"/>
                <w:szCs w:val="20"/>
              </w:rPr>
              <w:t>Konsultant krajowy w dziedzinie neonatologii</w:t>
            </w:r>
            <w:r w:rsidR="00706991">
              <w:rPr>
                <w:rFonts w:ascii="Times New Roman" w:hAnsi="Times New Roman"/>
                <w:sz w:val="20"/>
                <w:szCs w:val="20"/>
              </w:rPr>
              <w:t>,</w:t>
            </w:r>
            <w:r w:rsidRPr="00706991">
              <w:rPr>
                <w:rFonts w:ascii="Times New Roman" w:hAnsi="Times New Roman"/>
                <w:sz w:val="20"/>
                <w:szCs w:val="20"/>
              </w:rPr>
              <w:t xml:space="preserve"> kardiologii dziecięcej</w:t>
            </w:r>
            <w:r w:rsidR="00706991">
              <w:rPr>
                <w:rFonts w:ascii="Times New Roman" w:hAnsi="Times New Roman"/>
                <w:sz w:val="20"/>
                <w:szCs w:val="20"/>
              </w:rPr>
              <w:t xml:space="preserve">, neurologii dziecięcej oraz </w:t>
            </w:r>
            <w:r w:rsidR="00706991">
              <w:rPr>
                <w:rFonts w:ascii="Times New Roman" w:hAnsi="Times New Roman"/>
                <w:sz w:val="20"/>
                <w:szCs w:val="20"/>
              </w:rPr>
              <w:lastRenderedPageBreak/>
              <w:t>pulmonologii dziecięcej</w:t>
            </w:r>
            <w:r w:rsidRPr="00706991">
              <w:rPr>
                <w:rFonts w:ascii="Times New Roman" w:hAnsi="Times New Roman"/>
                <w:sz w:val="20"/>
                <w:szCs w:val="20"/>
              </w:rPr>
              <w:t xml:space="preserve"> nadzorują program korzystając z elektronicznego systemu monitorowania programów lekowych.</w:t>
            </w:r>
          </w:p>
          <w:p w14:paraId="450DA683" w14:textId="71CC2C5B" w:rsidR="002B25D8" w:rsidRPr="00706991" w:rsidRDefault="002B25D8" w:rsidP="007417E1">
            <w:pPr>
              <w:autoSpaceDE w:val="0"/>
              <w:autoSpaceDN w:val="0"/>
              <w:adjustRightInd w:val="0"/>
              <w:spacing w:after="60"/>
              <w:ind w:right="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DF7C8B2" w14:textId="77777777" w:rsidR="00750051" w:rsidRPr="00706991" w:rsidRDefault="00750051" w:rsidP="0070699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/>
              <w:ind w:right="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b/>
                <w:sz w:val="20"/>
                <w:szCs w:val="20"/>
              </w:rPr>
              <w:t>Monitorowanie programu</w:t>
            </w:r>
          </w:p>
          <w:p w14:paraId="65DB3180" w14:textId="77777777" w:rsidR="00750051" w:rsidRPr="00706991" w:rsidRDefault="00750051" w:rsidP="00706991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/>
              <w:ind w:right="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sz w:val="20"/>
                <w:szCs w:val="20"/>
              </w:rPr>
              <w:t>gromadzenie w dokumentacji medycznej pacjenta danych dotyczących monitorowania leczenia i każdorazowe ich przedstawienie na żądanie kontrolerów Narodowego Funduszu Zdrowia;</w:t>
            </w:r>
          </w:p>
          <w:p w14:paraId="2506D75D" w14:textId="14E0DA39" w:rsidR="00750051" w:rsidRPr="00706991" w:rsidRDefault="00750051" w:rsidP="00706991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/>
              <w:ind w:right="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sz w:val="20"/>
                <w:szCs w:val="20"/>
              </w:rPr>
              <w:t xml:space="preserve">uzupełnianie danych zawartych w </w:t>
            </w:r>
            <w:r w:rsidR="00A416A6" w:rsidRPr="00706991">
              <w:rPr>
                <w:rFonts w:ascii="Times New Roman" w:hAnsi="Times New Roman"/>
                <w:sz w:val="20"/>
                <w:szCs w:val="20"/>
              </w:rPr>
              <w:t>elektronicznym systemie monitorowania programów lekowych</w:t>
            </w:r>
            <w:r w:rsidRPr="00706991">
              <w:rPr>
                <w:rFonts w:ascii="Times New Roman" w:hAnsi="Times New Roman"/>
                <w:sz w:val="20"/>
                <w:szCs w:val="20"/>
              </w:rPr>
              <w:t>, dostępnym za pomocą aplikacji internetowej udostępnionej przez OW NFZ, z częstotliwością zgodną z opisem programu oraz na zakończenie leczenia;</w:t>
            </w:r>
          </w:p>
          <w:p w14:paraId="1280D8CA" w14:textId="204775A2" w:rsidR="00750051" w:rsidRPr="00706991" w:rsidRDefault="00750051" w:rsidP="00706991">
            <w:pPr>
              <w:numPr>
                <w:ilvl w:val="3"/>
                <w:numId w:val="13"/>
              </w:numPr>
              <w:autoSpaceDE w:val="0"/>
              <w:autoSpaceDN w:val="0"/>
              <w:adjustRightInd w:val="0"/>
              <w:spacing w:after="60"/>
              <w:ind w:right="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6991">
              <w:rPr>
                <w:rFonts w:ascii="Times New Roman" w:hAnsi="Times New Roman"/>
                <w:sz w:val="20"/>
                <w:szCs w:val="20"/>
              </w:rPr>
              <w:t xml:space="preserve">przekazywanie informacji sprawozdawczo – rozliczeniowych do NFZ: informacje przekazuje się do NFZ w formie papierowej lub w formie elektronicznej, zgodnie z wymaganiami opublikowanymi przez </w:t>
            </w:r>
            <w:r w:rsidR="002B25D8" w:rsidRPr="00706991">
              <w:rPr>
                <w:rFonts w:ascii="Times New Roman" w:hAnsi="Times New Roman"/>
                <w:sz w:val="20"/>
                <w:szCs w:val="20"/>
              </w:rPr>
              <w:t>NFZ</w:t>
            </w:r>
            <w:r w:rsidRPr="00706991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14:paraId="7409743A" w14:textId="77777777" w:rsidR="00750051" w:rsidRPr="00706991" w:rsidRDefault="00750051" w:rsidP="00706991">
            <w:pPr>
              <w:autoSpaceDE w:val="0"/>
              <w:autoSpaceDN w:val="0"/>
              <w:adjustRightInd w:val="0"/>
              <w:spacing w:after="60"/>
              <w:ind w:left="356" w:right="7" w:hanging="35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9140D0B" w14:textId="77777777" w:rsidR="00916BEC" w:rsidRPr="00A416A6" w:rsidRDefault="00916BEC">
      <w:pPr>
        <w:rPr>
          <w:rFonts w:ascii="Times New Roman" w:hAnsi="Times New Roman"/>
        </w:rPr>
      </w:pPr>
    </w:p>
    <w:sectPr w:rsidR="00916BEC" w:rsidRPr="00A416A6" w:rsidSect="003C6E7C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D63C5" w14:textId="77777777" w:rsidR="003C6E7C" w:rsidRDefault="003C6E7C" w:rsidP="00126B11">
      <w:pPr>
        <w:spacing w:after="0" w:line="240" w:lineRule="auto"/>
      </w:pPr>
      <w:r>
        <w:separator/>
      </w:r>
    </w:p>
  </w:endnote>
  <w:endnote w:type="continuationSeparator" w:id="0">
    <w:p w14:paraId="70CA2F47" w14:textId="77777777" w:rsidR="003C6E7C" w:rsidRDefault="003C6E7C" w:rsidP="0012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EBE9" w14:textId="77777777" w:rsidR="003C6E7C" w:rsidRDefault="003C6E7C" w:rsidP="00126B11">
      <w:pPr>
        <w:spacing w:after="0" w:line="240" w:lineRule="auto"/>
      </w:pPr>
      <w:r>
        <w:separator/>
      </w:r>
    </w:p>
  </w:footnote>
  <w:footnote w:type="continuationSeparator" w:id="0">
    <w:p w14:paraId="309C3ACD" w14:textId="77777777" w:rsidR="003C6E7C" w:rsidRDefault="003C6E7C" w:rsidP="00126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747"/>
    <w:multiLevelType w:val="multilevel"/>
    <w:tmpl w:val="CE4CC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—"/>
      <w:lvlJc w:val="left"/>
      <w:pPr>
        <w:ind w:left="3600" w:hanging="360"/>
      </w:pPr>
      <w:rPr>
        <w:rFonts w:ascii="Calibri" w:hAnsi="Calibri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B660C7"/>
    <w:multiLevelType w:val="hybridMultilevel"/>
    <w:tmpl w:val="026A0288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124A"/>
    <w:multiLevelType w:val="multilevel"/>
    <w:tmpl w:val="95988C4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decimal"/>
      <w:suff w:val="space"/>
      <w:lvlText w:val="%5)"/>
      <w:lvlJc w:val="left"/>
      <w:pPr>
        <w:ind w:left="680" w:hanging="226"/>
      </w:pPr>
      <w:rPr>
        <w:rFonts w:ascii="Times New Roman" w:eastAsia="Calibri" w:hAnsi="Times New Roman" w:cs="Times New Roman"/>
        <w:sz w:val="20"/>
        <w:szCs w:val="2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DBD3FD2"/>
    <w:multiLevelType w:val="hybridMultilevel"/>
    <w:tmpl w:val="026A0288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51AC5"/>
    <w:multiLevelType w:val="multilevel"/>
    <w:tmpl w:val="A676A5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45F3F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9A204D7"/>
    <w:multiLevelType w:val="multilevel"/>
    <w:tmpl w:val="CE4CC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—"/>
      <w:lvlJc w:val="left"/>
      <w:pPr>
        <w:ind w:left="3600" w:hanging="360"/>
      </w:pPr>
      <w:rPr>
        <w:rFonts w:ascii="Calibri" w:hAnsi="Calibri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9A516C3"/>
    <w:multiLevelType w:val="multilevel"/>
    <w:tmpl w:val="95988C4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decimal"/>
      <w:suff w:val="space"/>
      <w:lvlText w:val="%5)"/>
      <w:lvlJc w:val="left"/>
      <w:pPr>
        <w:ind w:left="680" w:hanging="226"/>
      </w:pPr>
      <w:rPr>
        <w:rFonts w:ascii="Times New Roman" w:eastAsia="Calibri" w:hAnsi="Times New Roman" w:cs="Times New Roman"/>
        <w:sz w:val="20"/>
        <w:szCs w:val="2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1CA778EE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F083C27"/>
    <w:multiLevelType w:val="hybridMultilevel"/>
    <w:tmpl w:val="D98ED976"/>
    <w:lvl w:ilvl="0" w:tplc="255A6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67AA4"/>
    <w:multiLevelType w:val="hybridMultilevel"/>
    <w:tmpl w:val="5CFC8514"/>
    <w:lvl w:ilvl="0" w:tplc="255A6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D7426"/>
    <w:multiLevelType w:val="hybridMultilevel"/>
    <w:tmpl w:val="026A0288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E44F5"/>
    <w:multiLevelType w:val="hybridMultilevel"/>
    <w:tmpl w:val="61D233EE"/>
    <w:lvl w:ilvl="0" w:tplc="255A6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3521D"/>
    <w:multiLevelType w:val="hybridMultilevel"/>
    <w:tmpl w:val="4C5E216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5A1B"/>
    <w:multiLevelType w:val="hybridMultilevel"/>
    <w:tmpl w:val="026A0288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86203"/>
    <w:multiLevelType w:val="multilevel"/>
    <w:tmpl w:val="98AA3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—"/>
      <w:lvlJc w:val="left"/>
      <w:pPr>
        <w:ind w:left="3600" w:hanging="360"/>
      </w:pPr>
      <w:rPr>
        <w:rFonts w:ascii="Calibri" w:hAnsi="Calibri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E417D78"/>
    <w:multiLevelType w:val="hybridMultilevel"/>
    <w:tmpl w:val="4C5E216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640EA"/>
    <w:multiLevelType w:val="hybridMultilevel"/>
    <w:tmpl w:val="026A0288"/>
    <w:lvl w:ilvl="0" w:tplc="AD4A6EB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D7416"/>
    <w:multiLevelType w:val="multilevel"/>
    <w:tmpl w:val="59FED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5363A3"/>
    <w:multiLevelType w:val="multilevel"/>
    <w:tmpl w:val="95988C4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decimal"/>
      <w:suff w:val="space"/>
      <w:lvlText w:val="%5)"/>
      <w:lvlJc w:val="left"/>
      <w:pPr>
        <w:ind w:left="680" w:hanging="226"/>
      </w:pPr>
      <w:rPr>
        <w:rFonts w:ascii="Times New Roman" w:eastAsia="Calibri" w:hAnsi="Times New Roman" w:cs="Times New Roman"/>
        <w:sz w:val="20"/>
        <w:szCs w:val="2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592E05D3"/>
    <w:multiLevelType w:val="hybridMultilevel"/>
    <w:tmpl w:val="24CAD3CE"/>
    <w:lvl w:ilvl="0" w:tplc="255A6E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B613AB"/>
    <w:multiLevelType w:val="multilevel"/>
    <w:tmpl w:val="887C73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5E664C69"/>
    <w:multiLevelType w:val="multilevel"/>
    <w:tmpl w:val="CE4CC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—"/>
      <w:lvlJc w:val="left"/>
      <w:pPr>
        <w:ind w:left="3600" w:hanging="360"/>
      </w:pPr>
      <w:rPr>
        <w:rFonts w:ascii="Calibri" w:hAnsi="Calibri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F9227D5"/>
    <w:multiLevelType w:val="multilevel"/>
    <w:tmpl w:val="A7C60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—"/>
      <w:lvlJc w:val="left"/>
      <w:pPr>
        <w:ind w:left="3600" w:hanging="360"/>
      </w:pPr>
      <w:rPr>
        <w:rFonts w:ascii="Calibri" w:hAnsi="Calibri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0363574"/>
    <w:multiLevelType w:val="hybridMultilevel"/>
    <w:tmpl w:val="61BA7070"/>
    <w:lvl w:ilvl="0" w:tplc="FC643E4C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63FE4326"/>
    <w:multiLevelType w:val="hybridMultilevel"/>
    <w:tmpl w:val="E5768ACE"/>
    <w:lvl w:ilvl="0" w:tplc="255A6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93A64"/>
    <w:multiLevelType w:val="hybridMultilevel"/>
    <w:tmpl w:val="7A9653E2"/>
    <w:lvl w:ilvl="0" w:tplc="255A6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66DFF"/>
    <w:multiLevelType w:val="multilevel"/>
    <w:tmpl w:val="6216716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68CE6680"/>
    <w:multiLevelType w:val="hybridMultilevel"/>
    <w:tmpl w:val="B4EEBB7A"/>
    <w:lvl w:ilvl="0" w:tplc="04150017">
      <w:start w:val="1"/>
      <w:numFmt w:val="lowerLetter"/>
      <w:lvlText w:val="%1)"/>
      <w:lvlJc w:val="left"/>
      <w:pPr>
        <w:ind w:left="1170" w:hanging="360"/>
      </w:pPr>
    </w:lvl>
    <w:lvl w:ilvl="1" w:tplc="0409001B">
      <w:start w:val="1"/>
      <w:numFmt w:val="lowerRoman"/>
      <w:lvlText w:val="%2."/>
      <w:lvlJc w:val="right"/>
      <w:pPr>
        <w:ind w:left="1890" w:hanging="360"/>
      </w:pPr>
    </w:lvl>
    <w:lvl w:ilvl="2" w:tplc="04090001">
      <w:start w:val="1"/>
      <w:numFmt w:val="bullet"/>
      <w:lvlText w:val=""/>
      <w:lvlJc w:val="left"/>
      <w:pPr>
        <w:ind w:left="261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3330" w:hanging="360"/>
      </w:pPr>
    </w:lvl>
    <w:lvl w:ilvl="4" w:tplc="04150019">
      <w:start w:val="1"/>
      <w:numFmt w:val="lowerLetter"/>
      <w:lvlText w:val="%5."/>
      <w:lvlJc w:val="left"/>
      <w:pPr>
        <w:ind w:left="4050" w:hanging="360"/>
      </w:pPr>
    </w:lvl>
    <w:lvl w:ilvl="5" w:tplc="0415001B">
      <w:start w:val="1"/>
      <w:numFmt w:val="lowerRoman"/>
      <w:lvlText w:val="%6."/>
      <w:lvlJc w:val="right"/>
      <w:pPr>
        <w:ind w:left="4770" w:hanging="180"/>
      </w:pPr>
    </w:lvl>
    <w:lvl w:ilvl="6" w:tplc="0415000F">
      <w:start w:val="1"/>
      <w:numFmt w:val="decimal"/>
      <w:lvlText w:val="%7."/>
      <w:lvlJc w:val="left"/>
      <w:pPr>
        <w:ind w:left="5490" w:hanging="360"/>
      </w:pPr>
    </w:lvl>
    <w:lvl w:ilvl="7" w:tplc="04150019">
      <w:start w:val="1"/>
      <w:numFmt w:val="lowerLetter"/>
      <w:lvlText w:val="%8."/>
      <w:lvlJc w:val="left"/>
      <w:pPr>
        <w:ind w:left="6210" w:hanging="360"/>
      </w:pPr>
    </w:lvl>
    <w:lvl w:ilvl="8" w:tplc="0415001B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6ABA3041"/>
    <w:multiLevelType w:val="hybridMultilevel"/>
    <w:tmpl w:val="EFC64756"/>
    <w:lvl w:ilvl="0" w:tplc="255A6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32B8F"/>
    <w:multiLevelType w:val="hybridMultilevel"/>
    <w:tmpl w:val="7DEA211E"/>
    <w:lvl w:ilvl="0" w:tplc="255A6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8F0798"/>
    <w:multiLevelType w:val="multilevel"/>
    <w:tmpl w:val="A7C60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—"/>
      <w:lvlJc w:val="left"/>
      <w:pPr>
        <w:ind w:left="3600" w:hanging="360"/>
      </w:pPr>
      <w:rPr>
        <w:rFonts w:ascii="Calibri" w:hAnsi="Calibri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9893FB0"/>
    <w:multiLevelType w:val="multilevel"/>
    <w:tmpl w:val="6216716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7B107AC4"/>
    <w:multiLevelType w:val="multilevel"/>
    <w:tmpl w:val="95988C4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decimal"/>
      <w:suff w:val="space"/>
      <w:lvlText w:val="%5)"/>
      <w:lvlJc w:val="left"/>
      <w:pPr>
        <w:ind w:left="680" w:hanging="226"/>
      </w:pPr>
      <w:rPr>
        <w:rFonts w:ascii="Times New Roman" w:eastAsia="Calibri" w:hAnsi="Times New Roman" w:cs="Times New Roman"/>
        <w:sz w:val="20"/>
        <w:szCs w:val="2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7FBD4EE2"/>
    <w:multiLevelType w:val="multilevel"/>
    <w:tmpl w:val="CE4CC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—"/>
      <w:lvlJc w:val="left"/>
      <w:pPr>
        <w:ind w:left="3600" w:hanging="360"/>
      </w:pPr>
      <w:rPr>
        <w:rFonts w:ascii="Calibri" w:hAnsi="Calibri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13434710">
    <w:abstractNumId w:val="28"/>
  </w:num>
  <w:num w:numId="2" w16cid:durableId="2081714415">
    <w:abstractNumId w:val="16"/>
  </w:num>
  <w:num w:numId="3" w16cid:durableId="1790052892">
    <w:abstractNumId w:val="13"/>
  </w:num>
  <w:num w:numId="4" w16cid:durableId="1171411357">
    <w:abstractNumId w:val="25"/>
  </w:num>
  <w:num w:numId="5" w16cid:durableId="5747010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44222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4130115">
    <w:abstractNumId w:val="8"/>
  </w:num>
  <w:num w:numId="8" w16cid:durableId="744886015">
    <w:abstractNumId w:val="24"/>
  </w:num>
  <w:num w:numId="9" w16cid:durableId="2098209402">
    <w:abstractNumId w:val="21"/>
  </w:num>
  <w:num w:numId="10" w16cid:durableId="1431656008">
    <w:abstractNumId w:val="5"/>
  </w:num>
  <w:num w:numId="11" w16cid:durableId="235407348">
    <w:abstractNumId w:val="2"/>
  </w:num>
  <w:num w:numId="12" w16cid:durableId="836307442">
    <w:abstractNumId w:val="27"/>
  </w:num>
  <w:num w:numId="13" w16cid:durableId="1044447961">
    <w:abstractNumId w:val="32"/>
  </w:num>
  <w:num w:numId="14" w16cid:durableId="1158425176">
    <w:abstractNumId w:val="17"/>
  </w:num>
  <w:num w:numId="15" w16cid:durableId="1400900607">
    <w:abstractNumId w:val="23"/>
  </w:num>
  <w:num w:numId="16" w16cid:durableId="1806895097">
    <w:abstractNumId w:val="19"/>
  </w:num>
  <w:num w:numId="17" w16cid:durableId="1654260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99718527">
    <w:abstractNumId w:val="29"/>
  </w:num>
  <w:num w:numId="19" w16cid:durableId="287979040">
    <w:abstractNumId w:val="20"/>
  </w:num>
  <w:num w:numId="20" w16cid:durableId="1258636051">
    <w:abstractNumId w:val="12"/>
  </w:num>
  <w:num w:numId="21" w16cid:durableId="391388380">
    <w:abstractNumId w:val="15"/>
  </w:num>
  <w:num w:numId="22" w16cid:durableId="1590626306">
    <w:abstractNumId w:val="6"/>
  </w:num>
  <w:num w:numId="23" w16cid:durableId="1484277356">
    <w:abstractNumId w:val="0"/>
  </w:num>
  <w:num w:numId="24" w16cid:durableId="1919319036">
    <w:abstractNumId w:val="9"/>
  </w:num>
  <w:num w:numId="25" w16cid:durableId="2048212671">
    <w:abstractNumId w:val="34"/>
  </w:num>
  <w:num w:numId="26" w16cid:durableId="1096168141">
    <w:abstractNumId w:val="26"/>
  </w:num>
  <w:num w:numId="27" w16cid:durableId="2106031628">
    <w:abstractNumId w:val="30"/>
  </w:num>
  <w:num w:numId="28" w16cid:durableId="1171336390">
    <w:abstractNumId w:val="10"/>
  </w:num>
  <w:num w:numId="29" w16cid:durableId="366295922">
    <w:abstractNumId w:val="33"/>
  </w:num>
  <w:num w:numId="30" w16cid:durableId="512185335">
    <w:abstractNumId w:val="7"/>
  </w:num>
  <w:num w:numId="31" w16cid:durableId="1490318591">
    <w:abstractNumId w:val="22"/>
  </w:num>
  <w:num w:numId="32" w16cid:durableId="699859886">
    <w:abstractNumId w:val="3"/>
  </w:num>
  <w:num w:numId="33" w16cid:durableId="425854742">
    <w:abstractNumId w:val="11"/>
  </w:num>
  <w:num w:numId="34" w16cid:durableId="36859352">
    <w:abstractNumId w:val="1"/>
  </w:num>
  <w:num w:numId="35" w16cid:durableId="321860611">
    <w:abstractNumId w:val="31"/>
  </w:num>
  <w:num w:numId="36" w16cid:durableId="3413953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070"/>
    <w:rsid w:val="0001715A"/>
    <w:rsid w:val="00027D7C"/>
    <w:rsid w:val="00034B25"/>
    <w:rsid w:val="00071FAA"/>
    <w:rsid w:val="00095945"/>
    <w:rsid w:val="0009711D"/>
    <w:rsid w:val="000F7AAB"/>
    <w:rsid w:val="00126B11"/>
    <w:rsid w:val="0014343C"/>
    <w:rsid w:val="00183B10"/>
    <w:rsid w:val="001D7BAE"/>
    <w:rsid w:val="00226B76"/>
    <w:rsid w:val="0023754A"/>
    <w:rsid w:val="0027640D"/>
    <w:rsid w:val="002B25D8"/>
    <w:rsid w:val="002E1146"/>
    <w:rsid w:val="003156BD"/>
    <w:rsid w:val="003234AB"/>
    <w:rsid w:val="003278ED"/>
    <w:rsid w:val="00340808"/>
    <w:rsid w:val="00394E62"/>
    <w:rsid w:val="003C6E7C"/>
    <w:rsid w:val="004232DF"/>
    <w:rsid w:val="004D23F1"/>
    <w:rsid w:val="00584470"/>
    <w:rsid w:val="005A5278"/>
    <w:rsid w:val="00636C64"/>
    <w:rsid w:val="006910B7"/>
    <w:rsid w:val="006E4DDB"/>
    <w:rsid w:val="006F5923"/>
    <w:rsid w:val="006F60CF"/>
    <w:rsid w:val="00706991"/>
    <w:rsid w:val="007417E1"/>
    <w:rsid w:val="00750051"/>
    <w:rsid w:val="00757E56"/>
    <w:rsid w:val="007C745A"/>
    <w:rsid w:val="007D4A1A"/>
    <w:rsid w:val="008078A7"/>
    <w:rsid w:val="0081206F"/>
    <w:rsid w:val="00831BBA"/>
    <w:rsid w:val="00852EE1"/>
    <w:rsid w:val="00885BC1"/>
    <w:rsid w:val="009038DC"/>
    <w:rsid w:val="00916BEC"/>
    <w:rsid w:val="009227DF"/>
    <w:rsid w:val="0093256F"/>
    <w:rsid w:val="00950146"/>
    <w:rsid w:val="00963E99"/>
    <w:rsid w:val="00991D65"/>
    <w:rsid w:val="009B5B33"/>
    <w:rsid w:val="009D2254"/>
    <w:rsid w:val="009E6644"/>
    <w:rsid w:val="00A31561"/>
    <w:rsid w:val="00A40451"/>
    <w:rsid w:val="00A416A6"/>
    <w:rsid w:val="00A5391A"/>
    <w:rsid w:val="00A96E3E"/>
    <w:rsid w:val="00B05317"/>
    <w:rsid w:val="00B10F73"/>
    <w:rsid w:val="00B71C65"/>
    <w:rsid w:val="00B74F7D"/>
    <w:rsid w:val="00BC524B"/>
    <w:rsid w:val="00C51E02"/>
    <w:rsid w:val="00C539F9"/>
    <w:rsid w:val="00C626EC"/>
    <w:rsid w:val="00C813B9"/>
    <w:rsid w:val="00CE325D"/>
    <w:rsid w:val="00CF37A1"/>
    <w:rsid w:val="00D13F50"/>
    <w:rsid w:val="00D61070"/>
    <w:rsid w:val="00D644A8"/>
    <w:rsid w:val="00E549B4"/>
    <w:rsid w:val="00E63377"/>
    <w:rsid w:val="00E82971"/>
    <w:rsid w:val="00ED1A3A"/>
    <w:rsid w:val="00EF3901"/>
    <w:rsid w:val="00F43021"/>
    <w:rsid w:val="00F90C40"/>
    <w:rsid w:val="00FA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6FC3E"/>
  <w15:chartTrackingRefBased/>
  <w15:docId w15:val="{F579166F-E877-4EB9-826B-7243736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10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107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26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6B11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126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6B11"/>
    <w:rPr>
      <w:rFonts w:ascii="Calibri" w:eastAsia="Calibri" w:hAnsi="Calibri" w:cs="Times New Roman"/>
    </w:rPr>
  </w:style>
  <w:style w:type="paragraph" w:styleId="Poprawka">
    <w:name w:val="Revision"/>
    <w:hidden/>
    <w:uiPriority w:val="99"/>
    <w:semiHidden/>
    <w:rsid w:val="009227DF"/>
    <w:pPr>
      <w:spacing w:after="0" w:line="240" w:lineRule="auto"/>
    </w:pPr>
    <w:rPr>
      <w:rFonts w:ascii="Calibri" w:eastAsia="Calibri" w:hAnsi="Calibri" w:cs="Times New Roma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C52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52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524B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52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524B"/>
    <w:rPr>
      <w:rFonts w:ascii="Calibri" w:eastAsia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1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13B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f96dfc4-c60b-4e4c-b906-259fa5894e41}" enabled="1" method="Standard" siteId="{a1e6fb11-243f-4819-a918-27d0e2c22e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764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Morawiec Wioleta</dc:creator>
  <cp:keywords/>
  <dc:description/>
  <cp:lastModifiedBy>Wilk Justyna</cp:lastModifiedBy>
  <cp:revision>4</cp:revision>
  <dcterms:created xsi:type="dcterms:W3CDTF">2024-03-05T14:03:00Z</dcterms:created>
  <dcterms:modified xsi:type="dcterms:W3CDTF">2024-03-07T16:56:00Z</dcterms:modified>
</cp:coreProperties>
</file>