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1B" w:rsidRPr="00B8251B" w:rsidRDefault="00B8251B" w:rsidP="00B8251B">
      <w:pPr>
        <w:rPr>
          <w:rFonts w:ascii="Times New Roman" w:hAnsi="Times New Roman"/>
          <w:sz w:val="22"/>
        </w:rPr>
      </w:pPr>
      <w:bookmarkStart w:id="0" w:name="_GoBack"/>
      <w:bookmarkEnd w:id="0"/>
      <w:r w:rsidRPr="00B8251B">
        <w:rPr>
          <w:rFonts w:ascii="Times New Roman" w:hAnsi="Times New Roman"/>
          <w:sz w:val="22"/>
        </w:rPr>
        <w:t>Załącznik</w:t>
      </w:r>
      <w:r w:rsidR="003D769A">
        <w:rPr>
          <w:rFonts w:ascii="Times New Roman" w:hAnsi="Times New Roman"/>
          <w:sz w:val="22"/>
        </w:rPr>
        <w:t xml:space="preserve"> B.42.</w:t>
      </w:r>
      <w:r w:rsidRPr="00B8251B">
        <w:rPr>
          <w:rFonts w:ascii="Times New Roman" w:hAnsi="Times New Roman"/>
          <w:sz w:val="22"/>
        </w:rPr>
        <w:fldChar w:fldCharType="begin"/>
      </w:r>
      <w:r w:rsidRPr="00B8251B">
        <w:rPr>
          <w:rFonts w:ascii="Times New Roman" w:hAnsi="Times New Roman"/>
          <w:sz w:val="22"/>
        </w:rPr>
        <w:instrText xml:space="preserve"> FILENAME   \* MERGEFORMAT </w:instrText>
      </w:r>
      <w:r w:rsidRPr="00B8251B">
        <w:rPr>
          <w:rFonts w:ascii="Times New Roman" w:hAnsi="Times New Roman"/>
          <w:sz w:val="22"/>
        </w:rPr>
        <w:fldChar w:fldCharType="end"/>
      </w:r>
    </w:p>
    <w:p w:rsidR="00B8251B" w:rsidRPr="00B8251B" w:rsidRDefault="00B8251B" w:rsidP="00B8251B">
      <w:pPr>
        <w:rPr>
          <w:rFonts w:ascii="Times New Roman" w:hAnsi="Times New Roman"/>
          <w:sz w:val="22"/>
        </w:rPr>
      </w:pPr>
    </w:p>
    <w:p w:rsidR="008F794F" w:rsidRPr="00B8251B" w:rsidRDefault="00A27994" w:rsidP="003D769A">
      <w:pPr>
        <w:spacing w:after="240"/>
        <w:jc w:val="both"/>
        <w:rPr>
          <w:rFonts w:ascii="Times New Roman" w:hAnsi="Times New Roman"/>
          <w:b/>
          <w:sz w:val="28"/>
          <w:szCs w:val="28"/>
        </w:rPr>
      </w:pPr>
      <w:r w:rsidRPr="00B8251B">
        <w:rPr>
          <w:rFonts w:ascii="Times New Roman" w:hAnsi="Times New Roman"/>
          <w:b/>
          <w:sz w:val="28"/>
          <w:szCs w:val="28"/>
        </w:rPr>
        <w:t>LECZENIE NISKOROSŁYCH DZIECI Z ZESPOŁEM TURNERA (ZT)  (ICD-10  Q 96)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7"/>
        <w:gridCol w:w="4678"/>
        <w:gridCol w:w="5265"/>
      </w:tblGrid>
      <w:tr w:rsidR="00CB7484" w:rsidRPr="003D769A" w:rsidTr="003D769A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7484" w:rsidRPr="003D769A" w:rsidRDefault="00CB7484" w:rsidP="003D769A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ZAKRES ŚWIADCZENIA GWARANTOWANEGO</w:t>
            </w:r>
          </w:p>
        </w:tc>
      </w:tr>
      <w:tr w:rsidR="00CB7484" w:rsidRPr="003D769A" w:rsidTr="003D769A"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7484" w:rsidRPr="003D769A" w:rsidRDefault="00CB7484" w:rsidP="003D769A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ŚWIADCZENIOBIORCY I SUBSTANCJE CZYNNE STOSOWANE W RAMACH PROGRAMU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7484" w:rsidRPr="003D769A" w:rsidRDefault="00CB7484" w:rsidP="003D769A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SCHEMAT DAWKOWANIA LEKÓW W</w:t>
            </w:r>
            <w:r w:rsidR="004F605F" w:rsidRPr="003D769A">
              <w:rPr>
                <w:rFonts w:ascii="Times New Roman" w:hAnsi="Times New Roman"/>
                <w:b/>
                <w:bCs/>
              </w:rPr>
              <w:t> </w:t>
            </w:r>
            <w:r w:rsidRPr="003D769A">
              <w:rPr>
                <w:rFonts w:ascii="Times New Roman" w:hAnsi="Times New Roman"/>
                <w:b/>
                <w:bCs/>
              </w:rPr>
              <w:t>PROGRAMIE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7484" w:rsidRPr="003D769A" w:rsidRDefault="00CB7484" w:rsidP="003D769A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KWALIFIKACJA I BADANIA DIAGNOSTYCZNE WYKONYWANE W</w:t>
            </w:r>
            <w:r w:rsidR="004F605F" w:rsidRPr="003D769A">
              <w:rPr>
                <w:rFonts w:ascii="Times New Roman" w:hAnsi="Times New Roman"/>
                <w:b/>
                <w:bCs/>
              </w:rPr>
              <w:t> </w:t>
            </w:r>
            <w:r w:rsidRPr="003D769A">
              <w:rPr>
                <w:rFonts w:ascii="Times New Roman" w:hAnsi="Times New Roman"/>
                <w:b/>
                <w:bCs/>
              </w:rPr>
              <w:t>RAMACH PROGRAMU</w:t>
            </w:r>
          </w:p>
        </w:tc>
      </w:tr>
      <w:tr w:rsidR="00CB7484" w:rsidRPr="003D769A" w:rsidTr="003D769A"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Do programu kwalifikuje Zespół Koordynacyjny ds. Stosowania Hormonu Wzrostu powoływany przez Prezesa Narodowego Funduszu Zdrowia.</w:t>
            </w:r>
          </w:p>
          <w:p w:rsidR="00DE5078" w:rsidRPr="003D769A" w:rsidRDefault="00DE5078" w:rsidP="003D769A">
            <w:pPr>
              <w:widowControl/>
              <w:spacing w:line="276" w:lineRule="auto"/>
              <w:rPr>
                <w:rFonts w:ascii="Times New Roman" w:hAnsi="Times New Roman"/>
                <w:sz w:val="16"/>
              </w:rPr>
            </w:pP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1.</w:t>
            </w:r>
            <w:r w:rsidR="003D769A">
              <w:rPr>
                <w:rFonts w:ascii="Times New Roman" w:hAnsi="Times New Roman"/>
                <w:b/>
                <w:bCs/>
              </w:rPr>
              <w:t xml:space="preserve"> </w:t>
            </w:r>
            <w:r w:rsidRPr="003D769A">
              <w:rPr>
                <w:rFonts w:ascii="Times New Roman" w:hAnsi="Times New Roman"/>
                <w:b/>
                <w:bCs/>
              </w:rPr>
              <w:t>Kryteria kwalifikacji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stygmaty Zespołu Turnera;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niskorosłość, tj. wysokość ciała poniżej 3 centyla dla wieku, na</w:t>
            </w:r>
            <w:r w:rsidR="004F605F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siatkach centylowych dla populacji dziewcząt polskich;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upośledzone tempo wzrastania, poniżej -1 SD w odniesieniu do</w:t>
            </w:r>
            <w:r w:rsidR="004F605F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tempa wzrastania populacji dziewcząt polskich (wymagany co</w:t>
            </w:r>
            <w:r w:rsidR="00C12267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najmniej 6. miesięczny okres obserwacji w ośrodku uprawnionym do terapii hormonem wzrostu), z określeniem przewidywanego wzrostu ostatecznego metodą Baley- Pineau;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opóźniony wiek kostny, oceniany metodą Greulich'a-Pyle;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wykluczenie innych, aniżeli ZT, przyczyn niskorosłości (niedokrwistość, niedoczynność tarczycy, zaburzenia wchłaniania i</w:t>
            </w:r>
            <w:r w:rsidR="004F605F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trawienia jelitowego, obciążenia dotyczące przebiegu ciąży i</w:t>
            </w:r>
            <w:r w:rsidR="00C12267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porodu, itp.);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inne nieprawidłowości, szczególnie nieprawidłowości anatomiczne układu sercowonaczyniowego i moczowo-płciowego;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konsultacja genetyczna, potwierdzona dodatnim wynikiem badania kariotypu.</w:t>
            </w:r>
          </w:p>
          <w:p w:rsidR="00DE5078" w:rsidRPr="003D769A" w:rsidRDefault="00DE5078" w:rsidP="003D769A">
            <w:pPr>
              <w:widowControl/>
              <w:spacing w:line="276" w:lineRule="auto"/>
              <w:rPr>
                <w:rFonts w:ascii="Times New Roman" w:hAnsi="Times New Roman"/>
                <w:sz w:val="16"/>
              </w:rPr>
            </w:pP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2. Określenie czasu leczenia w programie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Leczenie trwa do czasu podjęcia przez Zespół Koordynacyjny ds. Stosowania Hormonu Wzrostu lub lekarza prowadzącego decyzji o</w:t>
            </w:r>
            <w:r w:rsidR="00C12267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wyłączeniu świadczeniobiorcy z programu, zgodnie z kryteriami wyłączenia.</w:t>
            </w:r>
          </w:p>
          <w:p w:rsidR="00DE5078" w:rsidRPr="003D769A" w:rsidRDefault="00DE5078" w:rsidP="003D769A">
            <w:pPr>
              <w:widowControl/>
              <w:spacing w:line="276" w:lineRule="auto"/>
              <w:rPr>
                <w:rFonts w:ascii="Times New Roman" w:hAnsi="Times New Roman"/>
                <w:sz w:val="16"/>
              </w:rPr>
            </w:pP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3. Kryteria wyłączenia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wystąpienie objawów złuszczenia gł</w:t>
            </w:r>
            <w:r w:rsidR="00C12267" w:rsidRPr="003D769A">
              <w:rPr>
                <w:rFonts w:ascii="Times New Roman" w:hAnsi="Times New Roman"/>
              </w:rPr>
              <w:t>owy</w:t>
            </w:r>
            <w:r w:rsidRPr="003D769A">
              <w:rPr>
                <w:rFonts w:ascii="Times New Roman" w:hAnsi="Times New Roman"/>
              </w:rPr>
              <w:t xml:space="preserve"> kości udowej;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wystąpienie objawów pseudo-tumor </w:t>
            </w:r>
            <w:proofErr w:type="spellStart"/>
            <w:r w:rsidRPr="003D769A">
              <w:rPr>
                <w:rFonts w:ascii="Times New Roman" w:hAnsi="Times New Roman"/>
              </w:rPr>
              <w:t>cerebri</w:t>
            </w:r>
            <w:proofErr w:type="spellEnd"/>
            <w:r w:rsidRPr="003D769A">
              <w:rPr>
                <w:rFonts w:ascii="Times New Roman" w:hAnsi="Times New Roman"/>
              </w:rPr>
              <w:t>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wystąpienie lub ujawnienie się cukrzycy;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ujawnienie lub wznowa choroby rozrostowej;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osiągnięcie przez świadczeniobiorcę niewyróżniającej wysokości ciała, tj. wysokości ciała równej lub większej niż </w:t>
            </w:r>
            <w:smartTag w:uri="urn:schemas-microsoft-com:office:smarttags" w:element="metricconverter">
              <w:smartTagPr>
                <w:attr w:name="ProductID" w:val="158 cm"/>
              </w:smartTagPr>
              <w:r w:rsidRPr="003D769A">
                <w:rPr>
                  <w:rFonts w:ascii="Times New Roman" w:hAnsi="Times New Roman"/>
                </w:rPr>
                <w:t>158 cm</w:t>
              </w:r>
            </w:smartTag>
            <w:r w:rsidRPr="003D769A">
              <w:rPr>
                <w:rFonts w:ascii="Times New Roman" w:hAnsi="Times New Roman"/>
              </w:rPr>
              <w:t>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zakończenie procesów wzrastania (brak przyrostu wysokości ciała między dwiema kolejnymi wizytami przeprowadzonymi w</w:t>
            </w:r>
            <w:r w:rsidR="00C12267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odstępach 6 miesięcznych);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niezadowalający efekt leczenia, tj. przyrost wysokości ciała świadczeniobiorcy leczonego hormonem wzrostu poniżej </w:t>
            </w:r>
            <w:smartTag w:uri="urn:schemas-microsoft-com:office:smarttags" w:element="metricconverter">
              <w:smartTagPr>
                <w:attr w:name="ProductID" w:val="3 cm"/>
              </w:smartTagPr>
              <w:r w:rsidRPr="003D769A">
                <w:rPr>
                  <w:rFonts w:ascii="Times New Roman" w:hAnsi="Times New Roman"/>
                </w:rPr>
                <w:t>3 cm</w:t>
              </w:r>
            </w:smartTag>
            <w:r w:rsidRPr="003D769A">
              <w:rPr>
                <w:rFonts w:ascii="Times New Roman" w:hAnsi="Times New Roman"/>
              </w:rPr>
              <w:t xml:space="preserve"> na</w:t>
            </w:r>
            <w:r w:rsidR="00C12267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rok;</w:t>
            </w:r>
          </w:p>
          <w:p w:rsidR="00CB7484" w:rsidRPr="003D769A" w:rsidRDefault="00CB7484" w:rsidP="003D769A">
            <w:pPr>
              <w:pStyle w:val="Akapitzlist"/>
              <w:widowControl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osiągnięcie wieku kostnego powyżej 14 lat.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lastRenderedPageBreak/>
              <w:t xml:space="preserve"> </w:t>
            </w:r>
            <w:r w:rsidRPr="003D769A">
              <w:rPr>
                <w:rFonts w:ascii="Times New Roman" w:hAnsi="Times New Roman"/>
                <w:b/>
                <w:bCs/>
              </w:rPr>
              <w:t>1. Dawkowanie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Somatotropina podawana codziennie wieczorem w dawce: 0,33 - 0,47 mg (1,0-1,4 IU)/kg m.c. /tydzień.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 </w:t>
            </w:r>
            <w:r w:rsidRPr="003D769A">
              <w:rPr>
                <w:rFonts w:ascii="Times New Roman" w:hAnsi="Times New Roman"/>
                <w:b/>
                <w:bCs/>
              </w:rPr>
              <w:t>1. Badania przy kwalifikacji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Przed rozpoczęciem leczenia należy wykonać pomiar stężenia IGF-1.</w:t>
            </w: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Badania laboratoryjne wykonywane według standardów diagnozowania świadczeniobiorców z</w:t>
            </w:r>
            <w:r w:rsidR="00F34EDB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zespołem Turnera (ZT).</w:t>
            </w:r>
          </w:p>
          <w:p w:rsidR="00DE5078" w:rsidRPr="003D769A" w:rsidRDefault="00DE5078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  <w:p w:rsidR="00CB7484" w:rsidRPr="003D769A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2. Monitorowanie leczenia</w:t>
            </w:r>
          </w:p>
          <w:p w:rsidR="00D34717" w:rsidRPr="003D769A" w:rsidRDefault="00CB7484" w:rsidP="003D769A">
            <w:pPr>
              <w:widowControl/>
              <w:spacing w:line="276" w:lineRule="auto"/>
              <w:ind w:left="290" w:hanging="141"/>
              <w:rPr>
                <w:rFonts w:ascii="Times New Roman" w:hAnsi="Times New Roman"/>
                <w:b/>
              </w:rPr>
            </w:pPr>
            <w:r w:rsidRPr="003D769A">
              <w:rPr>
                <w:rFonts w:ascii="Times New Roman" w:hAnsi="Times New Roman"/>
                <w:b/>
              </w:rPr>
              <w:t xml:space="preserve">2.1 </w:t>
            </w:r>
            <w:r w:rsidR="00C402C7" w:rsidRPr="003D769A">
              <w:rPr>
                <w:rFonts w:ascii="Times New Roman" w:hAnsi="Times New Roman"/>
                <w:b/>
              </w:rPr>
              <w:t>Po</w:t>
            </w:r>
            <w:r w:rsidR="00D34717" w:rsidRPr="003D769A">
              <w:rPr>
                <w:rFonts w:ascii="Times New Roman" w:hAnsi="Times New Roman"/>
                <w:b/>
              </w:rPr>
              <w:t xml:space="preserve"> 90 dni</w:t>
            </w:r>
            <w:r w:rsidR="00C402C7" w:rsidRPr="003D769A">
              <w:rPr>
                <w:rFonts w:ascii="Times New Roman" w:hAnsi="Times New Roman"/>
                <w:b/>
              </w:rPr>
              <w:t>ach</w:t>
            </w:r>
            <w:r w:rsidR="00D34717" w:rsidRPr="003D769A">
              <w:rPr>
                <w:rFonts w:ascii="Times New Roman" w:hAnsi="Times New Roman"/>
                <w:b/>
              </w:rPr>
              <w:t xml:space="preserve"> 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9"/>
              </w:numPr>
              <w:spacing w:line="276" w:lineRule="auto"/>
              <w:ind w:hanging="437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pomiar stężenia IGF-</w:t>
            </w:r>
            <w:r w:rsidR="00D34717" w:rsidRPr="003D769A">
              <w:rPr>
                <w:rFonts w:ascii="Times New Roman" w:hAnsi="Times New Roman"/>
              </w:rPr>
              <w:t>1</w:t>
            </w:r>
            <w:r w:rsidRPr="003D769A">
              <w:rPr>
                <w:rFonts w:ascii="Times New Roman" w:hAnsi="Times New Roman"/>
              </w:rPr>
              <w:t>.</w:t>
            </w:r>
          </w:p>
          <w:p w:rsidR="0061271E" w:rsidRPr="003D769A" w:rsidRDefault="00CB7484" w:rsidP="003D769A">
            <w:pPr>
              <w:widowControl/>
              <w:spacing w:line="276" w:lineRule="auto"/>
              <w:ind w:left="290" w:hanging="141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</w:rPr>
              <w:t>2.2 Co 180 dni</w:t>
            </w:r>
            <w:r w:rsidRPr="003D769A">
              <w:rPr>
                <w:rFonts w:ascii="Times New Roman" w:hAnsi="Times New Roman"/>
              </w:rPr>
              <w:t xml:space="preserve"> </w:t>
            </w:r>
          </w:p>
          <w:p w:rsidR="0061271E" w:rsidRPr="003D769A" w:rsidRDefault="00CB7484" w:rsidP="003D769A">
            <w:pPr>
              <w:widowControl/>
              <w:numPr>
                <w:ilvl w:val="0"/>
                <w:numId w:val="2"/>
              </w:numPr>
              <w:spacing w:line="276" w:lineRule="auto"/>
              <w:ind w:left="716" w:hanging="284"/>
              <w:rPr>
                <w:rFonts w:ascii="Times New Roman" w:hAnsi="Times New Roman"/>
                <w:vertAlign w:val="subscript"/>
              </w:rPr>
            </w:pPr>
            <w:r w:rsidRPr="003D769A">
              <w:rPr>
                <w:rFonts w:ascii="Times New Roman" w:hAnsi="Times New Roman"/>
              </w:rPr>
              <w:t>pomiar stężenia glukozy we krwi i</w:t>
            </w:r>
            <w:r w:rsidR="0061271E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odsetka glikowanej hemoglobiny HbA</w:t>
            </w:r>
            <w:r w:rsidRPr="003D769A">
              <w:rPr>
                <w:rFonts w:ascii="Times New Roman" w:hAnsi="Times New Roman"/>
                <w:vertAlign w:val="subscript"/>
              </w:rPr>
              <w:t>1C</w:t>
            </w:r>
          </w:p>
          <w:p w:rsidR="0061271E" w:rsidRPr="003D769A" w:rsidRDefault="00CB7484" w:rsidP="003D769A">
            <w:pPr>
              <w:widowControl/>
              <w:spacing w:line="276" w:lineRule="auto"/>
              <w:ind w:left="290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 lub co 365 dni: 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2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test obciążenia glukozą z pomiarem glikemii i</w:t>
            </w:r>
            <w:r w:rsidR="00F653A6" w:rsidRPr="003D769A">
              <w:rPr>
                <w:rFonts w:ascii="Times New Roman" w:hAnsi="Times New Roman"/>
              </w:rPr>
              <w:t> </w:t>
            </w:r>
            <w:r w:rsidRPr="003D769A">
              <w:rPr>
                <w:rFonts w:ascii="Times New Roman" w:hAnsi="Times New Roman"/>
              </w:rPr>
              <w:t>insulinemii.</w:t>
            </w:r>
          </w:p>
          <w:p w:rsidR="00CB7484" w:rsidRPr="003D769A" w:rsidRDefault="00CB7484" w:rsidP="003D769A">
            <w:pPr>
              <w:widowControl/>
              <w:spacing w:line="276" w:lineRule="auto"/>
              <w:ind w:left="290" w:hanging="141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2.</w:t>
            </w:r>
            <w:r w:rsidR="00D34717" w:rsidRPr="003D769A">
              <w:rPr>
                <w:rFonts w:ascii="Times New Roman" w:hAnsi="Times New Roman"/>
                <w:b/>
                <w:bCs/>
              </w:rPr>
              <w:t>3</w:t>
            </w:r>
            <w:r w:rsidRPr="003D769A">
              <w:rPr>
                <w:rFonts w:ascii="Times New Roman" w:hAnsi="Times New Roman"/>
                <w:b/>
                <w:bCs/>
              </w:rPr>
              <w:t xml:space="preserve"> Co 180 dni</w:t>
            </w:r>
          </w:p>
          <w:p w:rsidR="00F653A6" w:rsidRPr="003D769A" w:rsidRDefault="00CB7484" w:rsidP="003D769A">
            <w:pPr>
              <w:widowControl/>
              <w:numPr>
                <w:ilvl w:val="0"/>
                <w:numId w:val="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pomiar stężenia glukozy we krwi</w:t>
            </w:r>
            <w:r w:rsidR="00F653A6" w:rsidRPr="003D769A">
              <w:rPr>
                <w:rFonts w:ascii="Times New Roman" w:hAnsi="Times New Roman"/>
              </w:rPr>
              <w:t>;</w:t>
            </w:r>
            <w:r w:rsidRPr="003D769A">
              <w:rPr>
                <w:rFonts w:ascii="Times New Roman" w:hAnsi="Times New Roman"/>
              </w:rPr>
              <w:t xml:space="preserve"> </w:t>
            </w:r>
          </w:p>
          <w:p w:rsidR="00F653A6" w:rsidRPr="003D769A" w:rsidRDefault="00CB7484" w:rsidP="003D769A">
            <w:pPr>
              <w:widowControl/>
              <w:numPr>
                <w:ilvl w:val="0"/>
                <w:numId w:val="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pomiar stężenia TSH; 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pomiar stężenia fT</w:t>
            </w:r>
            <w:r w:rsidRPr="003D769A">
              <w:rPr>
                <w:rFonts w:ascii="Times New Roman" w:hAnsi="Times New Roman"/>
                <w:vertAlign w:val="subscript"/>
              </w:rPr>
              <w:t>4</w:t>
            </w:r>
            <w:r w:rsidRPr="003D769A">
              <w:rPr>
                <w:rFonts w:ascii="Times New Roman" w:hAnsi="Times New Roman"/>
              </w:rPr>
              <w:t>;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jonogram w surowicy krwi.</w:t>
            </w:r>
          </w:p>
          <w:p w:rsidR="00CB7484" w:rsidRPr="003D769A" w:rsidRDefault="00CB7484" w:rsidP="003D769A">
            <w:pPr>
              <w:widowControl/>
              <w:spacing w:line="276" w:lineRule="auto"/>
              <w:ind w:left="149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  <w:b/>
                <w:bCs/>
              </w:rPr>
              <w:t>2.</w:t>
            </w:r>
            <w:r w:rsidR="00D34717" w:rsidRPr="003D769A">
              <w:rPr>
                <w:rFonts w:ascii="Times New Roman" w:hAnsi="Times New Roman"/>
                <w:b/>
                <w:bCs/>
              </w:rPr>
              <w:t>4</w:t>
            </w:r>
            <w:r w:rsidRPr="003D769A">
              <w:rPr>
                <w:rFonts w:ascii="Times New Roman" w:hAnsi="Times New Roman"/>
                <w:b/>
                <w:bCs/>
              </w:rPr>
              <w:t xml:space="preserve"> Co 365 dni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konsultacja przez ginekologa zajmującego się dziećmi (dotyczy przede wszystkim dziewcząt powyżej 10 roku życia);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konsultacja kardiologiczna, USG serca (dotyczy dzieci z wadami układu sercowo-naczyniowego);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konsultacja nefrologiczna; konsultacja urologiczna;</w:t>
            </w:r>
            <w:r w:rsidR="003C6FA6" w:rsidRPr="003D769A">
              <w:rPr>
                <w:rFonts w:ascii="Times New Roman" w:hAnsi="Times New Roman"/>
              </w:rPr>
              <w:t xml:space="preserve"> </w:t>
            </w:r>
            <w:r w:rsidRPr="003D769A">
              <w:rPr>
                <w:rFonts w:ascii="Times New Roman" w:hAnsi="Times New Roman"/>
              </w:rPr>
              <w:t xml:space="preserve">USG jamy brzusznej; badanie ogólne i posiew moczu </w:t>
            </w:r>
            <w:r w:rsidRPr="003D769A">
              <w:rPr>
                <w:rFonts w:ascii="Times New Roman" w:hAnsi="Times New Roman"/>
              </w:rPr>
              <w:lastRenderedPageBreak/>
              <w:t>(dzieci z wadami układu moczowo-płciowego);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pomiar stężenia IGF-1;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RTG śródręcza z bliższą przynasadą kości przedramienia (do oceny wieku kostnego);</w:t>
            </w:r>
          </w:p>
          <w:p w:rsidR="003406FA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przy podejrzeniu złuszczenia gł</w:t>
            </w:r>
            <w:r w:rsidR="003406FA" w:rsidRPr="003D769A">
              <w:rPr>
                <w:rFonts w:ascii="Times New Roman" w:hAnsi="Times New Roman"/>
              </w:rPr>
              <w:t>owy</w:t>
            </w:r>
            <w:r w:rsidRPr="003D769A">
              <w:rPr>
                <w:rFonts w:ascii="Times New Roman" w:hAnsi="Times New Roman"/>
              </w:rPr>
              <w:t xml:space="preserve"> kości udowej: </w:t>
            </w:r>
          </w:p>
          <w:p w:rsidR="003406FA" w:rsidRPr="003D769A" w:rsidRDefault="00CB7484" w:rsidP="003D769A">
            <w:pPr>
              <w:widowControl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konsultacja ortopedyczna; 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RTG lub USG stawów biodrowych, poszerzone o TK lub MRI stawów biodrowych;</w:t>
            </w:r>
          </w:p>
          <w:p w:rsidR="003406FA" w:rsidRPr="003D769A" w:rsidRDefault="00CB7484" w:rsidP="003D769A">
            <w:pPr>
              <w:widowControl/>
              <w:numPr>
                <w:ilvl w:val="0"/>
                <w:numId w:val="14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w przypadku wystąpienia objawów pseudo tumor </w:t>
            </w:r>
            <w:proofErr w:type="spellStart"/>
            <w:r w:rsidRPr="003D769A">
              <w:rPr>
                <w:rFonts w:ascii="Times New Roman" w:hAnsi="Times New Roman"/>
              </w:rPr>
              <w:t>cerebri</w:t>
            </w:r>
            <w:proofErr w:type="spellEnd"/>
            <w:r w:rsidRPr="003D769A">
              <w:rPr>
                <w:rFonts w:ascii="Times New Roman" w:hAnsi="Times New Roman"/>
              </w:rPr>
              <w:t xml:space="preserve">: </w:t>
            </w:r>
          </w:p>
          <w:p w:rsidR="003406FA" w:rsidRPr="003D769A" w:rsidRDefault="00CB7484" w:rsidP="003D769A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konsultacja okulistyczna; </w:t>
            </w:r>
          </w:p>
          <w:p w:rsidR="003406FA" w:rsidRPr="003D769A" w:rsidRDefault="00CB7484" w:rsidP="003D769A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 xml:space="preserve">konsultacja neurologiczna; </w:t>
            </w:r>
          </w:p>
          <w:p w:rsidR="00CB7484" w:rsidRPr="003D769A" w:rsidRDefault="00CB7484" w:rsidP="003D769A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obrazowanie ośrodkowego układu nerwowego (TK z kontrastem lub MRI).</w:t>
            </w:r>
          </w:p>
          <w:p w:rsidR="009B43F6" w:rsidRDefault="00CB7484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Badania wykonywane według standardów monitorowania terapii hormonem wzrostu świadczeniobiorców z ZT.</w:t>
            </w:r>
          </w:p>
          <w:p w:rsidR="003D769A" w:rsidRPr="003D769A" w:rsidRDefault="003D769A" w:rsidP="003D769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  <w:p w:rsidR="009B43F6" w:rsidRPr="003D769A" w:rsidRDefault="009B43F6" w:rsidP="003D769A">
            <w:pPr>
              <w:widowControl/>
              <w:spacing w:line="276" w:lineRule="auto"/>
              <w:rPr>
                <w:rFonts w:ascii="Times New Roman" w:hAnsi="Times New Roman"/>
                <w:b/>
              </w:rPr>
            </w:pPr>
            <w:r w:rsidRPr="003D769A">
              <w:rPr>
                <w:rFonts w:ascii="Times New Roman" w:hAnsi="Times New Roman"/>
                <w:b/>
              </w:rPr>
              <w:t>3. Monitorowanie programu</w:t>
            </w:r>
          </w:p>
          <w:p w:rsidR="009B43F6" w:rsidRPr="003D769A" w:rsidRDefault="003C6FA6" w:rsidP="003D769A">
            <w:pPr>
              <w:widowControl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g</w:t>
            </w:r>
            <w:r w:rsidR="009B43F6" w:rsidRPr="003D769A">
              <w:rPr>
                <w:rFonts w:ascii="Times New Roman" w:hAnsi="Times New Roman"/>
              </w:rPr>
              <w:t>romadzenie w dokumentacji medycznej pacjenta danych dotyczących monitorowania leczenia i każdorazowe ich przedstawianie na żądanie kontrolerów  Narodowego Funduszu Zdrowia</w:t>
            </w:r>
            <w:r w:rsidRPr="003D769A">
              <w:rPr>
                <w:rFonts w:ascii="Times New Roman" w:hAnsi="Times New Roman"/>
              </w:rPr>
              <w:t>;</w:t>
            </w:r>
          </w:p>
          <w:p w:rsidR="009B43F6" w:rsidRPr="003D769A" w:rsidRDefault="003C6FA6" w:rsidP="003D769A">
            <w:pPr>
              <w:widowControl/>
              <w:numPr>
                <w:ilvl w:val="0"/>
                <w:numId w:val="1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u</w:t>
            </w:r>
            <w:r w:rsidR="009B43F6" w:rsidRPr="003D769A">
              <w:rPr>
                <w:rFonts w:ascii="Times New Roman" w:hAnsi="Times New Roman"/>
              </w:rPr>
              <w:t xml:space="preserve">zupełnienie danych zawartych w rejestrze (SMPT) dostępnym za pomocą aplikacji internetowej udostępnionej przez OW NFZ, </w:t>
            </w:r>
            <w:r w:rsidR="006C6B2A" w:rsidRPr="003D769A">
              <w:rPr>
                <w:rFonts w:ascii="Times New Roman" w:hAnsi="Times New Roman"/>
              </w:rPr>
              <w:t xml:space="preserve">z częstotliwością zgodną z opisem programu </w:t>
            </w:r>
            <w:r w:rsidR="009B43F6" w:rsidRPr="003D769A">
              <w:rPr>
                <w:rFonts w:ascii="Times New Roman" w:hAnsi="Times New Roman"/>
              </w:rPr>
              <w:t>oraz na zakończenie leczenia</w:t>
            </w:r>
            <w:r w:rsidRPr="003D769A">
              <w:rPr>
                <w:rFonts w:ascii="Times New Roman" w:hAnsi="Times New Roman"/>
              </w:rPr>
              <w:t>;</w:t>
            </w:r>
          </w:p>
          <w:p w:rsidR="00CB7484" w:rsidRPr="003D769A" w:rsidRDefault="003C6FA6" w:rsidP="003D769A">
            <w:pPr>
              <w:widowControl/>
              <w:numPr>
                <w:ilvl w:val="0"/>
                <w:numId w:val="15"/>
              </w:numPr>
              <w:spacing w:line="276" w:lineRule="auto"/>
              <w:ind w:left="716" w:hanging="284"/>
              <w:rPr>
                <w:rFonts w:ascii="Times New Roman" w:hAnsi="Times New Roman"/>
              </w:rPr>
            </w:pPr>
            <w:r w:rsidRPr="003D769A">
              <w:rPr>
                <w:rFonts w:ascii="Times New Roman" w:hAnsi="Times New Roman"/>
              </w:rPr>
              <w:t>p</w:t>
            </w:r>
            <w:r w:rsidR="009B43F6" w:rsidRPr="003D769A">
              <w:rPr>
                <w:rFonts w:ascii="Times New Roman" w:hAnsi="Times New Roman"/>
              </w:rPr>
              <w:t>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:rsidR="001A3CC7" w:rsidRPr="001A3CC7" w:rsidRDefault="001A3CC7" w:rsidP="001A3CC7">
      <w:pPr>
        <w:widowControl/>
        <w:rPr>
          <w:rFonts w:ascii="Courier New" w:hAnsi="Courier New"/>
          <w:sz w:val="24"/>
          <w:szCs w:val="24"/>
        </w:rPr>
      </w:pPr>
    </w:p>
    <w:p w:rsidR="001A3CC7" w:rsidRDefault="001A3CC7">
      <w:pPr>
        <w:rPr>
          <w:rFonts w:cs="Arial"/>
        </w:rPr>
      </w:pPr>
    </w:p>
    <w:sectPr w:rsidR="001A3CC7" w:rsidSect="009D7F6C">
      <w:pgSz w:w="16840" w:h="11907" w:orient="landscape" w:code="9"/>
      <w:pgMar w:top="1588" w:right="720" w:bottom="1418" w:left="720" w:header="709" w:footer="709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97B"/>
    <w:multiLevelType w:val="hybridMultilevel"/>
    <w:tmpl w:val="A9F47C28"/>
    <w:lvl w:ilvl="0" w:tplc="51EC31E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C80C3B"/>
    <w:multiLevelType w:val="hybridMultilevel"/>
    <w:tmpl w:val="B426868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0114E"/>
    <w:multiLevelType w:val="hybridMultilevel"/>
    <w:tmpl w:val="1100ABC6"/>
    <w:lvl w:ilvl="0" w:tplc="96B4DD5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B71D14"/>
    <w:multiLevelType w:val="hybridMultilevel"/>
    <w:tmpl w:val="6522564A"/>
    <w:lvl w:ilvl="0" w:tplc="04150011">
      <w:start w:val="1"/>
      <w:numFmt w:val="decimal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4" w15:restartNumberingAfterBreak="0">
    <w:nsid w:val="3A301502"/>
    <w:multiLevelType w:val="hybridMultilevel"/>
    <w:tmpl w:val="4F8047C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C6D0C"/>
    <w:multiLevelType w:val="hybridMultilevel"/>
    <w:tmpl w:val="4DF2A318"/>
    <w:lvl w:ilvl="0" w:tplc="EF0A031A">
      <w:start w:val="1"/>
      <w:numFmt w:val="decimal"/>
      <w:lvlText w:val="%1)"/>
      <w:lvlJc w:val="left"/>
      <w:pPr>
        <w:ind w:left="1589" w:hanging="360"/>
      </w:pPr>
      <w:rPr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2309" w:hanging="360"/>
      </w:pPr>
    </w:lvl>
    <w:lvl w:ilvl="2" w:tplc="0415001B" w:tentative="1">
      <w:start w:val="1"/>
      <w:numFmt w:val="lowerRoman"/>
      <w:lvlText w:val="%3."/>
      <w:lvlJc w:val="right"/>
      <w:pPr>
        <w:ind w:left="3029" w:hanging="180"/>
      </w:pPr>
    </w:lvl>
    <w:lvl w:ilvl="3" w:tplc="0415000F" w:tentative="1">
      <w:start w:val="1"/>
      <w:numFmt w:val="decimal"/>
      <w:lvlText w:val="%4."/>
      <w:lvlJc w:val="left"/>
      <w:pPr>
        <w:ind w:left="3749" w:hanging="360"/>
      </w:pPr>
    </w:lvl>
    <w:lvl w:ilvl="4" w:tplc="04150019" w:tentative="1">
      <w:start w:val="1"/>
      <w:numFmt w:val="lowerLetter"/>
      <w:lvlText w:val="%5."/>
      <w:lvlJc w:val="left"/>
      <w:pPr>
        <w:ind w:left="4469" w:hanging="360"/>
      </w:pPr>
    </w:lvl>
    <w:lvl w:ilvl="5" w:tplc="0415001B" w:tentative="1">
      <w:start w:val="1"/>
      <w:numFmt w:val="lowerRoman"/>
      <w:lvlText w:val="%6."/>
      <w:lvlJc w:val="right"/>
      <w:pPr>
        <w:ind w:left="5189" w:hanging="180"/>
      </w:pPr>
    </w:lvl>
    <w:lvl w:ilvl="6" w:tplc="0415000F" w:tentative="1">
      <w:start w:val="1"/>
      <w:numFmt w:val="decimal"/>
      <w:lvlText w:val="%7."/>
      <w:lvlJc w:val="left"/>
      <w:pPr>
        <w:ind w:left="5909" w:hanging="360"/>
      </w:pPr>
    </w:lvl>
    <w:lvl w:ilvl="7" w:tplc="04150019" w:tentative="1">
      <w:start w:val="1"/>
      <w:numFmt w:val="lowerLetter"/>
      <w:lvlText w:val="%8."/>
      <w:lvlJc w:val="left"/>
      <w:pPr>
        <w:ind w:left="6629" w:hanging="360"/>
      </w:pPr>
    </w:lvl>
    <w:lvl w:ilvl="8" w:tplc="0415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6" w15:restartNumberingAfterBreak="0">
    <w:nsid w:val="3D120C1C"/>
    <w:multiLevelType w:val="hybridMultilevel"/>
    <w:tmpl w:val="7C9E4B4E"/>
    <w:lvl w:ilvl="0" w:tplc="04150011">
      <w:start w:val="1"/>
      <w:numFmt w:val="decimal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79E238B"/>
    <w:multiLevelType w:val="hybridMultilevel"/>
    <w:tmpl w:val="6ABC22EA"/>
    <w:lvl w:ilvl="0" w:tplc="04150011">
      <w:start w:val="1"/>
      <w:numFmt w:val="decimal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8" w15:restartNumberingAfterBreak="0">
    <w:nsid w:val="59555C81"/>
    <w:multiLevelType w:val="hybridMultilevel"/>
    <w:tmpl w:val="0DCA66E4"/>
    <w:lvl w:ilvl="0" w:tplc="04150017">
      <w:start w:val="1"/>
      <w:numFmt w:val="lowerLetter"/>
      <w:lvlText w:val="%1)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BCB52D9"/>
    <w:multiLevelType w:val="hybridMultilevel"/>
    <w:tmpl w:val="1A3A8EA2"/>
    <w:lvl w:ilvl="0" w:tplc="04150011">
      <w:start w:val="1"/>
      <w:numFmt w:val="decimal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 w15:restartNumberingAfterBreak="0">
    <w:nsid w:val="68CB71F4"/>
    <w:multiLevelType w:val="hybridMultilevel"/>
    <w:tmpl w:val="B1267CEA"/>
    <w:lvl w:ilvl="0" w:tplc="68F63C4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E0E6869"/>
    <w:multiLevelType w:val="hybridMultilevel"/>
    <w:tmpl w:val="83BA0B7E"/>
    <w:lvl w:ilvl="0" w:tplc="04150011">
      <w:start w:val="1"/>
      <w:numFmt w:val="decimal"/>
      <w:lvlText w:val="%1)"/>
      <w:lvlJc w:val="left"/>
      <w:pPr>
        <w:ind w:left="1010" w:hanging="360"/>
      </w:pPr>
    </w:lvl>
    <w:lvl w:ilvl="1" w:tplc="04150019" w:tentative="1">
      <w:start w:val="1"/>
      <w:numFmt w:val="lowerLetter"/>
      <w:lvlText w:val="%2."/>
      <w:lvlJc w:val="left"/>
      <w:pPr>
        <w:ind w:left="1730" w:hanging="360"/>
      </w:pPr>
    </w:lvl>
    <w:lvl w:ilvl="2" w:tplc="0415001B" w:tentative="1">
      <w:start w:val="1"/>
      <w:numFmt w:val="lowerRoman"/>
      <w:lvlText w:val="%3."/>
      <w:lvlJc w:val="right"/>
      <w:pPr>
        <w:ind w:left="2450" w:hanging="180"/>
      </w:pPr>
    </w:lvl>
    <w:lvl w:ilvl="3" w:tplc="0415000F" w:tentative="1">
      <w:start w:val="1"/>
      <w:numFmt w:val="decimal"/>
      <w:lvlText w:val="%4."/>
      <w:lvlJc w:val="left"/>
      <w:pPr>
        <w:ind w:left="3170" w:hanging="360"/>
      </w:pPr>
    </w:lvl>
    <w:lvl w:ilvl="4" w:tplc="04150019" w:tentative="1">
      <w:start w:val="1"/>
      <w:numFmt w:val="lowerLetter"/>
      <w:lvlText w:val="%5."/>
      <w:lvlJc w:val="left"/>
      <w:pPr>
        <w:ind w:left="3890" w:hanging="360"/>
      </w:pPr>
    </w:lvl>
    <w:lvl w:ilvl="5" w:tplc="0415001B" w:tentative="1">
      <w:start w:val="1"/>
      <w:numFmt w:val="lowerRoman"/>
      <w:lvlText w:val="%6."/>
      <w:lvlJc w:val="right"/>
      <w:pPr>
        <w:ind w:left="4610" w:hanging="180"/>
      </w:pPr>
    </w:lvl>
    <w:lvl w:ilvl="6" w:tplc="0415000F" w:tentative="1">
      <w:start w:val="1"/>
      <w:numFmt w:val="decimal"/>
      <w:lvlText w:val="%7."/>
      <w:lvlJc w:val="left"/>
      <w:pPr>
        <w:ind w:left="5330" w:hanging="360"/>
      </w:pPr>
    </w:lvl>
    <w:lvl w:ilvl="7" w:tplc="04150019" w:tentative="1">
      <w:start w:val="1"/>
      <w:numFmt w:val="lowerLetter"/>
      <w:lvlText w:val="%8."/>
      <w:lvlJc w:val="left"/>
      <w:pPr>
        <w:ind w:left="6050" w:hanging="360"/>
      </w:pPr>
    </w:lvl>
    <w:lvl w:ilvl="8" w:tplc="0415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2" w15:restartNumberingAfterBreak="0">
    <w:nsid w:val="716C7C96"/>
    <w:multiLevelType w:val="hybridMultilevel"/>
    <w:tmpl w:val="BBAC2E6C"/>
    <w:lvl w:ilvl="0" w:tplc="04150017">
      <w:start w:val="1"/>
      <w:numFmt w:val="lowerLetter"/>
      <w:lvlText w:val="%1)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78076DB6"/>
    <w:multiLevelType w:val="hybridMultilevel"/>
    <w:tmpl w:val="7C9E4B4E"/>
    <w:lvl w:ilvl="0" w:tplc="04150011">
      <w:start w:val="1"/>
      <w:numFmt w:val="decimal"/>
      <w:lvlText w:val="%1)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7A8D38CB"/>
    <w:multiLevelType w:val="hybridMultilevel"/>
    <w:tmpl w:val="7C9E4B4E"/>
    <w:lvl w:ilvl="0" w:tplc="04150011">
      <w:start w:val="1"/>
      <w:numFmt w:val="decimal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62"/>
    <w:rsid w:val="00116772"/>
    <w:rsid w:val="0014582C"/>
    <w:rsid w:val="0019255C"/>
    <w:rsid w:val="001A3CC7"/>
    <w:rsid w:val="003406FA"/>
    <w:rsid w:val="00346E47"/>
    <w:rsid w:val="003C6FA6"/>
    <w:rsid w:val="003D769A"/>
    <w:rsid w:val="004B34CA"/>
    <w:rsid w:val="004F605F"/>
    <w:rsid w:val="0061271E"/>
    <w:rsid w:val="006C6B2A"/>
    <w:rsid w:val="007635EA"/>
    <w:rsid w:val="007A024E"/>
    <w:rsid w:val="007D0062"/>
    <w:rsid w:val="0083229B"/>
    <w:rsid w:val="008B5DC7"/>
    <w:rsid w:val="008B7348"/>
    <w:rsid w:val="008F794F"/>
    <w:rsid w:val="009B43F6"/>
    <w:rsid w:val="009B68D7"/>
    <w:rsid w:val="009D7F6C"/>
    <w:rsid w:val="00A20471"/>
    <w:rsid w:val="00A27994"/>
    <w:rsid w:val="00B8251B"/>
    <w:rsid w:val="00C12267"/>
    <w:rsid w:val="00C402C7"/>
    <w:rsid w:val="00C4033A"/>
    <w:rsid w:val="00CB7484"/>
    <w:rsid w:val="00D3390B"/>
    <w:rsid w:val="00D34717"/>
    <w:rsid w:val="00D43D32"/>
    <w:rsid w:val="00DE5078"/>
    <w:rsid w:val="00DF5331"/>
    <w:rsid w:val="00E8219E"/>
    <w:rsid w:val="00F34EDB"/>
    <w:rsid w:val="00F653A6"/>
    <w:rsid w:val="00FC1D74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76F0EBC-AAE4-412B-91AA-7B7D4070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ela">
    <w:name w:val="Tabela"/>
    <w:next w:val="Normalny"/>
    <w:uiPriority w:val="99"/>
    <w:pPr>
      <w:widowControl w:val="0"/>
      <w:autoSpaceDE w:val="0"/>
      <w:autoSpaceDN w:val="0"/>
      <w:adjustRightInd w:val="0"/>
    </w:pPr>
    <w:rPr>
      <w:rFonts w:ascii="Symbol" w:hAnsi="Symbol" w:cs="Symbo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43F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B43F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D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5169-8219-4971-A419-09F5D43D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629</Words>
  <Characters>3778</Characters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Załącznik do decyzji</vt:lpstr>
      <vt:lpstr>Załącznik do decyzji</vt:lpstr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2015-10-28T10:30:00Z</cp:lastPrinted>
  <dcterms:created xsi:type="dcterms:W3CDTF">2014-05-09T10:39:00Z</dcterms:created>
  <dcterms:modified xsi:type="dcterms:W3CDTF">2016-06-20T11:30:00Z</dcterms:modified>
</cp:coreProperties>
</file>