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98B2" w14:textId="31713268" w:rsidR="00F92647" w:rsidRDefault="00F92647" w:rsidP="001E7D21">
      <w:pPr>
        <w:numPr>
          <w:ilvl w:val="1"/>
          <w:numId w:val="0"/>
        </w:numPr>
        <w:rPr>
          <w:rFonts w:eastAsia="PMingLiU"/>
          <w:sz w:val="22"/>
          <w:szCs w:val="22"/>
          <w:lang w:eastAsia="zh-TW"/>
        </w:rPr>
      </w:pPr>
      <w:r w:rsidRPr="007138B6">
        <w:rPr>
          <w:rFonts w:eastAsia="PMingLiU"/>
          <w:sz w:val="22"/>
          <w:szCs w:val="22"/>
          <w:lang w:eastAsia="zh-TW"/>
        </w:rPr>
        <w:t>Załącznik</w:t>
      </w:r>
      <w:r w:rsidR="002642B8">
        <w:rPr>
          <w:rFonts w:eastAsia="PMingLiU"/>
          <w:sz w:val="22"/>
          <w:szCs w:val="22"/>
          <w:lang w:eastAsia="zh-TW"/>
        </w:rPr>
        <w:t xml:space="preserve"> </w:t>
      </w:r>
      <w:r w:rsidRPr="007138B6">
        <w:rPr>
          <w:rFonts w:eastAsia="PMingLiU"/>
          <w:sz w:val="22"/>
          <w:szCs w:val="22"/>
          <w:lang w:eastAsia="zh-TW"/>
        </w:rPr>
        <w:t>B.5.</w:t>
      </w:r>
    </w:p>
    <w:p w14:paraId="709BC23F" w14:textId="77777777" w:rsidR="00F92647" w:rsidRPr="007138B6" w:rsidRDefault="00F92647" w:rsidP="001E7D21">
      <w:pPr>
        <w:numPr>
          <w:ilvl w:val="1"/>
          <w:numId w:val="0"/>
        </w:numPr>
        <w:rPr>
          <w:rFonts w:eastAsia="PMingLiU"/>
          <w:sz w:val="22"/>
          <w:szCs w:val="22"/>
          <w:lang w:eastAsia="zh-TW"/>
        </w:rPr>
      </w:pPr>
    </w:p>
    <w:p w14:paraId="2277E612" w14:textId="335498C6" w:rsidR="00F92647" w:rsidRPr="00495260" w:rsidRDefault="00F92647" w:rsidP="00EB08A0">
      <w:pPr>
        <w:autoSpaceDE w:val="0"/>
        <w:autoSpaceDN w:val="0"/>
        <w:adjustRightInd w:val="0"/>
        <w:spacing w:after="240"/>
        <w:jc w:val="both"/>
        <w:rPr>
          <w:sz w:val="40"/>
        </w:rPr>
      </w:pPr>
      <w:r w:rsidRPr="00495260">
        <w:rPr>
          <w:b/>
          <w:sz w:val="28"/>
          <w:szCs w:val="18"/>
        </w:rPr>
        <w:t>LECZENIE</w:t>
      </w:r>
      <w:r w:rsidR="002642B8">
        <w:rPr>
          <w:b/>
          <w:sz w:val="28"/>
          <w:szCs w:val="18"/>
        </w:rPr>
        <w:t xml:space="preserve"> </w:t>
      </w:r>
      <w:r>
        <w:rPr>
          <w:b/>
          <w:sz w:val="28"/>
          <w:szCs w:val="18"/>
        </w:rPr>
        <w:t>CHORYCH</w:t>
      </w:r>
      <w:r w:rsidR="002642B8">
        <w:rPr>
          <w:b/>
          <w:sz w:val="28"/>
          <w:szCs w:val="18"/>
        </w:rPr>
        <w:t xml:space="preserve"> </w:t>
      </w:r>
      <w:r>
        <w:rPr>
          <w:b/>
          <w:sz w:val="28"/>
          <w:szCs w:val="18"/>
        </w:rPr>
        <w:t>NA</w:t>
      </w:r>
      <w:r w:rsidR="002642B8">
        <w:rPr>
          <w:b/>
          <w:sz w:val="28"/>
          <w:szCs w:val="18"/>
        </w:rPr>
        <w:t xml:space="preserve"> </w:t>
      </w:r>
      <w:r w:rsidRPr="00495260">
        <w:rPr>
          <w:b/>
          <w:sz w:val="28"/>
          <w:szCs w:val="18"/>
        </w:rPr>
        <w:t>RAKA</w:t>
      </w:r>
      <w:r w:rsidR="002642B8">
        <w:rPr>
          <w:b/>
          <w:sz w:val="28"/>
          <w:szCs w:val="18"/>
        </w:rPr>
        <w:t xml:space="preserve"> </w:t>
      </w:r>
      <w:r w:rsidRPr="00495260">
        <w:rPr>
          <w:b/>
          <w:sz w:val="28"/>
          <w:szCs w:val="18"/>
        </w:rPr>
        <w:t>WĄTROBO</w:t>
      </w:r>
      <w:r>
        <w:rPr>
          <w:b/>
          <w:sz w:val="28"/>
          <w:szCs w:val="18"/>
        </w:rPr>
        <w:t>WO</w:t>
      </w:r>
      <w:r w:rsidRPr="00495260">
        <w:rPr>
          <w:b/>
          <w:sz w:val="28"/>
          <w:szCs w:val="18"/>
        </w:rPr>
        <w:t>KOMÓRKOWEGO</w:t>
      </w:r>
      <w:r w:rsidR="002642B8">
        <w:rPr>
          <w:b/>
          <w:sz w:val="28"/>
          <w:szCs w:val="18"/>
        </w:rPr>
        <w:t xml:space="preserve"> </w:t>
      </w:r>
      <w:r w:rsidRPr="00495260">
        <w:rPr>
          <w:b/>
          <w:sz w:val="28"/>
          <w:szCs w:val="18"/>
        </w:rPr>
        <w:t>(ICD-10</w:t>
      </w:r>
      <w:r>
        <w:rPr>
          <w:b/>
          <w:sz w:val="28"/>
          <w:szCs w:val="18"/>
        </w:rPr>
        <w:t>:</w:t>
      </w:r>
      <w:r w:rsidR="002642B8">
        <w:rPr>
          <w:b/>
          <w:sz w:val="28"/>
          <w:szCs w:val="18"/>
        </w:rPr>
        <w:t xml:space="preserve"> </w:t>
      </w:r>
      <w:r>
        <w:rPr>
          <w:b/>
          <w:sz w:val="28"/>
          <w:szCs w:val="18"/>
        </w:rPr>
        <w:t>C22.0</w:t>
      </w:r>
      <w:r w:rsidRPr="00495260">
        <w:rPr>
          <w:b/>
          <w:sz w:val="28"/>
          <w:szCs w:val="18"/>
        </w:rPr>
        <w:t>)</w:t>
      </w:r>
      <w:r w:rsidR="0084417F">
        <w:rPr>
          <w:b/>
          <w:sz w:val="28"/>
          <w:szCs w:val="18"/>
        </w:rPr>
        <w:t xml:space="preserve"> LUB RAKA </w:t>
      </w:r>
      <w:r w:rsidR="0084417F" w:rsidRPr="0084417F">
        <w:rPr>
          <w:b/>
          <w:sz w:val="28"/>
          <w:szCs w:val="18"/>
        </w:rPr>
        <w:t>DRÓG ŻÓŁCIOWYCH (ICD-10: C22.1, C23, C24.0, C24.1, C24.8, C24.9)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3"/>
        <w:gridCol w:w="4115"/>
        <w:gridCol w:w="5610"/>
      </w:tblGrid>
      <w:tr w:rsidR="00565830" w:rsidRPr="00966F29" w14:paraId="466A3A7C" w14:textId="77777777" w:rsidTr="002642B8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0CEA" w14:textId="28F2F5F2" w:rsidR="00565830" w:rsidRPr="00966F29" w:rsidRDefault="00565830" w:rsidP="00ED2C9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ZAKRES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ŚWIADCZENIA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565830" w:rsidRPr="00966F29" w14:paraId="398EA4F9" w14:textId="77777777" w:rsidTr="002642B8">
        <w:trPr>
          <w:trHeight w:val="567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79D7" w14:textId="77777777" w:rsidR="00565830" w:rsidRPr="00966F29" w:rsidRDefault="00565830" w:rsidP="00ED2C9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224C" w14:textId="1605523C" w:rsidR="00565830" w:rsidRPr="00966F29" w:rsidRDefault="00565830" w:rsidP="00ED2C9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SCHEMAT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DAWKOWANIA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LEKÓW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="00C7370A">
              <w:rPr>
                <w:b/>
                <w:bCs/>
                <w:sz w:val="20"/>
                <w:szCs w:val="20"/>
              </w:rPr>
              <w:br/>
            </w:r>
            <w:r w:rsidRPr="00966F29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7462" w14:textId="1552E611" w:rsidR="00565830" w:rsidRPr="00966F29" w:rsidRDefault="00565830" w:rsidP="00ED2C9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BADANIA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DIAGNOSTYCZNE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WYKONYWANE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="00C7370A">
              <w:rPr>
                <w:b/>
                <w:bCs/>
                <w:sz w:val="20"/>
                <w:szCs w:val="20"/>
              </w:rPr>
              <w:br/>
            </w:r>
            <w:r w:rsidRPr="00966F29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RAMACH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966F29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84417F" w:rsidRPr="00966F29" w14:paraId="31495EB9" w14:textId="77777777" w:rsidTr="0084417F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A04C" w14:textId="723A0D7A" w:rsidR="0084417F" w:rsidRPr="00966F29" w:rsidRDefault="00C9088E" w:rsidP="00ED2C9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C9088E">
              <w:rPr>
                <w:b/>
                <w:bCs/>
                <w:sz w:val="20"/>
                <w:szCs w:val="20"/>
              </w:rPr>
              <w:t>LECZENIE PACJENTÓW CHORYCH NA RAKA WĄTROBOWOKOMÓRKOWEGO (ICD-10: C22.0)</w:t>
            </w:r>
          </w:p>
        </w:tc>
      </w:tr>
      <w:tr w:rsidR="00565830" w:rsidRPr="001349B5" w14:paraId="0B39F6D5" w14:textId="77777777" w:rsidTr="002642B8"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4BE8" w14:textId="6FD9CC7A" w:rsidR="00F92647" w:rsidRPr="00C7370A" w:rsidRDefault="00F92647" w:rsidP="00C7370A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finansuje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się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dwie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linie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raka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sz w:val="20"/>
                <w:szCs w:val="20"/>
              </w:rPr>
              <w:t>wątrobowokomórkowego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(HCC)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substancjami:</w:t>
            </w:r>
          </w:p>
          <w:p w14:paraId="6B6C88ED" w14:textId="2708A9F9" w:rsidR="00F92647" w:rsidRPr="00ED2C9B" w:rsidRDefault="00F92647" w:rsidP="00ED2C9B">
            <w:pPr>
              <w:pStyle w:val="Akapitzlist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EF5227">
              <w:rPr>
                <w:i/>
                <w:iCs/>
                <w:sz w:val="20"/>
                <w:szCs w:val="20"/>
              </w:rPr>
              <w:t>atezolizumab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bewacyzumabem</w:t>
            </w:r>
            <w:proofErr w:type="spellEnd"/>
            <w:r w:rsidR="00F677DB" w:rsidRPr="00ED2C9B">
              <w:rPr>
                <w:sz w:val="20"/>
                <w:szCs w:val="20"/>
              </w:rPr>
              <w:t>,</w:t>
            </w:r>
          </w:p>
          <w:p w14:paraId="3DCDEDE0" w14:textId="0B7290E4" w:rsidR="00F92647" w:rsidRPr="00ED2C9B" w:rsidRDefault="00F92647" w:rsidP="00ED2C9B">
            <w:pPr>
              <w:pStyle w:val="Akapitzlist"/>
              <w:numPr>
                <w:ilvl w:val="3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EF5227">
              <w:rPr>
                <w:i/>
                <w:iCs/>
                <w:sz w:val="20"/>
                <w:szCs w:val="20"/>
              </w:rPr>
              <w:t>kabozantynib</w:t>
            </w:r>
            <w:proofErr w:type="spellEnd"/>
            <w:r w:rsidR="00F33888" w:rsidRPr="00ED2C9B">
              <w:rPr>
                <w:sz w:val="20"/>
                <w:szCs w:val="20"/>
              </w:rPr>
              <w:t>.</w:t>
            </w:r>
          </w:p>
          <w:p w14:paraId="10B2E591" w14:textId="77777777" w:rsidR="00F3571E" w:rsidRPr="00ED2C9B" w:rsidRDefault="00F3571E" w:rsidP="00ED2C9B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2620EFF9" w14:textId="5645B3EE" w:rsidR="006519A0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pierwszej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linii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dostępn</w:t>
            </w:r>
            <w:r w:rsidR="007820ED" w:rsidRPr="00C7370A">
              <w:rPr>
                <w:sz w:val="20"/>
                <w:szCs w:val="20"/>
              </w:rPr>
              <w:t>a</w:t>
            </w:r>
            <w:r w:rsidR="002642B8">
              <w:rPr>
                <w:sz w:val="20"/>
                <w:szCs w:val="20"/>
              </w:rPr>
              <w:t xml:space="preserve"> </w:t>
            </w:r>
            <w:r w:rsidR="007820ED" w:rsidRPr="00C7370A">
              <w:rPr>
                <w:sz w:val="20"/>
                <w:szCs w:val="20"/>
              </w:rPr>
              <w:t>jest</w:t>
            </w:r>
            <w:r w:rsidR="002642B8">
              <w:rPr>
                <w:sz w:val="20"/>
                <w:szCs w:val="20"/>
              </w:rPr>
              <w:t xml:space="preserve"> </w:t>
            </w:r>
            <w:r w:rsidR="007820ED" w:rsidRPr="00C7370A">
              <w:rPr>
                <w:sz w:val="20"/>
                <w:szCs w:val="20"/>
              </w:rPr>
              <w:t>jedna</w:t>
            </w:r>
            <w:r w:rsidR="002642B8">
              <w:rPr>
                <w:sz w:val="20"/>
                <w:szCs w:val="20"/>
              </w:rPr>
              <w:t xml:space="preserve"> </w:t>
            </w:r>
            <w:r w:rsidR="007820ED" w:rsidRPr="00C7370A">
              <w:rPr>
                <w:sz w:val="20"/>
                <w:szCs w:val="20"/>
              </w:rPr>
              <w:t>terapi</w:t>
            </w:r>
            <w:r w:rsidR="006519A0" w:rsidRPr="00C7370A">
              <w:rPr>
                <w:sz w:val="20"/>
                <w:szCs w:val="20"/>
              </w:rPr>
              <w:t>a:</w:t>
            </w:r>
          </w:p>
          <w:p w14:paraId="32D81883" w14:textId="421A4944" w:rsidR="006C06BC" w:rsidRPr="00ED2C9B" w:rsidRDefault="006519A0" w:rsidP="00C7370A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l</w:t>
            </w:r>
            <w:r w:rsidR="00F92647" w:rsidRPr="00ED2C9B">
              <w:rPr>
                <w:sz w:val="20"/>
                <w:szCs w:val="20"/>
              </w:rPr>
              <w:t>eczenie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="00F92647" w:rsidRPr="00EF5227">
              <w:rPr>
                <w:i/>
                <w:iCs/>
                <w:sz w:val="20"/>
                <w:szCs w:val="20"/>
              </w:rPr>
              <w:t>atezolizumabem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="00F92647" w:rsidRPr="00EF5227">
              <w:rPr>
                <w:i/>
                <w:iCs/>
                <w:sz w:val="20"/>
                <w:szCs w:val="20"/>
              </w:rPr>
              <w:t>bewacyzumabem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pacjentów,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u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których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niestosowano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przeszłości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systemowego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powodu</w:t>
            </w:r>
            <w:r w:rsidR="002642B8">
              <w:rPr>
                <w:sz w:val="20"/>
                <w:szCs w:val="20"/>
              </w:rPr>
              <w:t xml:space="preserve"> </w:t>
            </w:r>
            <w:r w:rsidR="006C06BC" w:rsidRPr="00ED2C9B">
              <w:rPr>
                <w:sz w:val="20"/>
                <w:szCs w:val="20"/>
              </w:rPr>
              <w:t>raka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="006C06BC" w:rsidRPr="00ED2C9B">
              <w:rPr>
                <w:sz w:val="20"/>
                <w:szCs w:val="20"/>
              </w:rPr>
              <w:t>wątrobowokomórkowego</w:t>
            </w:r>
            <w:proofErr w:type="spellEnd"/>
            <w:r w:rsidR="006C06BC" w:rsidRPr="00ED2C9B">
              <w:rPr>
                <w:sz w:val="20"/>
                <w:szCs w:val="20"/>
              </w:rPr>
              <w:t>.</w:t>
            </w:r>
          </w:p>
          <w:p w14:paraId="5CECBFE5" w14:textId="77777777" w:rsidR="006C06BC" w:rsidRPr="00ED2C9B" w:rsidRDefault="006C06BC" w:rsidP="00ED2C9B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2D6DF4F" w14:textId="4FC57A25" w:rsidR="00F92647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drugiej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linii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dostępna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jest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jedna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terapia:</w:t>
            </w:r>
          </w:p>
          <w:p w14:paraId="6841C153" w14:textId="58CE0A31" w:rsidR="00F92647" w:rsidRPr="00ED2C9B" w:rsidRDefault="00F92647" w:rsidP="00C73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kabozantynibem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(po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uprzednim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nieskutecznym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inhibitorami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kinaz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tyrozynowych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immunoterapią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antyangiogennym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nietolerancją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warunkiem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ustąpienia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istotnych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działań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niepożądanych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stosowanej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wcześniej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terapii).</w:t>
            </w:r>
          </w:p>
          <w:p w14:paraId="3DA26F02" w14:textId="77777777" w:rsidR="00F92647" w:rsidRPr="00ED2C9B" w:rsidRDefault="00F92647" w:rsidP="00ED2C9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B89821C" w14:textId="054B5511" w:rsidR="00F92647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C7370A">
              <w:rPr>
                <w:b/>
                <w:bCs/>
                <w:sz w:val="20"/>
                <w:szCs w:val="20"/>
              </w:rPr>
              <w:t>Leczenie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C7370A">
              <w:rPr>
                <w:b/>
                <w:bCs/>
                <w:sz w:val="20"/>
                <w:szCs w:val="20"/>
              </w:rPr>
              <w:t>raka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b/>
                <w:bCs/>
                <w:sz w:val="20"/>
                <w:szCs w:val="20"/>
              </w:rPr>
              <w:t>wątrobowokomórkowego</w:t>
            </w:r>
            <w:proofErr w:type="spellEnd"/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C7370A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C7370A">
              <w:rPr>
                <w:b/>
                <w:bCs/>
                <w:sz w:val="20"/>
                <w:szCs w:val="20"/>
              </w:rPr>
              <w:t>programie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C7370A">
              <w:rPr>
                <w:b/>
                <w:bCs/>
                <w:sz w:val="20"/>
                <w:szCs w:val="20"/>
              </w:rPr>
              <w:t>obejmuje:</w:t>
            </w:r>
          </w:p>
          <w:p w14:paraId="0551329C" w14:textId="74B76AAB" w:rsidR="00F92647" w:rsidRPr="00ED2C9B" w:rsidRDefault="00F92647" w:rsidP="00C7370A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lastRenderedPageBreak/>
              <w:t>leczenie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raka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b/>
                <w:bCs/>
                <w:sz w:val="20"/>
                <w:szCs w:val="20"/>
              </w:rPr>
              <w:t>wątrobowokomórkowego</w:t>
            </w:r>
            <w:proofErr w:type="spellEnd"/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inhibitorami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kinaz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tyrozynowych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D2C9B">
              <w:rPr>
                <w:b/>
                <w:bCs/>
                <w:sz w:val="20"/>
                <w:szCs w:val="20"/>
              </w:rPr>
              <w:t>kabozantynibem</w:t>
            </w:r>
            <w:proofErr w:type="spellEnd"/>
            <w:r w:rsidRPr="00ED2C9B">
              <w:rPr>
                <w:b/>
                <w:bCs/>
                <w:sz w:val="20"/>
                <w:szCs w:val="20"/>
              </w:rPr>
              <w:t>)</w:t>
            </w:r>
          </w:p>
          <w:p w14:paraId="170F3443" w14:textId="77777777" w:rsidR="00F92647" w:rsidRPr="00ED2C9B" w:rsidRDefault="00F92647" w:rsidP="00C7370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albo</w:t>
            </w:r>
          </w:p>
          <w:p w14:paraId="3D549A8C" w14:textId="5CDC4FF3" w:rsidR="00F92647" w:rsidRPr="00ED2C9B" w:rsidRDefault="00F92647" w:rsidP="00C7370A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immunoterapia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skojarzeniu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z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leczeniem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antyangiogennym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ED2C9B">
              <w:rPr>
                <w:b/>
                <w:bCs/>
                <w:sz w:val="20"/>
                <w:szCs w:val="20"/>
              </w:rPr>
              <w:t>atezolizumabem</w:t>
            </w:r>
            <w:proofErr w:type="spellEnd"/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skojarzeniu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z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b/>
                <w:bCs/>
                <w:sz w:val="20"/>
                <w:szCs w:val="20"/>
              </w:rPr>
              <w:t>bewacyzumabem</w:t>
            </w:r>
            <w:proofErr w:type="spellEnd"/>
            <w:r w:rsidRPr="00ED2C9B">
              <w:rPr>
                <w:b/>
                <w:bCs/>
                <w:sz w:val="20"/>
                <w:szCs w:val="20"/>
              </w:rPr>
              <w:t>).</w:t>
            </w:r>
          </w:p>
          <w:p w14:paraId="71B9CD24" w14:textId="77777777" w:rsidR="00F92647" w:rsidRPr="00ED2C9B" w:rsidRDefault="00F92647" w:rsidP="00ED2C9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FFFC793" w14:textId="4EDFEE9A" w:rsidR="00F92647" w:rsidRPr="00ED2C9B" w:rsidRDefault="00F92647" w:rsidP="00C7370A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Kryteria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kwalifikacji</w:t>
            </w:r>
          </w:p>
          <w:p w14:paraId="52953607" w14:textId="6514B8D0" w:rsidR="00B26AEF" w:rsidRPr="00ED2C9B" w:rsidRDefault="00B26AEF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wiek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18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lat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powyżej</w:t>
            </w:r>
            <w:r w:rsidR="00F33888" w:rsidRPr="00ED2C9B">
              <w:rPr>
                <w:sz w:val="20"/>
                <w:szCs w:val="20"/>
              </w:rPr>
              <w:t>;</w:t>
            </w:r>
          </w:p>
          <w:p w14:paraId="12984904" w14:textId="2DF90060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histologiczn</w:t>
            </w:r>
            <w:r w:rsidR="007820ED" w:rsidRPr="00ED2C9B">
              <w:rPr>
                <w:sz w:val="20"/>
                <w:szCs w:val="20"/>
              </w:rPr>
              <w:t>i</w:t>
            </w:r>
            <w:r w:rsidRPr="00ED2C9B">
              <w:rPr>
                <w:sz w:val="20"/>
                <w:szCs w:val="20"/>
              </w:rPr>
              <w:t>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cytologiczn</w:t>
            </w:r>
            <w:r w:rsidR="007820ED" w:rsidRPr="00ED2C9B">
              <w:rPr>
                <w:sz w:val="20"/>
                <w:szCs w:val="20"/>
              </w:rPr>
              <w:t>i</w:t>
            </w:r>
            <w:r w:rsidRPr="00ED2C9B">
              <w:rPr>
                <w:sz w:val="20"/>
                <w:szCs w:val="20"/>
              </w:rPr>
              <w:t>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potwierdzony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miejscowo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zaawansowany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przerzutowy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rak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wątrobowokomórkowy</w:t>
            </w:r>
            <w:proofErr w:type="spellEnd"/>
            <w:r w:rsidRPr="00ED2C9B">
              <w:rPr>
                <w:sz w:val="20"/>
                <w:szCs w:val="20"/>
              </w:rPr>
              <w:t>.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pacjentów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marskością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wątroby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zmianami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średnicy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≥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możliwe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jest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odstąpienie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od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rozpoznania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histologicznego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cytologicznego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warunkiem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uzyskania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typowego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obrazu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dla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HCC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wielofazowej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tomografii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komputerowej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(TK)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rezonansie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magnetycznym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kontrastem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(MRI),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wzmocnieniem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tętniczej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(zmiana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hiperdensyjna</w:t>
            </w:r>
            <w:proofErr w:type="spellEnd"/>
            <w:r w:rsidRPr="00ED2C9B">
              <w:rPr>
                <w:sz w:val="20"/>
                <w:szCs w:val="20"/>
              </w:rPr>
              <w:t>)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oraz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wypłukiwaniem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kontrastu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ogniska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żylnej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wrotnej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opóźnionej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(zmiana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hipodensyjna);</w:t>
            </w:r>
          </w:p>
          <w:p w14:paraId="7735E69B" w14:textId="627D2BD0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brak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możliwości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zastosowania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radykalnego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chirurgicznego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lokoregionalnych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nieskuteczność;</w:t>
            </w:r>
          </w:p>
          <w:p w14:paraId="558F40B7" w14:textId="010B1DF0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stan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sprawności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0-1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ECOG;</w:t>
            </w:r>
          </w:p>
          <w:p w14:paraId="73B27CF3" w14:textId="09A2B9D2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czynnościowy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stan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wątroby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kategorii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podstawie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klasyfikacji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Child-</w:t>
            </w:r>
            <w:proofErr w:type="spellStart"/>
            <w:r w:rsidRPr="00ED2C9B">
              <w:rPr>
                <w:sz w:val="20"/>
                <w:szCs w:val="20"/>
              </w:rPr>
              <w:t>Pugh</w:t>
            </w:r>
            <w:proofErr w:type="spellEnd"/>
            <w:r w:rsidRPr="00ED2C9B">
              <w:rPr>
                <w:sz w:val="20"/>
                <w:szCs w:val="20"/>
              </w:rPr>
              <w:t>;</w:t>
            </w:r>
          </w:p>
          <w:p w14:paraId="217079A1" w14:textId="7B6E2A8C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obecność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przynajmniej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jednej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zmiany</w:t>
            </w:r>
            <w:r w:rsidR="002642B8">
              <w:rPr>
                <w:sz w:val="20"/>
                <w:szCs w:val="20"/>
              </w:rPr>
              <w:t xml:space="preserve"> </w:t>
            </w:r>
            <w:r w:rsidR="00FB0B10" w:rsidRPr="00ED2C9B">
              <w:rPr>
                <w:sz w:val="20"/>
                <w:szCs w:val="20"/>
              </w:rPr>
              <w:t>możliwej</w:t>
            </w:r>
            <w:r w:rsidR="002642B8">
              <w:rPr>
                <w:sz w:val="20"/>
                <w:szCs w:val="20"/>
              </w:rPr>
              <w:t xml:space="preserve"> </w:t>
            </w:r>
            <w:r w:rsidR="00FB0B10"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="00FB0B10" w:rsidRPr="00ED2C9B">
              <w:rPr>
                <w:sz w:val="20"/>
                <w:szCs w:val="20"/>
              </w:rPr>
              <w:t>oceny</w:t>
            </w:r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aktualnie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obowiązującymi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kryteriami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RECIST;</w:t>
            </w:r>
          </w:p>
          <w:p w14:paraId="72F6D8FF" w14:textId="7BAEED83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nieobecność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istotnych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schorzeń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współistniejących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stanowiących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przeciwskazanie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stwierdzonych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lekarza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prowadzącego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oparciu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odpowiednie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Charakterystyki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Produktu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Leczniczego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oraz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wytyczne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lastRenderedPageBreak/>
              <w:t>Polskiego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Towarzystwa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Onkologii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raka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wątrobowokomórkowego</w:t>
            </w:r>
            <w:proofErr w:type="spellEnd"/>
            <w:r w:rsidRPr="00ED2C9B">
              <w:rPr>
                <w:sz w:val="20"/>
                <w:szCs w:val="20"/>
              </w:rPr>
              <w:t>;</w:t>
            </w:r>
          </w:p>
          <w:p w14:paraId="02EFA1BB" w14:textId="1AFA3E24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adekwatna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wydolność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narządowa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określona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podstawie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wyników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laboratoryjnych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krwi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umożliwiająca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opinii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lekarza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prowadzącego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bezpieczne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rozpoczęcie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terapii;</w:t>
            </w:r>
          </w:p>
          <w:p w14:paraId="3E1C3669" w14:textId="38503A3B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brak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przeciwwskazań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stosowania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każdego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leków;</w:t>
            </w:r>
          </w:p>
          <w:p w14:paraId="1348A321" w14:textId="1465DC46" w:rsidR="002F17D0" w:rsidRPr="00ED2C9B" w:rsidRDefault="002F17D0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współistnienia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aktywnych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nowotworów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kwalifikacja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musi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uwzględniać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rokowanie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związane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współistniejącym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nowotworem</w:t>
            </w:r>
            <w:r w:rsidR="00F33888" w:rsidRPr="00ED2C9B">
              <w:rPr>
                <w:sz w:val="20"/>
                <w:szCs w:val="20"/>
              </w:rPr>
              <w:t>;</w:t>
            </w:r>
          </w:p>
          <w:p w14:paraId="137DE152" w14:textId="53C359B6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wykluczenie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ciąży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oraz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okresu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karmienia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piersią.</w:t>
            </w:r>
          </w:p>
          <w:p w14:paraId="4751F5DB" w14:textId="062B4550" w:rsidR="00F92647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Powyższe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kryteria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kwalifikacji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muszą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być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spełnione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łącznie.</w:t>
            </w:r>
          </w:p>
          <w:p w14:paraId="2E519E76" w14:textId="59F7F48A" w:rsidR="00F92647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Ponadto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kwalifikowani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również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pacjenci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wymagający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kontynuacji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leczenia</w:t>
            </w:r>
            <w:r w:rsidRPr="00C7370A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którzy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byli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ramach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innego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sposobu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finansowania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terapii,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za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wyjątkiem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trwających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badań</w:t>
            </w:r>
            <w:r w:rsidR="002642B8">
              <w:rPr>
                <w:sz w:val="20"/>
                <w:szCs w:val="20"/>
              </w:rPr>
              <w:t xml:space="preserve"> </w:t>
            </w:r>
            <w:r w:rsidR="00607218" w:rsidRPr="00C7370A">
              <w:rPr>
                <w:sz w:val="20"/>
                <w:szCs w:val="20"/>
              </w:rPr>
              <w:t>klinicznych,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pod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warunkiem,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że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chwili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rozpoczęcia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spełniali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kryteria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kwalifikacji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lekowego.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0C38EEC9" w14:textId="77777777" w:rsidR="00F92647" w:rsidRPr="00ED2C9B" w:rsidRDefault="00F92647" w:rsidP="00ED2C9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F2D474B" w14:textId="10BCC336" w:rsidR="00F92647" w:rsidRPr="00ED2C9B" w:rsidRDefault="00F92647" w:rsidP="00C7370A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Określenie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czasu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leczenia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programie</w:t>
            </w:r>
          </w:p>
          <w:p w14:paraId="071503E2" w14:textId="40DBF3E7" w:rsidR="00F92647" w:rsidRPr="00C7370A" w:rsidRDefault="00F92647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trwa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czasu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podjęcia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przez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lekarza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prowadzącego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decyzji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wyłączeniu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świadczeniobiorcy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kryteriami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wyłączenia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programu,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których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mowa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pkt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3.</w:t>
            </w:r>
          </w:p>
          <w:p w14:paraId="4C429D7D" w14:textId="77777777" w:rsidR="00F92647" w:rsidRPr="00ED2C9B" w:rsidRDefault="00F92647" w:rsidP="00ED2C9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2A09A94" w14:textId="2EF20D01" w:rsidR="00F92647" w:rsidRPr="00ED2C9B" w:rsidRDefault="00F92647" w:rsidP="00C7370A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Kryteria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wyłączenia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z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programu</w:t>
            </w:r>
          </w:p>
          <w:p w14:paraId="5656F542" w14:textId="5B416681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progresja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choroby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nowotworowej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oceniona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aktualnie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obowiązującymi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kryteriami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RECIST;</w:t>
            </w:r>
          </w:p>
          <w:p w14:paraId="610BC87B" w14:textId="5E319540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pogorszenie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(istotne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klinicznie)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stanu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pacjenta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związku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nowotworem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bez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progresji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potwierdzonej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przedmiotowym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obrazowym;</w:t>
            </w:r>
          </w:p>
          <w:p w14:paraId="1C16F8EB" w14:textId="26586BC9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wystąpienie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toksyczności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będącej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zagrożeniem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życia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aktualnych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kryteriów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klasyfikacji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CTC-AE;</w:t>
            </w:r>
          </w:p>
          <w:p w14:paraId="385807DE" w14:textId="02BCF821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lastRenderedPageBreak/>
              <w:t>wystąpienie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nawracającej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nieakceptowalnej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toksyczności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stopniu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3.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4.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aktualnych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kryteriów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klasyfikacji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CTC-AE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(wznowienie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możliwe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ustąpieniu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objawów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toksyczności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zmniejszeniu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nasilenia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stopnia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1.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2.);</w:t>
            </w:r>
          </w:p>
          <w:p w14:paraId="2432A7D7" w14:textId="371D70EF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długotrwałe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pogorszenie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sprawności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ogólnej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stopnia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2-4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kryteriów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ECOG;</w:t>
            </w:r>
          </w:p>
          <w:p w14:paraId="465DB4ED" w14:textId="661D8A6B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wystąpienie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nadwrażliwości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białko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mysie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substancję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pomocniczą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uniemożliwiające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kontynuację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leczenia;</w:t>
            </w:r>
          </w:p>
          <w:p w14:paraId="13F2CF6D" w14:textId="5645D4CE" w:rsidR="00F92647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pogorszenie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jakości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życia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istotnym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znaczeniu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według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lekarza;</w:t>
            </w:r>
          </w:p>
          <w:p w14:paraId="23E4591C" w14:textId="2FF74335" w:rsidR="00565830" w:rsidRPr="00ED2C9B" w:rsidRDefault="00F92647" w:rsidP="00C7370A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okres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ciąży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karmienia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piersią</w:t>
            </w:r>
            <w:r w:rsidR="00900C59" w:rsidRPr="00ED2C9B">
              <w:rPr>
                <w:sz w:val="20"/>
                <w:szCs w:val="20"/>
              </w:rPr>
              <w:t>;</w:t>
            </w:r>
          </w:p>
          <w:p w14:paraId="38EA7FE5" w14:textId="70B89A19" w:rsidR="00C7370A" w:rsidRPr="002642B8" w:rsidRDefault="00900C59" w:rsidP="00C7370A">
            <w:pPr>
              <w:pStyle w:val="Akapitzlist"/>
              <w:numPr>
                <w:ilvl w:val="3"/>
                <w:numId w:val="3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brak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współpracy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nieprzestrzeganie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zaleceń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lekarskich,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zwłaszcza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dotyczących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okresowych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kontrolnych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oceniających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skuteczność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bezpieczeństwo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strony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świadczeniobiorcy</w:t>
            </w:r>
            <w:r w:rsidR="00016FA7">
              <w:rPr>
                <w:sz w:val="20"/>
                <w:szCs w:val="20"/>
              </w:rPr>
              <w:t xml:space="preserve"> </w:t>
            </w:r>
            <w:r w:rsidR="00016FA7" w:rsidRPr="00EB08A0">
              <w:rPr>
                <w:sz w:val="20"/>
                <w:szCs w:val="20"/>
              </w:rPr>
              <w:t>lub jego prawnych opiekunów</w:t>
            </w:r>
            <w:r w:rsidRPr="00ED2C9B">
              <w:rPr>
                <w:sz w:val="20"/>
                <w:szCs w:val="20"/>
              </w:rPr>
              <w:t>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EC22" w14:textId="625EA81F" w:rsidR="00F54B63" w:rsidRPr="000209A3" w:rsidRDefault="00F54B63" w:rsidP="00A60601">
            <w:pPr>
              <w:pStyle w:val="Akapitzlist"/>
              <w:numPr>
                <w:ilvl w:val="0"/>
                <w:numId w:val="41"/>
              </w:numPr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209A3">
              <w:rPr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259DF41E" w14:textId="76C8E96F" w:rsidR="00F54B63" w:rsidRPr="000209A3" w:rsidRDefault="00F54B63" w:rsidP="00A60601">
            <w:pPr>
              <w:pStyle w:val="Akapitzlist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0209A3">
              <w:rPr>
                <w:b/>
                <w:bCs/>
                <w:sz w:val="20"/>
                <w:szCs w:val="20"/>
              </w:rPr>
              <w:t>kabozantynib</w:t>
            </w:r>
            <w:proofErr w:type="spellEnd"/>
          </w:p>
          <w:p w14:paraId="37AAEAD5" w14:textId="77777777" w:rsidR="00F54B63" w:rsidRPr="00ED2C9B" w:rsidRDefault="00F54B6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Dobowa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dawka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b/>
                <w:bCs/>
                <w:i/>
                <w:iCs/>
                <w:sz w:val="20"/>
                <w:szCs w:val="20"/>
              </w:rPr>
              <w:t>kabozantynibu</w:t>
            </w:r>
            <w:proofErr w:type="spellEnd"/>
            <w:r w:rsidRPr="00ED2C9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60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mg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(codziennie).</w:t>
            </w:r>
          </w:p>
          <w:p w14:paraId="32FFAF3E" w14:textId="77777777" w:rsidR="00F54B63" w:rsidRDefault="00F54B6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Każdy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cykl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obejmuje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28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dni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leczenia.</w:t>
            </w:r>
          </w:p>
          <w:p w14:paraId="48502E85" w14:textId="77777777" w:rsidR="000209A3" w:rsidRDefault="000209A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</w:p>
          <w:p w14:paraId="7C54B371" w14:textId="2DCC895E" w:rsidR="000209A3" w:rsidRPr="00595187" w:rsidRDefault="000209A3" w:rsidP="00A60601">
            <w:pPr>
              <w:pStyle w:val="Akapitzlist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595187">
              <w:rPr>
                <w:b/>
                <w:bCs/>
                <w:sz w:val="20"/>
                <w:szCs w:val="20"/>
              </w:rPr>
              <w:t>atezolizumab</w:t>
            </w:r>
            <w:proofErr w:type="spellEnd"/>
            <w:r w:rsidRPr="00595187">
              <w:rPr>
                <w:b/>
                <w:bCs/>
                <w:sz w:val="20"/>
                <w:szCs w:val="20"/>
              </w:rPr>
              <w:t xml:space="preserve"> w skojarzeniu z</w:t>
            </w:r>
            <w:r w:rsidR="00595187">
              <w:rPr>
                <w:b/>
                <w:bCs/>
                <w:sz w:val="20"/>
                <w:szCs w:val="20"/>
              </w:rPr>
              <w:t> </w:t>
            </w:r>
            <w:proofErr w:type="spellStart"/>
            <w:r w:rsidRPr="00595187">
              <w:rPr>
                <w:b/>
                <w:bCs/>
                <w:sz w:val="20"/>
                <w:szCs w:val="20"/>
              </w:rPr>
              <w:t>bewacyzumabem</w:t>
            </w:r>
            <w:proofErr w:type="spellEnd"/>
          </w:p>
          <w:p w14:paraId="5874EE3C" w14:textId="294408BE" w:rsidR="000209A3" w:rsidRPr="00ED2C9B" w:rsidRDefault="000209A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Dawka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b/>
                <w:bCs/>
                <w:i/>
                <w:iCs/>
                <w:sz w:val="20"/>
                <w:szCs w:val="20"/>
              </w:rPr>
              <w:t>atezolizumabu</w:t>
            </w:r>
            <w:proofErr w:type="spellEnd"/>
            <w:r w:rsidRPr="00ED2C9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</w:t>
            </w:r>
            <w:r w:rsidR="00595187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mg</w:t>
            </w:r>
            <w:r w:rsidR="00A60601">
              <w:rPr>
                <w:sz w:val="20"/>
                <w:szCs w:val="20"/>
              </w:rPr>
              <w:t>.</w:t>
            </w:r>
          </w:p>
          <w:p w14:paraId="18E45B20" w14:textId="77777777" w:rsidR="000209A3" w:rsidRPr="00ED2C9B" w:rsidRDefault="000209A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Dawka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b/>
                <w:bCs/>
                <w:i/>
                <w:iCs/>
                <w:sz w:val="20"/>
                <w:szCs w:val="20"/>
              </w:rPr>
              <w:t>bewacyzumabu</w:t>
            </w:r>
            <w:proofErr w:type="spellEnd"/>
            <w:r w:rsidRPr="00ED2C9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mg/kg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masy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ciała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podawanego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dożylnie.</w:t>
            </w:r>
            <w:r>
              <w:rPr>
                <w:sz w:val="20"/>
                <w:szCs w:val="20"/>
              </w:rPr>
              <w:t xml:space="preserve"> </w:t>
            </w:r>
          </w:p>
          <w:p w14:paraId="0B88A09D" w14:textId="77777777" w:rsidR="000209A3" w:rsidRPr="00ED2C9B" w:rsidRDefault="000209A3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Leki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stosowane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są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pierwszego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dnia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cyklu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trwającego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tygodnie</w:t>
            </w:r>
            <w:r w:rsidRPr="00ED2C9B">
              <w:rPr>
                <w:sz w:val="20"/>
                <w:szCs w:val="20"/>
              </w:rPr>
              <w:t>.</w:t>
            </w:r>
          </w:p>
          <w:p w14:paraId="7AC0FDCE" w14:textId="77777777" w:rsidR="000209A3" w:rsidRDefault="000209A3" w:rsidP="00A6060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przypadku,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kiedy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podawanie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jednego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leków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musi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zostać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zakończone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powodu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objawów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niepożądanych,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można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kontynuować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drugim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leków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monoterapii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FF8DE1B" w14:textId="77777777" w:rsidR="00A60601" w:rsidRDefault="00A60601" w:rsidP="00A60601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69992EE" w14:textId="6076B97F" w:rsidR="000209A3" w:rsidRPr="000209A3" w:rsidRDefault="000209A3" w:rsidP="00A60601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209A3">
              <w:rPr>
                <w:b/>
                <w:bCs/>
                <w:sz w:val="20"/>
                <w:szCs w:val="20"/>
              </w:rPr>
              <w:lastRenderedPageBreak/>
              <w:t>Modyfikacja dawkowania</w:t>
            </w:r>
          </w:p>
          <w:p w14:paraId="57E9EAE2" w14:textId="16CB76CF" w:rsidR="00900C59" w:rsidRPr="000209A3" w:rsidRDefault="00900C59" w:rsidP="00A6060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0209A3">
              <w:rPr>
                <w:sz w:val="20"/>
                <w:szCs w:val="20"/>
              </w:rPr>
              <w:t>Sposób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podawania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leku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prowadzony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zgodnie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z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aktualn</w:t>
            </w:r>
            <w:r w:rsidR="00FB0B10" w:rsidRPr="000209A3">
              <w:rPr>
                <w:sz w:val="20"/>
                <w:szCs w:val="20"/>
              </w:rPr>
              <w:t>ymi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Charakterystykami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Produktu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Leczniczego</w:t>
            </w:r>
            <w:r w:rsidR="002642B8" w:rsidRPr="000209A3">
              <w:rPr>
                <w:sz w:val="20"/>
                <w:szCs w:val="20"/>
              </w:rPr>
              <w:t xml:space="preserve"> </w:t>
            </w:r>
            <w:r w:rsidRPr="000209A3">
              <w:rPr>
                <w:sz w:val="20"/>
                <w:szCs w:val="20"/>
              </w:rPr>
              <w:t>(</w:t>
            </w:r>
            <w:proofErr w:type="spellStart"/>
            <w:r w:rsidRPr="000209A3">
              <w:rPr>
                <w:sz w:val="20"/>
                <w:szCs w:val="20"/>
              </w:rPr>
              <w:t>ChPL</w:t>
            </w:r>
            <w:proofErr w:type="spellEnd"/>
            <w:r w:rsidRPr="000209A3">
              <w:rPr>
                <w:sz w:val="20"/>
                <w:szCs w:val="20"/>
              </w:rPr>
              <w:t>)</w:t>
            </w:r>
            <w:r w:rsidR="006C06BC" w:rsidRPr="000209A3">
              <w:rPr>
                <w:sz w:val="20"/>
                <w:szCs w:val="20"/>
              </w:rPr>
              <w:t>.</w:t>
            </w:r>
          </w:p>
          <w:p w14:paraId="083026C3" w14:textId="4A474797" w:rsidR="00F92647" w:rsidRPr="00C7370A" w:rsidRDefault="00F92647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przypadkach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wystąpienia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istotnych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klinicznie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ciężkich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działań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niepożądanych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można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opóźnić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podanie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kolejnej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dawki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leku,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jednak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dłużej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niż:</w:t>
            </w:r>
          </w:p>
          <w:p w14:paraId="5F45DB88" w14:textId="4C134F7A" w:rsidR="000209A3" w:rsidRDefault="000209A3" w:rsidP="00A60601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0209A3">
              <w:rPr>
                <w:sz w:val="20"/>
                <w:szCs w:val="20"/>
              </w:rPr>
              <w:t xml:space="preserve">8 tygodni w przypadku leczenia </w:t>
            </w:r>
            <w:proofErr w:type="spellStart"/>
            <w:r w:rsidRPr="000209A3">
              <w:rPr>
                <w:sz w:val="20"/>
                <w:szCs w:val="20"/>
              </w:rPr>
              <w:t>kabozantynibem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5E42ADA" w14:textId="0CE33831" w:rsidR="00F92647" w:rsidRPr="000209A3" w:rsidRDefault="000209A3" w:rsidP="00A60601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0209A3">
              <w:rPr>
                <w:sz w:val="20"/>
                <w:szCs w:val="20"/>
              </w:rPr>
              <w:t xml:space="preserve">6 tygodni w przypadku leczenia </w:t>
            </w:r>
            <w:proofErr w:type="spellStart"/>
            <w:r w:rsidRPr="000209A3">
              <w:rPr>
                <w:sz w:val="20"/>
                <w:szCs w:val="20"/>
              </w:rPr>
              <w:t>atezolizumabem</w:t>
            </w:r>
            <w:proofErr w:type="spellEnd"/>
            <w:r w:rsidRPr="000209A3">
              <w:rPr>
                <w:sz w:val="20"/>
                <w:szCs w:val="20"/>
              </w:rPr>
              <w:t xml:space="preserve"> w skojarzeniu z </w:t>
            </w:r>
            <w:proofErr w:type="spellStart"/>
            <w:r w:rsidRPr="000209A3">
              <w:rPr>
                <w:sz w:val="20"/>
                <w:szCs w:val="20"/>
              </w:rPr>
              <w:t>bewacyzumabem</w:t>
            </w:r>
            <w:proofErr w:type="spellEnd"/>
            <w:r w:rsidR="00F92647" w:rsidRPr="000209A3">
              <w:rPr>
                <w:sz w:val="20"/>
                <w:szCs w:val="20"/>
              </w:rPr>
              <w:t>.</w:t>
            </w:r>
          </w:p>
          <w:p w14:paraId="1D4CA4A5" w14:textId="1D075285" w:rsidR="00F92647" w:rsidRPr="00C7370A" w:rsidRDefault="00F92647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istotne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klinicznie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ciężkie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działania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niepożądane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zmniejszą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swojego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nasilenia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okresie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6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tygodni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dla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sz w:val="20"/>
                <w:szCs w:val="20"/>
              </w:rPr>
              <w:t>atezolizumabu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sz w:val="20"/>
                <w:szCs w:val="20"/>
              </w:rPr>
              <w:t>bewacyzumabem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8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tygodni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dla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sz w:val="20"/>
                <w:szCs w:val="20"/>
              </w:rPr>
              <w:t>kabozantynibu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pomimo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przerwania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podawania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leku,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należy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zakończyć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leczenie.</w:t>
            </w:r>
          </w:p>
          <w:p w14:paraId="7964D8A1" w14:textId="2C4D0C6D" w:rsidR="003F4957" w:rsidRPr="00C7370A" w:rsidRDefault="00900C59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Dopuszczalne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jest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zmniejszenie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wymienionych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poniżej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dawek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aktualną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C7370A">
              <w:rPr>
                <w:sz w:val="20"/>
                <w:szCs w:val="20"/>
              </w:rPr>
              <w:t>ChPL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poszczególnych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leków.</w:t>
            </w:r>
          </w:p>
          <w:p w14:paraId="17394E42" w14:textId="0EC673AD" w:rsidR="00196B54" w:rsidRPr="00DB1858" w:rsidRDefault="00196B54" w:rsidP="00DB185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4EED" w14:textId="26C32FB1" w:rsidR="00F92647" w:rsidRPr="00ED2C9B" w:rsidRDefault="00F92647" w:rsidP="00267846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przy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kwalifikacji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DC0ADB8" w14:textId="3D3FDB04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potwierdzenie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raka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wątrobowokomórkowego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histologiczne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cytologiczne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radiologiczne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pomocy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kontrastowej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wielofazowej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dynamicznej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CT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MRI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pacjentów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marskością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wątroby);</w:t>
            </w:r>
          </w:p>
          <w:p w14:paraId="03D53A99" w14:textId="71517B77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morfologia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krwi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rozmazem;</w:t>
            </w:r>
          </w:p>
          <w:p w14:paraId="2635AF63" w14:textId="5BA7FA08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badanie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ogólne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moczu;</w:t>
            </w:r>
          </w:p>
          <w:p w14:paraId="74963E75" w14:textId="47F5D3F1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stężenia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mocznika,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kreatyniny,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AspAT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AlAT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bilirubiny,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wapnia,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fosfatazy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alkalicznej,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białka,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glukozy,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albumin,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AFP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surowicy;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30DF18F5" w14:textId="4EAC74CC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antygenu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HBS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oraz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przeciwciał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anty-</w:t>
            </w:r>
            <w:proofErr w:type="spellStart"/>
            <w:r w:rsidRPr="00ED2C9B">
              <w:rPr>
                <w:sz w:val="20"/>
                <w:szCs w:val="20"/>
              </w:rPr>
              <w:t>HBc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total</w:t>
            </w:r>
            <w:proofErr w:type="spellEnd"/>
            <w:r w:rsidRPr="00ED2C9B">
              <w:rPr>
                <w:sz w:val="20"/>
                <w:szCs w:val="20"/>
              </w:rPr>
              <w:t>.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obu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pozytywnych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wyników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konieczna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jest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konsultacja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lekarza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posiadającego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dostęp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programu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przeciwwirusowego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-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dotyczy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atezolizumabem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bewacyzumabem</w:t>
            </w:r>
            <w:proofErr w:type="spellEnd"/>
            <w:r w:rsidRPr="00ED2C9B">
              <w:rPr>
                <w:sz w:val="20"/>
                <w:szCs w:val="20"/>
              </w:rPr>
              <w:t>;</w:t>
            </w:r>
          </w:p>
          <w:p w14:paraId="79CD4DDC" w14:textId="13030C06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="00C249C8" w:rsidRPr="00ED2C9B">
              <w:rPr>
                <w:sz w:val="20"/>
                <w:szCs w:val="20"/>
              </w:rPr>
              <w:t>f</w:t>
            </w:r>
            <w:r w:rsidRPr="00ED2C9B">
              <w:rPr>
                <w:sz w:val="20"/>
                <w:szCs w:val="20"/>
              </w:rPr>
              <w:t>T4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TSH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-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dotyczy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terapii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atezolizumabem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F5227">
              <w:rPr>
                <w:i/>
                <w:iCs/>
                <w:sz w:val="20"/>
                <w:szCs w:val="20"/>
              </w:rPr>
              <w:t>bewacyzumabem</w:t>
            </w:r>
            <w:proofErr w:type="spellEnd"/>
            <w:r w:rsidRPr="00ED2C9B">
              <w:rPr>
                <w:sz w:val="20"/>
                <w:szCs w:val="20"/>
              </w:rPr>
              <w:t>;</w:t>
            </w:r>
          </w:p>
          <w:p w14:paraId="5430EF7A" w14:textId="10EC75FE" w:rsidR="00F92647" w:rsidRPr="00ED2C9B" w:rsidRDefault="003F495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g</w:t>
            </w:r>
            <w:r w:rsidR="00F92647" w:rsidRPr="00ED2C9B">
              <w:rPr>
                <w:sz w:val="20"/>
                <w:szCs w:val="20"/>
              </w:rPr>
              <w:t>astroskopia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(u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pacjentów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marskością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wątroby)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-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ocena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pod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kątem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występowania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żylaków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przełyku,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badanie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nie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było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lastRenderedPageBreak/>
              <w:t>wykonane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okresie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6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miesięcy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przed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rozpoczęciem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programie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lekowym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–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dotyczy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terapii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="00F92647" w:rsidRPr="00EF5227">
              <w:rPr>
                <w:i/>
                <w:iCs/>
                <w:sz w:val="20"/>
                <w:szCs w:val="20"/>
              </w:rPr>
              <w:t>atezolizumabem</w:t>
            </w:r>
            <w:proofErr w:type="spellEnd"/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skojarzeniu</w:t>
            </w:r>
            <w:r w:rsidR="002642B8">
              <w:rPr>
                <w:sz w:val="20"/>
                <w:szCs w:val="20"/>
              </w:rPr>
              <w:t xml:space="preserve"> </w:t>
            </w:r>
            <w:r w:rsidR="00F92647"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="00F92647" w:rsidRPr="00EF5227">
              <w:rPr>
                <w:i/>
                <w:iCs/>
                <w:sz w:val="20"/>
                <w:szCs w:val="20"/>
              </w:rPr>
              <w:t>bewacyzumabem</w:t>
            </w:r>
            <w:proofErr w:type="spellEnd"/>
            <w:r w:rsidR="00F92647" w:rsidRPr="00ED2C9B">
              <w:rPr>
                <w:sz w:val="20"/>
                <w:szCs w:val="20"/>
              </w:rPr>
              <w:t>;</w:t>
            </w:r>
          </w:p>
          <w:p w14:paraId="745FED37" w14:textId="228CD264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czasu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protrombinowego</w:t>
            </w:r>
            <w:proofErr w:type="spellEnd"/>
            <w:r w:rsidRPr="00ED2C9B">
              <w:rPr>
                <w:sz w:val="20"/>
                <w:szCs w:val="20"/>
              </w:rPr>
              <w:t>;</w:t>
            </w:r>
          </w:p>
          <w:p w14:paraId="1F1C4547" w14:textId="2805C437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tomografia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komputerowa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klatki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piersiowej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oraz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tomografia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komputerowa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magnetyczny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rezonans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jamy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brzusznej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miednicy</w:t>
            </w:r>
            <w:r w:rsidR="00C7370A">
              <w:rPr>
                <w:sz w:val="20"/>
                <w:szCs w:val="20"/>
              </w:rPr>
              <w:t>;</w:t>
            </w:r>
          </w:p>
          <w:p w14:paraId="1A9A76A8" w14:textId="004E7210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EKG;</w:t>
            </w:r>
          </w:p>
          <w:p w14:paraId="32C6D7E9" w14:textId="23C4EE13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próba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ciążowa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kobiet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wieku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rozrodczym);</w:t>
            </w:r>
          </w:p>
          <w:p w14:paraId="1155C70F" w14:textId="46565461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pomiar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ciśnienia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tętniczego</w:t>
            </w:r>
            <w:r w:rsidR="003F4957" w:rsidRPr="00ED2C9B">
              <w:rPr>
                <w:sz w:val="20"/>
                <w:szCs w:val="20"/>
              </w:rPr>
              <w:t>;</w:t>
            </w:r>
          </w:p>
          <w:p w14:paraId="22C253E2" w14:textId="6E1C0608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inne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klinicznych.</w:t>
            </w:r>
          </w:p>
          <w:p w14:paraId="1418B8E1" w14:textId="51C13E73" w:rsidR="00F92647" w:rsidRPr="00C7370A" w:rsidRDefault="00F92647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7370A">
              <w:rPr>
                <w:sz w:val="20"/>
                <w:szCs w:val="20"/>
              </w:rPr>
              <w:t>Wstępne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badania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obrazowe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muszą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umożliwić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późniejszą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obiektywną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ocenę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odpowiedzi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na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wg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aktualnych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kryteriów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C7370A">
              <w:rPr>
                <w:sz w:val="20"/>
                <w:szCs w:val="20"/>
              </w:rPr>
              <w:t>RECIST.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137956EC" w14:textId="77777777" w:rsidR="00F92647" w:rsidRPr="00ED2C9B" w:rsidRDefault="00F92647" w:rsidP="00A60601">
            <w:pPr>
              <w:autoSpaceDE w:val="0"/>
              <w:autoSpaceDN w:val="0"/>
              <w:adjustRightInd w:val="0"/>
              <w:spacing w:after="60" w:line="276" w:lineRule="auto"/>
              <w:ind w:left="270"/>
              <w:jc w:val="both"/>
              <w:rPr>
                <w:sz w:val="20"/>
                <w:szCs w:val="20"/>
              </w:rPr>
            </w:pPr>
          </w:p>
          <w:p w14:paraId="310864A4" w14:textId="5740307E" w:rsidR="00F92647" w:rsidRPr="00ED2C9B" w:rsidRDefault="00F92647" w:rsidP="00A60601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Monitorowanie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="000811D7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ED2C9B">
              <w:rPr>
                <w:b/>
                <w:bCs/>
                <w:sz w:val="20"/>
                <w:szCs w:val="20"/>
              </w:rPr>
              <w:t>leczenia</w:t>
            </w:r>
          </w:p>
          <w:p w14:paraId="2A09B74E" w14:textId="39CC3E71" w:rsidR="00F92647" w:rsidRPr="00ED2C9B" w:rsidRDefault="00F92647" w:rsidP="00A60601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ED2C9B">
              <w:rPr>
                <w:b/>
                <w:bCs/>
                <w:sz w:val="20"/>
                <w:szCs w:val="20"/>
              </w:rPr>
              <w:t>kabozantynib</w:t>
            </w:r>
            <w:proofErr w:type="spellEnd"/>
          </w:p>
          <w:p w14:paraId="51C9E900" w14:textId="5846ED59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4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chwili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rozpoczynania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kolejnego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28-dniowego</w:t>
            </w:r>
            <w:r w:rsidR="002642B8">
              <w:rPr>
                <w:sz w:val="20"/>
                <w:szCs w:val="20"/>
              </w:rPr>
              <w:t xml:space="preserve"> </w:t>
            </w:r>
            <w:r w:rsidR="00D86C8A" w:rsidRPr="00ED2C9B">
              <w:rPr>
                <w:sz w:val="20"/>
                <w:szCs w:val="20"/>
              </w:rPr>
              <w:t>kursu,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było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czasowo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przerwane):</w:t>
            </w:r>
          </w:p>
          <w:p w14:paraId="49FC91A5" w14:textId="12945BF8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morfologia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krwi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rozmazem,</w:t>
            </w:r>
          </w:p>
          <w:p w14:paraId="796C4F50" w14:textId="5301B561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stężenia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kreatyniny,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AspAT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AlAT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bilirubiny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surowicy,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4B2BB13D" w14:textId="7B58EDF0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fosfatazy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alkalicznej,</w:t>
            </w:r>
          </w:p>
          <w:p w14:paraId="663B50B1" w14:textId="32E2415B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pomiar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ciśnienia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tętniczego,</w:t>
            </w:r>
          </w:p>
          <w:p w14:paraId="0C9386D9" w14:textId="552E00D3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inne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-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</w:t>
            </w:r>
            <w:r w:rsidR="00F677DB" w:rsidRPr="00ED2C9B">
              <w:rPr>
                <w:sz w:val="20"/>
                <w:szCs w:val="20"/>
              </w:rPr>
              <w:t>;</w:t>
            </w:r>
          </w:p>
          <w:p w14:paraId="12A8DF91" w14:textId="24AF8F8D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rzadziej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niż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12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(lub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przed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zakończeniem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trzeciego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28-dniowego</w:t>
            </w:r>
            <w:r w:rsidR="002642B8">
              <w:rPr>
                <w:sz w:val="20"/>
                <w:szCs w:val="20"/>
              </w:rPr>
              <w:t xml:space="preserve"> </w:t>
            </w:r>
            <w:r w:rsidR="00D86C8A" w:rsidRPr="00ED2C9B">
              <w:rPr>
                <w:sz w:val="20"/>
                <w:szCs w:val="20"/>
              </w:rPr>
              <w:t>kursu,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było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czasowo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przerwane):</w:t>
            </w:r>
          </w:p>
          <w:p w14:paraId="73958202" w14:textId="7F68E1DE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poziomu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AFP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surowicy,</w:t>
            </w:r>
          </w:p>
          <w:p w14:paraId="49A979BE" w14:textId="71B55814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czasu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protrombinowego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3FE01474" w14:textId="1BCC2F51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lastRenderedPageBreak/>
              <w:t>EKG,</w:t>
            </w:r>
          </w:p>
          <w:p w14:paraId="127D7844" w14:textId="4AB3C82A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inne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–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</w:t>
            </w:r>
            <w:r w:rsidR="00F677DB" w:rsidRPr="00ED2C9B">
              <w:rPr>
                <w:sz w:val="20"/>
                <w:szCs w:val="20"/>
              </w:rPr>
              <w:t>;</w:t>
            </w:r>
          </w:p>
          <w:p w14:paraId="727B7F2C" w14:textId="3FD6C357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zawsze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klinicznych:</w:t>
            </w:r>
          </w:p>
          <w:p w14:paraId="06CABD37" w14:textId="40DD21D3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poziomu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AFP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surowicy,</w:t>
            </w:r>
          </w:p>
          <w:p w14:paraId="2AC98EC5" w14:textId="7FD37D9C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czasu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protrombinowego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</w:p>
          <w:p w14:paraId="1889ACCC" w14:textId="1619F485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EKG.</w:t>
            </w:r>
          </w:p>
          <w:p w14:paraId="7CC64869" w14:textId="77777777" w:rsidR="003F4957" w:rsidRPr="00ED2C9B" w:rsidRDefault="003F4957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74B6C840" w14:textId="5DAD5083" w:rsidR="00F92647" w:rsidRPr="00ED2C9B" w:rsidRDefault="00F92647" w:rsidP="00A60601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ED2C9B">
              <w:rPr>
                <w:b/>
                <w:bCs/>
                <w:sz w:val="20"/>
                <w:szCs w:val="20"/>
              </w:rPr>
              <w:t>atezolizumabe</w:t>
            </w:r>
            <w:proofErr w:type="spellEnd"/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w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skojarzeniu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z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b/>
                <w:bCs/>
                <w:sz w:val="20"/>
                <w:szCs w:val="20"/>
              </w:rPr>
              <w:t>bewacyzumabem</w:t>
            </w:r>
            <w:proofErr w:type="spellEnd"/>
          </w:p>
          <w:p w14:paraId="232D3DA8" w14:textId="3BFA68CF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3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chwili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rozpoczęcia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kolejnego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21-dniowego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kursu,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było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czasowo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przerwane:</w:t>
            </w:r>
          </w:p>
          <w:p w14:paraId="19A319FE" w14:textId="2ABC9442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morfologia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krwi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rozmazem,</w:t>
            </w:r>
          </w:p>
          <w:p w14:paraId="2128F573" w14:textId="08794779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AspAT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proofErr w:type="spellStart"/>
            <w:r w:rsidRPr="00ED2C9B">
              <w:rPr>
                <w:sz w:val="20"/>
                <w:szCs w:val="20"/>
              </w:rPr>
              <w:t>AlAT</w:t>
            </w:r>
            <w:proofErr w:type="spellEnd"/>
            <w:r w:rsidRPr="00ED2C9B">
              <w:rPr>
                <w:sz w:val="20"/>
                <w:szCs w:val="20"/>
              </w:rPr>
              <w:t>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bilirubiny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całkowitej,</w:t>
            </w:r>
          </w:p>
          <w:p w14:paraId="3B5CFDE4" w14:textId="31EBDB80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glukozy,</w:t>
            </w:r>
          </w:p>
          <w:p w14:paraId="7984E7BF" w14:textId="3773D732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pomiar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ciśnienia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tętniczego,</w:t>
            </w:r>
          </w:p>
          <w:p w14:paraId="7ABB7502" w14:textId="68D80054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inne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badania-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klinicznych;</w:t>
            </w:r>
          </w:p>
          <w:p w14:paraId="0484B9DA" w14:textId="47784D42" w:rsidR="00F92647" w:rsidRPr="00ED2C9B" w:rsidRDefault="00F92647" w:rsidP="00A60601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rzadziej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niż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9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przed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rozpoczęciem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czwartego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21-dniowego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kursu,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jeżeli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było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czasowo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przerwane;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uzyskania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kolejnych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ocenach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najmniej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stabilizacji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choroby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dopuszcza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się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wykonywanie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12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tygodni:</w:t>
            </w:r>
          </w:p>
          <w:p w14:paraId="72DA97DD" w14:textId="7DE33280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poziomu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AFP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surowicy,</w:t>
            </w:r>
          </w:p>
          <w:p w14:paraId="0B33A4F4" w14:textId="6C9E139B" w:rsidR="00F92647" w:rsidRPr="00ED2C9B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oznaczenie</w:t>
            </w:r>
            <w:r w:rsidR="002642B8">
              <w:rPr>
                <w:sz w:val="20"/>
                <w:szCs w:val="20"/>
              </w:rPr>
              <w:t xml:space="preserve"> </w:t>
            </w:r>
            <w:r w:rsidR="002F17D0" w:rsidRPr="00ED2C9B">
              <w:rPr>
                <w:sz w:val="20"/>
                <w:szCs w:val="20"/>
              </w:rPr>
              <w:t>f</w:t>
            </w:r>
            <w:r w:rsidRPr="00ED2C9B">
              <w:rPr>
                <w:sz w:val="20"/>
                <w:szCs w:val="20"/>
              </w:rPr>
              <w:t>T4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TSH</w:t>
            </w:r>
            <w:r w:rsidR="00562961" w:rsidRPr="00ED2C9B">
              <w:rPr>
                <w:sz w:val="20"/>
                <w:szCs w:val="20"/>
              </w:rPr>
              <w:t>,</w:t>
            </w:r>
          </w:p>
          <w:p w14:paraId="5C6F9300" w14:textId="4A9C3E71" w:rsidR="00267846" w:rsidRDefault="00F92647" w:rsidP="00A60601">
            <w:pPr>
              <w:pStyle w:val="Akapitzlist"/>
              <w:numPr>
                <w:ilvl w:val="4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inne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–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razie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wskazań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klinicznych.</w:t>
            </w:r>
          </w:p>
          <w:p w14:paraId="0CBAFB45" w14:textId="77777777" w:rsidR="00267846" w:rsidRPr="00595187" w:rsidRDefault="00267846" w:rsidP="00A6060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768CFDB2" w14:textId="1C1C22FE" w:rsidR="00865908" w:rsidRPr="00162E7C" w:rsidRDefault="000811D7" w:rsidP="00A60601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contextualSpacing w:val="0"/>
              <w:rPr>
                <w:color w:val="000000" w:themeColor="text1"/>
              </w:rPr>
            </w:pPr>
            <w:r w:rsidRPr="00595187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18049616" w14:textId="77777777" w:rsidR="00865908" w:rsidRDefault="00865908" w:rsidP="00A60601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82327">
              <w:rPr>
                <w:bCs/>
                <w:color w:val="000000" w:themeColor="text1"/>
                <w:sz w:val="20"/>
                <w:szCs w:val="20"/>
              </w:rPr>
              <w:t xml:space="preserve">W celu monitorowania skuteczności leczenia wykonywane są badania obrazowe konieczne do oceny zmian według aktualnie obowiązujących kryteriów RECIST: </w:t>
            </w:r>
            <w:r w:rsidRPr="009F397B">
              <w:rPr>
                <w:bCs/>
                <w:color w:val="000000" w:themeColor="text1"/>
                <w:sz w:val="20"/>
                <w:szCs w:val="20"/>
              </w:rPr>
              <w:t xml:space="preserve">tomografia komputerowa lub </w:t>
            </w:r>
            <w:r w:rsidRPr="009F397B">
              <w:rPr>
                <w:bCs/>
                <w:color w:val="000000" w:themeColor="text1"/>
                <w:sz w:val="20"/>
                <w:szCs w:val="20"/>
              </w:rPr>
              <w:lastRenderedPageBreak/>
              <w:t xml:space="preserve">rezonans </w:t>
            </w:r>
            <w:r>
              <w:rPr>
                <w:bCs/>
                <w:color w:val="000000" w:themeColor="text1"/>
                <w:sz w:val="20"/>
                <w:szCs w:val="20"/>
              </w:rPr>
              <w:t>odpowiednich obszarów ciała lub inne badania w razie wskazań klinicznych.</w:t>
            </w:r>
          </w:p>
          <w:p w14:paraId="4608B46B" w14:textId="77777777" w:rsidR="00865908" w:rsidRDefault="00865908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82327">
              <w:rPr>
                <w:bCs/>
                <w:color w:val="000000" w:themeColor="text1"/>
                <w:sz w:val="20"/>
                <w:szCs w:val="20"/>
              </w:rPr>
              <w:t>Określenie odpowiedzi na leczenie powinno być wykonywane z wykorzystaniem metody identycznej do wykorzystanej podczas kwalifikowania do leczenia.</w:t>
            </w:r>
            <w:r>
              <w:t xml:space="preserve"> </w:t>
            </w:r>
            <w:r w:rsidRPr="00191FC8">
              <w:rPr>
                <w:bCs/>
                <w:color w:val="000000" w:themeColor="text1"/>
                <w:sz w:val="20"/>
                <w:szCs w:val="20"/>
              </w:rPr>
              <w:t>Wykonane badania obrazowe muszą umożliwić obiektywną ocenę odpowiedzi na leczenie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538929F0" w14:textId="6D21D581" w:rsidR="00865908" w:rsidRDefault="00865908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A7E16">
              <w:rPr>
                <w:sz w:val="20"/>
                <w:szCs w:val="20"/>
              </w:rPr>
              <w:t xml:space="preserve"> Na podstawie ww. badań w celu monitorowania skuteczności leczenia przekazywane są dane dotyczące wybranych wskaźników skuteczności terapii, dla których jest możliwe ich określenie przez lekarza prowadzącego dla indywidualnego pacjenta, spośród:</w:t>
            </w:r>
          </w:p>
          <w:p w14:paraId="501AAC36" w14:textId="77777777" w:rsidR="00865908" w:rsidRDefault="00865908" w:rsidP="00A60601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całkowita (CR) lub częściowa odpowiedź (PR) na leczenie,</w:t>
            </w:r>
          </w:p>
          <w:p w14:paraId="2A4D6D28" w14:textId="77777777" w:rsidR="00865908" w:rsidRDefault="00865908" w:rsidP="00A60601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stabilizacja (SD) lub progresja choroby (PD),</w:t>
            </w:r>
          </w:p>
          <w:p w14:paraId="776173B1" w14:textId="5BD306F7" w:rsidR="00865908" w:rsidRPr="00EA576F" w:rsidRDefault="00317B5E" w:rsidP="00A60601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czas </w:t>
            </w:r>
            <w:r w:rsidR="00865908">
              <w:rPr>
                <w:sz w:val="20"/>
                <w:szCs w:val="20"/>
              </w:rPr>
              <w:t>całkowite</w:t>
            </w:r>
            <w:r>
              <w:rPr>
                <w:sz w:val="20"/>
                <w:szCs w:val="20"/>
              </w:rPr>
              <w:t>go</w:t>
            </w:r>
            <w:r w:rsidR="00865908">
              <w:rPr>
                <w:sz w:val="20"/>
                <w:szCs w:val="20"/>
              </w:rPr>
              <w:t xml:space="preserve"> przeżyci</w:t>
            </w:r>
            <w:r>
              <w:rPr>
                <w:sz w:val="20"/>
                <w:szCs w:val="20"/>
              </w:rPr>
              <w:t>a</w:t>
            </w:r>
            <w:r w:rsidR="00865908">
              <w:rPr>
                <w:sz w:val="20"/>
                <w:szCs w:val="20"/>
              </w:rPr>
              <w:t xml:space="preserve"> (OS) i czas </w:t>
            </w:r>
            <w:r>
              <w:rPr>
                <w:sz w:val="20"/>
                <w:szCs w:val="20"/>
              </w:rPr>
              <w:t>przeżycia wolnego od</w:t>
            </w:r>
            <w:r w:rsidR="00865908">
              <w:rPr>
                <w:sz w:val="20"/>
                <w:szCs w:val="20"/>
              </w:rPr>
              <w:t xml:space="preserve"> progresji (PFS).</w:t>
            </w:r>
          </w:p>
          <w:p w14:paraId="0B56B772" w14:textId="77777777" w:rsidR="00865908" w:rsidRPr="00267846" w:rsidRDefault="00865908" w:rsidP="00A60601">
            <w:pPr>
              <w:spacing w:after="60" w:line="276" w:lineRule="auto"/>
              <w:rPr>
                <w:color w:val="000000" w:themeColor="text1"/>
              </w:rPr>
            </w:pPr>
          </w:p>
          <w:p w14:paraId="3C747B03" w14:textId="133FE333" w:rsidR="00865908" w:rsidRPr="00267846" w:rsidRDefault="00865908" w:rsidP="00A60601">
            <w:pPr>
              <w:pStyle w:val="Akapitzlist"/>
              <w:numPr>
                <w:ilvl w:val="1"/>
                <w:numId w:val="50"/>
              </w:numPr>
              <w:spacing w:after="60" w:line="276" w:lineRule="auto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267846">
              <w:rPr>
                <w:b/>
                <w:bCs/>
                <w:color w:val="000000" w:themeColor="text1"/>
                <w:sz w:val="20"/>
                <w:szCs w:val="20"/>
              </w:rPr>
              <w:t>kabozantynib</w:t>
            </w:r>
            <w:proofErr w:type="spellEnd"/>
          </w:p>
          <w:p w14:paraId="69B15ACC" w14:textId="0C2F7A2C" w:rsidR="00865908" w:rsidRDefault="00865908" w:rsidP="00A60601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Badania wykonuje się </w:t>
            </w:r>
            <w:r w:rsidRPr="00C0134A">
              <w:rPr>
                <w:bCs/>
                <w:color w:val="000000" w:themeColor="text1"/>
                <w:sz w:val="20"/>
                <w:szCs w:val="20"/>
              </w:rPr>
              <w:t xml:space="preserve">nie rzadziej niż co </w:t>
            </w:r>
            <w:r w:rsidR="00267846">
              <w:rPr>
                <w:bCs/>
                <w:color w:val="000000" w:themeColor="text1"/>
                <w:sz w:val="20"/>
                <w:szCs w:val="20"/>
              </w:rPr>
              <w:t xml:space="preserve">12 tygodni </w:t>
            </w:r>
            <w:r w:rsidR="00267846" w:rsidRPr="00ED2C9B">
              <w:rPr>
                <w:sz w:val="20"/>
                <w:szCs w:val="20"/>
              </w:rPr>
              <w:t>lub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przed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zakończeniem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co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trzeciego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28-dniowego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kursu,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jeżeli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leczenie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było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czasowo</w:t>
            </w:r>
            <w:r w:rsidR="00267846">
              <w:rPr>
                <w:sz w:val="20"/>
                <w:szCs w:val="20"/>
              </w:rPr>
              <w:t xml:space="preserve"> </w:t>
            </w:r>
            <w:r w:rsidR="00267846" w:rsidRPr="00ED2C9B">
              <w:rPr>
                <w:sz w:val="20"/>
                <w:szCs w:val="20"/>
              </w:rPr>
              <w:t>przerwane</w:t>
            </w:r>
            <w:r w:rsidRPr="00C0134A"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116D0291" w14:textId="77777777" w:rsidR="00F92647" w:rsidRDefault="00F92647" w:rsidP="00A60601">
            <w:pPr>
              <w:autoSpaceDE w:val="0"/>
              <w:autoSpaceDN w:val="0"/>
              <w:adjustRightInd w:val="0"/>
              <w:spacing w:after="60" w:line="276" w:lineRule="auto"/>
              <w:ind w:left="270"/>
              <w:jc w:val="both"/>
              <w:rPr>
                <w:sz w:val="20"/>
                <w:szCs w:val="20"/>
              </w:rPr>
            </w:pPr>
          </w:p>
          <w:p w14:paraId="2AD43A74" w14:textId="74BCBC63" w:rsidR="00865908" w:rsidRDefault="00865908" w:rsidP="00A60601">
            <w:pPr>
              <w:pStyle w:val="Akapitzlist"/>
              <w:numPr>
                <w:ilvl w:val="1"/>
                <w:numId w:val="50"/>
              </w:numPr>
              <w:spacing w:after="60" w:line="276" w:lineRule="auto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atezolizumab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bewacyzumabem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67DBCB0" w14:textId="17B94F00" w:rsidR="00267846" w:rsidRPr="00267846" w:rsidRDefault="00267846" w:rsidP="00A60601">
            <w:p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67846">
              <w:rPr>
                <w:color w:val="000000" w:themeColor="text1"/>
                <w:sz w:val="20"/>
                <w:szCs w:val="20"/>
              </w:rPr>
              <w:t>Badania wykonuje się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rzadziej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niż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przed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rozpoczęciem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czwartego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21-dniowego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kursu,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jeżeli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było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czasowo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przerwane</w:t>
            </w:r>
            <w:r>
              <w:rPr>
                <w:sz w:val="20"/>
                <w:szCs w:val="20"/>
              </w:rPr>
              <w:t xml:space="preserve">, a </w:t>
            </w:r>
            <w:r w:rsidRPr="00ED2C9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przypadku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uzyskania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kolejnych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ocenach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najmniej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stabilizacji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choroby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dopuszcza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się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wykonywanie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badań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tygodni</w:t>
            </w:r>
            <w:r>
              <w:rPr>
                <w:sz w:val="20"/>
                <w:szCs w:val="20"/>
              </w:rPr>
              <w:t xml:space="preserve">. </w:t>
            </w:r>
          </w:p>
          <w:p w14:paraId="2B556EA3" w14:textId="77777777" w:rsidR="00865908" w:rsidRPr="00ED2C9B" w:rsidRDefault="00865908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E083E68" w14:textId="2BEB2C9E" w:rsidR="00F92647" w:rsidRPr="00ED2C9B" w:rsidRDefault="00F92647" w:rsidP="00A60601">
            <w:pPr>
              <w:pStyle w:val="Akapitzlist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D2C9B">
              <w:rPr>
                <w:b/>
                <w:bCs/>
                <w:sz w:val="20"/>
                <w:szCs w:val="20"/>
              </w:rPr>
              <w:t>Monitorowanie</w:t>
            </w:r>
            <w:r w:rsidR="002642B8">
              <w:rPr>
                <w:b/>
                <w:bCs/>
                <w:sz w:val="20"/>
                <w:szCs w:val="20"/>
              </w:rPr>
              <w:t xml:space="preserve"> </w:t>
            </w:r>
            <w:r w:rsidRPr="00ED2C9B">
              <w:rPr>
                <w:b/>
                <w:bCs/>
                <w:sz w:val="20"/>
                <w:szCs w:val="20"/>
              </w:rPr>
              <w:t>programu</w:t>
            </w:r>
          </w:p>
          <w:p w14:paraId="3D4EEB6E" w14:textId="757DAE5C" w:rsidR="00F92647" w:rsidRPr="00ED2C9B" w:rsidRDefault="00F92647" w:rsidP="00A60601">
            <w:pPr>
              <w:pStyle w:val="Akapitzlist"/>
              <w:numPr>
                <w:ilvl w:val="3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lastRenderedPageBreak/>
              <w:t>gromadzenie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dokumentacji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medycznej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pacjenta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danych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dotyczących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monitorowania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leczenia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każdorazowe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przedstawianie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żądanie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kontrolerów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Narodowego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Funduszu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Zdrowia;</w:t>
            </w:r>
          </w:p>
          <w:p w14:paraId="34B6686A" w14:textId="5EAB9844" w:rsidR="00267846" w:rsidRPr="000A7EDD" w:rsidRDefault="00267846" w:rsidP="00A60601">
            <w:pPr>
              <w:pStyle w:val="Akapitzlist"/>
              <w:numPr>
                <w:ilvl w:val="3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0A7EDD">
              <w:rPr>
                <w:sz w:val="20"/>
                <w:szCs w:val="20"/>
              </w:rPr>
              <w:t>uzupełni</w:t>
            </w:r>
            <w:r w:rsidR="000A7EDD" w:rsidRPr="000A7EDD">
              <w:rPr>
                <w:sz w:val="20"/>
                <w:szCs w:val="20"/>
              </w:rPr>
              <w:t>a</w:t>
            </w:r>
            <w:r w:rsidRPr="000A7EDD">
              <w:rPr>
                <w:sz w:val="20"/>
                <w:szCs w:val="20"/>
              </w:rPr>
              <w:t>nie danych zawartych w elektronicznym systemie monitorowania programów lekowych, w tym przekazywanie danych dotyczących wskaźników skuteczności terapii zawartych w pkt. 3, dostępnym za pomocą aplikacji internetowej udostępnionej przez OW NFZ, z częstotliwością zgodną z opisem programu oraz na zakończenie leczenia;</w:t>
            </w:r>
          </w:p>
          <w:p w14:paraId="2D2B5757" w14:textId="7290EF03" w:rsidR="00690FA9" w:rsidRDefault="00F92647" w:rsidP="00A60601">
            <w:pPr>
              <w:pStyle w:val="Akapitzlist"/>
              <w:numPr>
                <w:ilvl w:val="3"/>
                <w:numId w:val="5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D2C9B">
              <w:rPr>
                <w:sz w:val="20"/>
                <w:szCs w:val="20"/>
              </w:rPr>
              <w:t>przekazywanie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informacji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sprawozdawczo-rozliczeniowych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NFZ: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informacje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przekazuje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się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do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NFZ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formie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papierowej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lub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formie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elektronicznej,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zgodnie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wymaganiami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opublikowanymi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przez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Narodowy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Fundusz</w:t>
            </w:r>
            <w:r w:rsidR="002642B8">
              <w:rPr>
                <w:sz w:val="20"/>
                <w:szCs w:val="20"/>
              </w:rPr>
              <w:t xml:space="preserve"> </w:t>
            </w:r>
            <w:r w:rsidRPr="00ED2C9B">
              <w:rPr>
                <w:sz w:val="20"/>
                <w:szCs w:val="20"/>
              </w:rPr>
              <w:t>Zdrowia.</w:t>
            </w:r>
          </w:p>
          <w:p w14:paraId="0C7BFA32" w14:textId="713C30DC" w:rsidR="00C7370A" w:rsidRPr="00C7370A" w:rsidRDefault="00C7370A" w:rsidP="00C7370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</w:tr>
      <w:tr w:rsidR="00C9088E" w:rsidRPr="001349B5" w14:paraId="69DF27D7" w14:textId="77777777" w:rsidTr="00A60601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9281" w14:textId="48F3D76A" w:rsidR="00C9088E" w:rsidRPr="00C9088E" w:rsidRDefault="00C9088E" w:rsidP="00A60601">
            <w:pPr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C9088E">
              <w:rPr>
                <w:b/>
                <w:bCs/>
                <w:sz w:val="20"/>
                <w:szCs w:val="20"/>
              </w:rPr>
              <w:lastRenderedPageBreak/>
              <w:t>LECZENIE PACJENTÓW CHORYCH NA RAKA DRÓG ŻÓŁCIOWYCH (ICD-10: C22.1, C23, C24.0, C24.1, C24.8, C24.9)</w:t>
            </w:r>
          </w:p>
        </w:tc>
      </w:tr>
      <w:tr w:rsidR="00C9088E" w:rsidRPr="001349B5" w14:paraId="13DA9713" w14:textId="77777777" w:rsidTr="002642B8"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E9A8" w14:textId="77777777" w:rsidR="00C9088E" w:rsidRPr="00A60601" w:rsidRDefault="00C9088E" w:rsidP="00C9088E">
            <w:pPr>
              <w:spacing w:before="120"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W programie finansuje się leczenie dorosłych pacjentów z zaawansowanym rakiem dróg </w:t>
            </w:r>
            <w:r w:rsidRPr="00A60601">
              <w:rPr>
                <w:rFonts w:eastAsiaTheme="minorHAnsi"/>
                <w:sz w:val="20"/>
                <w:szCs w:val="20"/>
                <w:lang w:eastAsia="en-US"/>
              </w:rPr>
              <w:t>żółciowych substancją:</w:t>
            </w:r>
          </w:p>
          <w:p w14:paraId="6F6ABC34" w14:textId="12940214" w:rsidR="00C9088E" w:rsidRDefault="00C9088E" w:rsidP="00A60601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/>
              <w:contextualSpacing w:val="0"/>
              <w:jc w:val="both"/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A60601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durwaluma</w:t>
            </w:r>
            <w:r w:rsidR="00A60601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b</w:t>
            </w:r>
            <w:proofErr w:type="spellEnd"/>
            <w:r w:rsidR="00A60601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.</w:t>
            </w:r>
          </w:p>
          <w:p w14:paraId="17F075BB" w14:textId="77777777" w:rsidR="00A60601" w:rsidRPr="00A60601" w:rsidRDefault="00A60601" w:rsidP="00A60601">
            <w:pPr>
              <w:spacing w:after="60" w:line="276" w:lineRule="auto"/>
              <w:ind w:left="227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6CC2FF90" w14:textId="77777777" w:rsidR="00C9088E" w:rsidRDefault="00C9088E" w:rsidP="00A60601">
            <w:pPr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Leczenie </w:t>
            </w:r>
            <w:r w:rsidRPr="00EA576F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zaawansowanego raka dróg żółciowych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obejmuje:</w:t>
            </w:r>
          </w:p>
          <w:p w14:paraId="0FD32E14" w14:textId="77777777" w:rsidR="00C9088E" w:rsidRDefault="00C9088E" w:rsidP="00A60601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ind w:left="454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l</w:t>
            </w:r>
            <w:r w:rsidRPr="00553581">
              <w:rPr>
                <w:rFonts w:eastAsiaTheme="minorHAnsi"/>
                <w:sz w:val="20"/>
                <w:szCs w:val="20"/>
                <w:lang w:eastAsia="en-US"/>
              </w:rPr>
              <w:t xml:space="preserve">eczenie </w:t>
            </w:r>
            <w:proofErr w:type="spellStart"/>
            <w:r w:rsidRPr="00EA576F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durwalumabem</w:t>
            </w:r>
            <w:proofErr w:type="spellEnd"/>
            <w:r w:rsidRPr="00553581">
              <w:rPr>
                <w:rFonts w:eastAsiaTheme="minorHAnsi"/>
                <w:sz w:val="20"/>
                <w:szCs w:val="20"/>
                <w:lang w:eastAsia="en-US"/>
              </w:rPr>
              <w:t xml:space="preserve"> w skojarzeniu z chemioterapią zawierającą </w:t>
            </w:r>
            <w:proofErr w:type="spellStart"/>
            <w:r w:rsidRPr="00EA576F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gemcytabinę</w:t>
            </w:r>
            <w:proofErr w:type="spellEnd"/>
            <w:r w:rsidRPr="00553581">
              <w:rPr>
                <w:rFonts w:eastAsiaTheme="minorHAnsi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EA576F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cisplatynę</w:t>
            </w:r>
            <w:proofErr w:type="spellEnd"/>
            <w:r w:rsidRPr="00553581">
              <w:rPr>
                <w:rFonts w:eastAsiaTheme="minorHAnsi"/>
                <w:sz w:val="20"/>
                <w:szCs w:val="20"/>
                <w:lang w:eastAsia="en-US"/>
              </w:rPr>
              <w:t xml:space="preserve"> dorosłych pacjentów z 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>miejscowo zaawansowany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m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lub przerzutowy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m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gruczolakorak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iem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dróg żółciowych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.</w:t>
            </w:r>
          </w:p>
          <w:p w14:paraId="339B64FF" w14:textId="77777777" w:rsidR="00C9088E" w:rsidRDefault="00C9088E" w:rsidP="00A6060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Do leczenia </w:t>
            </w:r>
            <w:proofErr w:type="spellStart"/>
            <w:r w:rsidRPr="00EA576F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durwalumabem</w:t>
            </w:r>
            <w:proofErr w:type="spellEnd"/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kwalifikowani są pacjenci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niepoddani wcześniej leczeniu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systemow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emu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z powodu zaawansowanego raka dróg żółciowych.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D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o leczenia </w:t>
            </w:r>
            <w:proofErr w:type="spellStart"/>
            <w:r w:rsidRPr="00EA576F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durwalumabem</w:t>
            </w:r>
            <w:proofErr w:type="spellEnd"/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 kwalifikowani są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również 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 xml:space="preserve">pacjenci, u których 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 xml:space="preserve">doszło do nawrotu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choroby </w:t>
            </w:r>
            <w:r w:rsidRPr="00EA576F">
              <w:rPr>
                <w:rFonts w:eastAsiaTheme="minorHAnsi"/>
                <w:sz w:val="20"/>
                <w:szCs w:val="20"/>
                <w:lang w:eastAsia="en-US"/>
              </w:rPr>
              <w:t>po uprzednim leczeniu chirurgicznym z intencją radykalną (niezależnie od zastosowania chemioterapii uzupełniającej).</w:t>
            </w:r>
          </w:p>
          <w:p w14:paraId="09913B4B" w14:textId="77777777" w:rsidR="00EB08A0" w:rsidRPr="00EA576F" w:rsidRDefault="00EB08A0" w:rsidP="00A60601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23935881" w14:textId="77777777" w:rsidR="00C9088E" w:rsidRPr="00973771" w:rsidRDefault="00C9088E" w:rsidP="00A60601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973771">
              <w:rPr>
                <w:b/>
                <w:bCs/>
                <w:sz w:val="20"/>
                <w:szCs w:val="20"/>
              </w:rPr>
              <w:t>Kryteria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73771">
              <w:rPr>
                <w:b/>
                <w:bCs/>
                <w:sz w:val="20"/>
                <w:szCs w:val="20"/>
              </w:rPr>
              <w:t>kwalifikacji</w:t>
            </w:r>
          </w:p>
          <w:p w14:paraId="66B71D1C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4374F">
              <w:rPr>
                <w:sz w:val="20"/>
                <w:szCs w:val="20"/>
              </w:rPr>
              <w:t>histologicznie lub cytologicznie potwierdzony miejscowo zaawansowany lub przerzutowy gruczolakorak dróg żółciowych;</w:t>
            </w:r>
          </w:p>
          <w:p w14:paraId="19E4A99E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stan sprawności 0-1 według skali ECOG;</w:t>
            </w:r>
          </w:p>
          <w:p w14:paraId="744BE232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wiek 18 lat i powyżej;</w:t>
            </w:r>
          </w:p>
          <w:p w14:paraId="1E31832A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możliwa ocena odpowiedzi na leczenie zmian nowotworowych według aktualnej klasyfikacji RECIST;</w:t>
            </w:r>
          </w:p>
          <w:p w14:paraId="6C81A46B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448D859F" w14:textId="77777777" w:rsidR="00C9088E" w:rsidRPr="00D4374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brak przeciw</w:t>
            </w:r>
            <w:r>
              <w:rPr>
                <w:sz w:val="20"/>
                <w:szCs w:val="20"/>
              </w:rPr>
              <w:t>w</w:t>
            </w:r>
            <w:r w:rsidRPr="00EA576F">
              <w:rPr>
                <w:sz w:val="20"/>
                <w:szCs w:val="20"/>
              </w:rPr>
              <w:t>skazań do stosowania każdego z leków zgodnie z aktualną Charakterysty</w:t>
            </w:r>
            <w:r>
              <w:rPr>
                <w:sz w:val="20"/>
                <w:szCs w:val="20"/>
              </w:rPr>
              <w:t>ką</w:t>
            </w:r>
            <w:r w:rsidRPr="00EA576F">
              <w:rPr>
                <w:sz w:val="20"/>
                <w:szCs w:val="20"/>
              </w:rPr>
              <w:t xml:space="preserve"> Produktu Leczniczego (</w:t>
            </w:r>
            <w:proofErr w:type="spellStart"/>
            <w:r w:rsidRPr="00EA576F">
              <w:rPr>
                <w:sz w:val="20"/>
                <w:szCs w:val="20"/>
              </w:rPr>
              <w:t>ChPL</w:t>
            </w:r>
            <w:proofErr w:type="spellEnd"/>
            <w:r w:rsidRPr="00EA576F">
              <w:rPr>
                <w:sz w:val="20"/>
                <w:szCs w:val="20"/>
              </w:rPr>
              <w:t>);</w:t>
            </w:r>
          </w:p>
          <w:p w14:paraId="044BFC35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nieobecność istotnych schorzeń współistniejących stanowiących przeciw</w:t>
            </w:r>
            <w:r>
              <w:rPr>
                <w:sz w:val="20"/>
                <w:szCs w:val="20"/>
              </w:rPr>
              <w:t>w</w:t>
            </w:r>
            <w:r w:rsidRPr="00EA576F">
              <w:rPr>
                <w:sz w:val="20"/>
                <w:szCs w:val="20"/>
              </w:rPr>
              <w:t xml:space="preserve">skazanie do terapii stwierdzonych przez lekarza prowadzącego w oparciu o aktualne </w:t>
            </w:r>
            <w:proofErr w:type="spellStart"/>
            <w:r w:rsidRPr="00EA576F">
              <w:rPr>
                <w:sz w:val="20"/>
                <w:szCs w:val="20"/>
              </w:rPr>
              <w:t>ChPL</w:t>
            </w:r>
            <w:proofErr w:type="spellEnd"/>
            <w:r w:rsidRPr="00EA576F">
              <w:rPr>
                <w:sz w:val="20"/>
                <w:szCs w:val="20"/>
              </w:rPr>
              <w:t>;</w:t>
            </w:r>
          </w:p>
          <w:p w14:paraId="72172FC1" w14:textId="77777777" w:rsidR="00C9088E" w:rsidRPr="00D4374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nieobecność </w:t>
            </w:r>
            <w:r w:rsidRPr="00353939">
              <w:rPr>
                <w:bCs/>
                <w:sz w:val="20"/>
                <w:szCs w:val="20"/>
              </w:rPr>
              <w:t>aktywn</w:t>
            </w:r>
            <w:r>
              <w:rPr>
                <w:bCs/>
                <w:sz w:val="20"/>
                <w:szCs w:val="20"/>
              </w:rPr>
              <w:t>ych</w:t>
            </w:r>
            <w:r w:rsidRPr="00353939">
              <w:rPr>
                <w:bCs/>
                <w:sz w:val="20"/>
                <w:szCs w:val="20"/>
              </w:rPr>
              <w:t xml:space="preserve"> chor</w:t>
            </w:r>
            <w:r>
              <w:rPr>
                <w:bCs/>
                <w:sz w:val="20"/>
                <w:szCs w:val="20"/>
              </w:rPr>
              <w:t>ób</w:t>
            </w:r>
            <w:r w:rsidRPr="00353939">
              <w:rPr>
                <w:bCs/>
                <w:sz w:val="20"/>
                <w:szCs w:val="20"/>
              </w:rPr>
              <w:t xml:space="preserve"> autoimmunologicz</w:t>
            </w:r>
            <w:r>
              <w:rPr>
                <w:bCs/>
                <w:sz w:val="20"/>
                <w:szCs w:val="20"/>
              </w:rPr>
              <w:t>nych z wyłączeniem cukrzycy typu 1</w:t>
            </w:r>
            <w:r w:rsidRPr="008F2CAF">
              <w:rPr>
                <w:bCs/>
                <w:sz w:val="20"/>
                <w:szCs w:val="20"/>
              </w:rPr>
              <w:t>, niedoczynności tarczycy, łuszczycy i bielactwa</w:t>
            </w:r>
            <w:r>
              <w:rPr>
                <w:bCs/>
                <w:sz w:val="20"/>
                <w:szCs w:val="20"/>
              </w:rPr>
              <w:t>;</w:t>
            </w:r>
          </w:p>
          <w:p w14:paraId="7E8FE948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nieobecność objawowych </w:t>
            </w:r>
            <w:r w:rsidRPr="004556D6">
              <w:rPr>
                <w:bCs/>
                <w:sz w:val="20"/>
                <w:szCs w:val="20"/>
              </w:rPr>
              <w:t>przerzutów w ośr</w:t>
            </w:r>
            <w:r>
              <w:rPr>
                <w:bCs/>
                <w:sz w:val="20"/>
                <w:szCs w:val="20"/>
              </w:rPr>
              <w:t>o</w:t>
            </w:r>
            <w:r w:rsidRPr="004556D6">
              <w:rPr>
                <w:bCs/>
                <w:sz w:val="20"/>
                <w:szCs w:val="20"/>
              </w:rPr>
              <w:t>dkowym układzie nerwowym (dopuszczalne kwalifikowanie chorych po wcześniejszym radyk</w:t>
            </w:r>
            <w:r>
              <w:rPr>
                <w:bCs/>
                <w:sz w:val="20"/>
                <w:szCs w:val="20"/>
              </w:rPr>
              <w:t>a</w:t>
            </w:r>
            <w:r w:rsidRPr="004556D6">
              <w:rPr>
                <w:bCs/>
                <w:sz w:val="20"/>
                <w:szCs w:val="20"/>
              </w:rPr>
              <w:t>lnym wycięciu przerzutów lub przeprowadzeniu radioterapii stereotaktycznej z nieobecnością zmian w badaniach obrazowych i stanem bezobjawowym</w:t>
            </w:r>
            <w:r>
              <w:rPr>
                <w:bCs/>
                <w:sz w:val="20"/>
                <w:szCs w:val="20"/>
              </w:rPr>
              <w:t>);</w:t>
            </w:r>
          </w:p>
          <w:p w14:paraId="71F57E31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color w:val="000000" w:themeColor="text1"/>
                <w:sz w:val="20"/>
                <w:szCs w:val="20"/>
              </w:rPr>
              <w:lastRenderedPageBreak/>
              <w:t>w przypadku współistnienia innych aktywnych nowotworów kwalifikacja do leczenia musi uwzględniać rokowanie związane ze współistniejącym nowotworem;</w:t>
            </w:r>
          </w:p>
          <w:p w14:paraId="71F7148F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z</w:t>
            </w:r>
            <w:r w:rsidRPr="00EA576F">
              <w:rPr>
                <w:color w:val="000000" w:themeColor="text1"/>
                <w:sz w:val="20"/>
                <w:szCs w:val="20"/>
              </w:rPr>
              <w:t xml:space="preserve">goda </w:t>
            </w:r>
            <w:r w:rsidRPr="00CE778C">
              <w:rPr>
                <w:color w:val="000000" w:themeColor="text1"/>
                <w:sz w:val="20"/>
                <w:szCs w:val="20"/>
              </w:rPr>
              <w:t>pacjenta na prowadzenie antykoncepcji zgodnie z</w:t>
            </w:r>
            <w:r>
              <w:rPr>
                <w:color w:val="000000" w:themeColor="text1"/>
                <w:sz w:val="20"/>
                <w:szCs w:val="20"/>
              </w:rPr>
              <w:t xml:space="preserve"> aktualną</w:t>
            </w:r>
            <w:r w:rsidRPr="00CE778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;</w:t>
            </w:r>
          </w:p>
          <w:p w14:paraId="2EDCAE68" w14:textId="77777777" w:rsidR="00C9088E" w:rsidRPr="00EA576F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EA576F">
              <w:rPr>
                <w:color w:val="000000" w:themeColor="text1"/>
                <w:sz w:val="20"/>
                <w:szCs w:val="20"/>
              </w:rPr>
              <w:t>wykluczenie ciąży i okresu karmienia piersią.</w:t>
            </w:r>
          </w:p>
          <w:p w14:paraId="631B9A61" w14:textId="77777777" w:rsidR="00C9088E" w:rsidRPr="00973771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Powyższe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kryteria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kwalifikacji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muszą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być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spełnione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łącznie.</w:t>
            </w:r>
          </w:p>
          <w:p w14:paraId="34FE69D5" w14:textId="77777777" w:rsidR="00C9088E" w:rsidRPr="00973771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Ponadto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kwalifikowani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są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również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pacjenci</w:t>
            </w:r>
            <w:r>
              <w:rPr>
                <w:sz w:val="20"/>
                <w:szCs w:val="20"/>
              </w:rPr>
              <w:t xml:space="preserve"> wymagający kontynuacji leczenia</w:t>
            </w:r>
            <w:r w:rsidRPr="0097377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którzy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byli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leczeni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A576F">
              <w:rPr>
                <w:i/>
                <w:iCs/>
                <w:sz w:val="20"/>
                <w:szCs w:val="20"/>
              </w:rPr>
              <w:t>durwalumabem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ramach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innego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sposobu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finansowania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terapii,</w:t>
            </w:r>
            <w:r>
              <w:rPr>
                <w:sz w:val="20"/>
                <w:szCs w:val="20"/>
              </w:rPr>
              <w:t xml:space="preserve"> za wyjątkiem trwających badań klinicznych, </w:t>
            </w:r>
            <w:r w:rsidRPr="00973771">
              <w:rPr>
                <w:sz w:val="20"/>
                <w:szCs w:val="20"/>
              </w:rPr>
              <w:t>pod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warunkiem,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że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chwili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rozpoczęcia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spełniali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kryteria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kwalifikacji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lekowego.</w:t>
            </w:r>
            <w:r>
              <w:rPr>
                <w:sz w:val="20"/>
                <w:szCs w:val="20"/>
              </w:rPr>
              <w:t xml:space="preserve"> </w:t>
            </w:r>
          </w:p>
          <w:p w14:paraId="1F2EEE1E" w14:textId="77777777" w:rsidR="00C9088E" w:rsidRPr="00973771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671B14A" w14:textId="77777777" w:rsidR="00C9088E" w:rsidRPr="00C8288B" w:rsidRDefault="00C9088E" w:rsidP="00A60601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C8288B">
              <w:rPr>
                <w:b/>
                <w:bCs/>
                <w:sz w:val="20"/>
                <w:szCs w:val="20"/>
              </w:rPr>
              <w:t>Określenie czasu leczenia w programie</w:t>
            </w:r>
          </w:p>
          <w:p w14:paraId="32AB4D28" w14:textId="77777777" w:rsidR="00C9088E" w:rsidRPr="00973771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trwa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czasu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podjęcia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lekarza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prowadzącego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decyzji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wyłączeniu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świadczeniobiorcy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programu,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zgodnie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kryteriami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wyłączenia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>.</w:t>
            </w:r>
          </w:p>
          <w:p w14:paraId="70BBD93C" w14:textId="77777777" w:rsidR="00C9088E" w:rsidRPr="00973771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189CD9A" w14:textId="77777777" w:rsidR="00C9088E" w:rsidRPr="00973771" w:rsidRDefault="00C9088E" w:rsidP="00A60601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973771">
              <w:rPr>
                <w:b/>
                <w:bCs/>
                <w:sz w:val="20"/>
                <w:szCs w:val="20"/>
              </w:rPr>
              <w:t>Kryteria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73771">
              <w:rPr>
                <w:b/>
                <w:bCs/>
                <w:sz w:val="20"/>
                <w:szCs w:val="20"/>
              </w:rPr>
              <w:t>wyłączenia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73771">
              <w:rPr>
                <w:b/>
                <w:bCs/>
                <w:sz w:val="20"/>
                <w:szCs w:val="20"/>
              </w:rPr>
              <w:t>z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73771">
              <w:rPr>
                <w:b/>
                <w:bCs/>
                <w:sz w:val="20"/>
                <w:szCs w:val="20"/>
              </w:rPr>
              <w:t>programu</w:t>
            </w:r>
          </w:p>
          <w:p w14:paraId="4EA1820F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C8288B">
              <w:rPr>
                <w:sz w:val="20"/>
                <w:szCs w:val="20"/>
              </w:rPr>
              <w:t>progresja choroby oceniona zgodnie z aktualnie</w:t>
            </w:r>
            <w:r>
              <w:rPr>
                <w:sz w:val="20"/>
                <w:szCs w:val="20"/>
              </w:rPr>
              <w:t xml:space="preserve"> </w:t>
            </w:r>
            <w:r w:rsidRPr="00C8288B">
              <w:rPr>
                <w:sz w:val="20"/>
                <w:szCs w:val="20"/>
              </w:rPr>
              <w:t>obowiązującymi kryteriami RECIST;</w:t>
            </w:r>
          </w:p>
          <w:p w14:paraId="25074FB2" w14:textId="77777777" w:rsidR="00C9088E" w:rsidRPr="007E253B" w:rsidRDefault="00C9088E" w:rsidP="00A60601">
            <w:pPr>
              <w:pStyle w:val="Akapitzlist"/>
              <w:numPr>
                <w:ilvl w:val="3"/>
                <w:numId w:val="35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7E253B">
              <w:rPr>
                <w:bCs/>
                <w:sz w:val="20"/>
                <w:szCs w:val="20"/>
              </w:rPr>
              <w:t>pogorszenie jakości życia o istotnym znaczeniu według oceny lekarza;</w:t>
            </w:r>
          </w:p>
          <w:p w14:paraId="248915C4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F3D40">
              <w:rPr>
                <w:sz w:val="20"/>
                <w:szCs w:val="20"/>
              </w:rPr>
              <w:t>wystąpienie nieakceptowalnej lub zagrażającej życiu toksyczności, pomimo zastosowania adekwatnego postępowania</w:t>
            </w:r>
            <w:r>
              <w:rPr>
                <w:sz w:val="20"/>
                <w:szCs w:val="20"/>
              </w:rPr>
              <w:t>;</w:t>
            </w:r>
          </w:p>
          <w:p w14:paraId="3A14B939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F3D40">
              <w:rPr>
                <w:sz w:val="20"/>
                <w:szCs w:val="20"/>
              </w:rPr>
              <w:t>wystąpienie objawów nadwrażliwości na którąkolwiek substancję czynną lub substancję pomocniczą</w:t>
            </w:r>
            <w:r>
              <w:rPr>
                <w:sz w:val="20"/>
                <w:szCs w:val="20"/>
              </w:rPr>
              <w:t>;</w:t>
            </w:r>
          </w:p>
          <w:p w14:paraId="4812A250" w14:textId="77777777" w:rsidR="00C9088E" w:rsidRPr="00C8288B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F3D40">
              <w:rPr>
                <w:sz w:val="20"/>
                <w:szCs w:val="20"/>
              </w:rPr>
              <w:lastRenderedPageBreak/>
              <w:t>wystąpienie chorób lub stanów, które w opinii lekarza prowadzącego uniemożliwiają dalsze prowadzenie leczenia</w:t>
            </w:r>
            <w:r>
              <w:rPr>
                <w:sz w:val="20"/>
                <w:szCs w:val="20"/>
              </w:rPr>
              <w:t>;</w:t>
            </w:r>
          </w:p>
          <w:p w14:paraId="0DE9B267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pogorszenie stanu sprawności do stopnia 2-4 według skali ECOG;</w:t>
            </w:r>
          </w:p>
          <w:p w14:paraId="38A679A4" w14:textId="77777777" w:rsidR="00EB08A0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F3D40">
              <w:rPr>
                <w:sz w:val="20"/>
                <w:szCs w:val="20"/>
              </w:rPr>
              <w:t>okres ciąży lub karmienia piersią;</w:t>
            </w:r>
          </w:p>
          <w:p w14:paraId="1EF0CBB7" w14:textId="77777777" w:rsidR="00C9088E" w:rsidRDefault="00C9088E" w:rsidP="00A60601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B08A0">
              <w:rPr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0DC2AC33" w14:textId="3746F80A" w:rsidR="00A60601" w:rsidRPr="00A60601" w:rsidRDefault="00A60601" w:rsidP="00A60601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F980" w14:textId="77777777" w:rsidR="00C9088E" w:rsidRDefault="00C9088E" w:rsidP="00C9088E">
            <w:pPr>
              <w:pStyle w:val="Akapitzlist"/>
              <w:numPr>
                <w:ilvl w:val="0"/>
                <w:numId w:val="36"/>
              </w:numPr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82327">
              <w:rPr>
                <w:b/>
                <w:color w:val="000000" w:themeColor="text1"/>
                <w:sz w:val="20"/>
                <w:szCs w:val="20"/>
              </w:rPr>
              <w:lastRenderedPageBreak/>
              <w:t>Dawkowanie</w:t>
            </w:r>
          </w:p>
          <w:p w14:paraId="3D76C7D8" w14:textId="354F9F51" w:rsidR="00C9088E" w:rsidRDefault="00C9088E" w:rsidP="00A6060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Zalecana dawka początkowa </w:t>
            </w:r>
            <w:proofErr w:type="spellStart"/>
            <w:r w:rsidRPr="00EA576F">
              <w:rPr>
                <w:b/>
                <w:bCs/>
                <w:i/>
                <w:iCs/>
                <w:sz w:val="20"/>
                <w:szCs w:val="20"/>
              </w:rPr>
              <w:t>durwalumabu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EA576F">
              <w:rPr>
                <w:sz w:val="20"/>
                <w:szCs w:val="20"/>
              </w:rPr>
              <w:t>wynosi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EA576F">
              <w:rPr>
                <w:b/>
                <w:bCs/>
                <w:sz w:val="20"/>
                <w:szCs w:val="20"/>
              </w:rPr>
              <w:t>1 500 mg</w:t>
            </w:r>
            <w:r>
              <w:rPr>
                <w:sz w:val="20"/>
                <w:szCs w:val="20"/>
              </w:rPr>
              <w:t xml:space="preserve"> podawana w 1. dniu cyklu w skojarzeniu z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EA576F">
              <w:rPr>
                <w:b/>
                <w:bCs/>
                <w:i/>
                <w:iCs/>
                <w:sz w:val="20"/>
                <w:szCs w:val="20"/>
              </w:rPr>
              <w:t>gemcytabiną</w:t>
            </w:r>
            <w:proofErr w:type="spellEnd"/>
            <w:r w:rsidRPr="00E64FE5">
              <w:rPr>
                <w:sz w:val="20"/>
                <w:szCs w:val="20"/>
              </w:rPr>
              <w:t xml:space="preserve"> w dawce </w:t>
            </w:r>
            <w:r w:rsidRPr="00EA576F">
              <w:rPr>
                <w:b/>
                <w:bCs/>
                <w:sz w:val="20"/>
                <w:szCs w:val="20"/>
              </w:rPr>
              <w:t>1 000 mg/m</w:t>
            </w:r>
            <w:r w:rsidRPr="00EA576F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E64FE5">
              <w:rPr>
                <w:sz w:val="20"/>
                <w:szCs w:val="20"/>
              </w:rPr>
              <w:t xml:space="preserve"> p</w:t>
            </w:r>
            <w:r>
              <w:rPr>
                <w:sz w:val="20"/>
                <w:szCs w:val="20"/>
              </w:rPr>
              <w:t>owierzchni ciała</w:t>
            </w:r>
            <w:r w:rsidRPr="00E64FE5">
              <w:rPr>
                <w:sz w:val="20"/>
                <w:szCs w:val="20"/>
              </w:rPr>
              <w:t xml:space="preserve"> </w:t>
            </w:r>
            <w:r w:rsidR="00F54B63">
              <w:rPr>
                <w:sz w:val="20"/>
                <w:szCs w:val="20"/>
              </w:rPr>
              <w:t>(</w:t>
            </w:r>
            <w:proofErr w:type="spellStart"/>
            <w:r w:rsidR="00F54B63">
              <w:rPr>
                <w:sz w:val="20"/>
                <w:szCs w:val="20"/>
              </w:rPr>
              <w:t>p.c</w:t>
            </w:r>
            <w:proofErr w:type="spellEnd"/>
            <w:r w:rsidR="00F54B63">
              <w:rPr>
                <w:sz w:val="20"/>
                <w:szCs w:val="20"/>
              </w:rPr>
              <w:t xml:space="preserve">.) </w:t>
            </w:r>
            <w:r w:rsidRPr="00E64FE5">
              <w:rPr>
                <w:sz w:val="20"/>
                <w:szCs w:val="20"/>
              </w:rPr>
              <w:t xml:space="preserve">i </w:t>
            </w:r>
            <w:proofErr w:type="spellStart"/>
            <w:r w:rsidRPr="00EA576F">
              <w:rPr>
                <w:b/>
                <w:bCs/>
                <w:i/>
                <w:iCs/>
                <w:sz w:val="20"/>
                <w:szCs w:val="20"/>
              </w:rPr>
              <w:t>cisplatyną</w:t>
            </w:r>
            <w:proofErr w:type="spellEnd"/>
            <w:r w:rsidRPr="00E64FE5">
              <w:rPr>
                <w:sz w:val="20"/>
                <w:szCs w:val="20"/>
              </w:rPr>
              <w:t xml:space="preserve"> w dawce </w:t>
            </w:r>
            <w:r w:rsidRPr="00EA576F">
              <w:rPr>
                <w:b/>
                <w:bCs/>
                <w:sz w:val="20"/>
                <w:szCs w:val="20"/>
              </w:rPr>
              <w:t>25 mg/</w:t>
            </w:r>
            <w:r w:rsidRPr="00796128">
              <w:rPr>
                <w:b/>
                <w:bCs/>
                <w:sz w:val="20"/>
                <w:szCs w:val="20"/>
              </w:rPr>
              <w:t xml:space="preserve"> m</w:t>
            </w:r>
            <w:r w:rsidRPr="00796128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E64FE5">
              <w:rPr>
                <w:sz w:val="20"/>
                <w:szCs w:val="20"/>
              </w:rPr>
              <w:t xml:space="preserve"> </w:t>
            </w:r>
            <w:proofErr w:type="spellStart"/>
            <w:r w:rsidR="00F54B63">
              <w:rPr>
                <w:sz w:val="20"/>
                <w:szCs w:val="20"/>
              </w:rPr>
              <w:t>p.c</w:t>
            </w:r>
            <w:proofErr w:type="spellEnd"/>
            <w:r w:rsidR="00F54B6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podawanymi w 1. i 8. dniu cyklu.</w:t>
            </w:r>
          </w:p>
          <w:p w14:paraId="10DD7141" w14:textId="49BF14DC" w:rsidR="00C9088E" w:rsidRDefault="007B430D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Cykle leczenia podawane są co </w:t>
            </w:r>
            <w:r w:rsidR="00C9088E" w:rsidRPr="00D30DD5">
              <w:rPr>
                <w:b/>
                <w:bCs/>
                <w:sz w:val="20"/>
                <w:szCs w:val="20"/>
              </w:rPr>
              <w:t>21 dni (3 tygodnie)</w:t>
            </w:r>
            <w:r w:rsidR="00C9088E">
              <w:rPr>
                <w:sz w:val="20"/>
                <w:szCs w:val="20"/>
              </w:rPr>
              <w:t>.</w:t>
            </w:r>
          </w:p>
          <w:p w14:paraId="1A4E7E8B" w14:textId="53A05124" w:rsidR="00C9088E" w:rsidRDefault="0074152C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4152C">
              <w:rPr>
                <w:sz w:val="20"/>
                <w:szCs w:val="20"/>
              </w:rPr>
              <w:t xml:space="preserve">Należy podać 8, tj. maksymalną liczbę 21-dniowych cykli chemioterapii </w:t>
            </w:r>
            <w:proofErr w:type="spellStart"/>
            <w:r w:rsidRPr="003F48FA">
              <w:rPr>
                <w:i/>
                <w:iCs/>
                <w:sz w:val="20"/>
                <w:szCs w:val="20"/>
              </w:rPr>
              <w:t>cisplatyną</w:t>
            </w:r>
            <w:proofErr w:type="spellEnd"/>
            <w:r w:rsidRPr="0074152C">
              <w:rPr>
                <w:sz w:val="20"/>
                <w:szCs w:val="20"/>
              </w:rPr>
              <w:t xml:space="preserve"> i </w:t>
            </w:r>
            <w:proofErr w:type="spellStart"/>
            <w:r w:rsidRPr="003F48FA">
              <w:rPr>
                <w:i/>
                <w:iCs/>
                <w:sz w:val="20"/>
                <w:szCs w:val="20"/>
              </w:rPr>
              <w:t>gemcytabiną</w:t>
            </w:r>
            <w:proofErr w:type="spellEnd"/>
            <w:r w:rsidRPr="0074152C">
              <w:rPr>
                <w:sz w:val="20"/>
                <w:szCs w:val="20"/>
              </w:rPr>
              <w:t>. Wcześniejsze zakończenie chemioterapii może mieć miejsce po wystąpieniu nieakceptowalnej toksyczności</w:t>
            </w:r>
            <w:r w:rsidR="00C9088E">
              <w:rPr>
                <w:sz w:val="20"/>
                <w:szCs w:val="20"/>
              </w:rPr>
              <w:t>.</w:t>
            </w:r>
          </w:p>
          <w:p w14:paraId="50594940" w14:textId="42AB8B6D" w:rsidR="00C9088E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Zalecana dawka </w:t>
            </w:r>
            <w:proofErr w:type="spellStart"/>
            <w:r w:rsidRPr="00EA576F">
              <w:rPr>
                <w:b/>
                <w:bCs/>
                <w:i/>
                <w:iCs/>
                <w:sz w:val="20"/>
                <w:szCs w:val="20"/>
              </w:rPr>
              <w:t>durwalumabu</w:t>
            </w:r>
            <w:proofErr w:type="spellEnd"/>
            <w:r>
              <w:rPr>
                <w:sz w:val="20"/>
                <w:szCs w:val="20"/>
              </w:rPr>
              <w:t xml:space="preserve"> stosowanego w </w:t>
            </w:r>
            <w:proofErr w:type="spellStart"/>
            <w:r>
              <w:rPr>
                <w:sz w:val="20"/>
                <w:szCs w:val="20"/>
              </w:rPr>
              <w:t>monoterapii</w:t>
            </w:r>
            <w:proofErr w:type="spellEnd"/>
            <w:r>
              <w:rPr>
                <w:sz w:val="20"/>
                <w:szCs w:val="20"/>
              </w:rPr>
              <w:t xml:space="preserve"> po zakończeniu podawania chemioterapii wynosi </w:t>
            </w:r>
            <w:r w:rsidRPr="003E394C">
              <w:rPr>
                <w:b/>
                <w:bCs/>
                <w:sz w:val="20"/>
                <w:szCs w:val="20"/>
              </w:rPr>
              <w:t>1 500 mg</w:t>
            </w:r>
            <w:r w:rsidRPr="00D30DD5">
              <w:rPr>
                <w:b/>
                <w:bCs/>
                <w:sz w:val="20"/>
                <w:szCs w:val="20"/>
              </w:rPr>
              <w:t xml:space="preserve"> co 4 tygodnie</w:t>
            </w:r>
            <w:r>
              <w:rPr>
                <w:sz w:val="20"/>
                <w:szCs w:val="20"/>
              </w:rPr>
              <w:t>.</w:t>
            </w:r>
          </w:p>
          <w:p w14:paraId="73F1F17B" w14:textId="77777777" w:rsidR="00773CA7" w:rsidRDefault="00773CA7" w:rsidP="00A60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C5C0348" w14:textId="77777777" w:rsidR="00C9088E" w:rsidRPr="00EA576F" w:rsidRDefault="00C9088E" w:rsidP="00A60601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A576F">
              <w:rPr>
                <w:b/>
                <w:color w:val="000000" w:themeColor="text1"/>
                <w:sz w:val="20"/>
                <w:szCs w:val="20"/>
              </w:rPr>
              <w:t>Modyfikacja dawkowania</w:t>
            </w:r>
          </w:p>
          <w:p w14:paraId="40F68B44" w14:textId="77777777" w:rsidR="00C9088E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E30D66">
              <w:rPr>
                <w:sz w:val="20"/>
                <w:szCs w:val="20"/>
              </w:rPr>
              <w:t>Sposób podawania oraz ewentualne czasowe wstrzymania leczenia, prowadzone zgodnie z aktualn</w:t>
            </w:r>
            <w:r>
              <w:rPr>
                <w:sz w:val="20"/>
                <w:szCs w:val="20"/>
              </w:rPr>
              <w:t>ymi</w:t>
            </w:r>
            <w:r w:rsidRPr="00E30D66">
              <w:rPr>
                <w:sz w:val="20"/>
                <w:szCs w:val="20"/>
              </w:rPr>
              <w:t xml:space="preserve"> Charakterystyk</w:t>
            </w:r>
            <w:r>
              <w:rPr>
                <w:sz w:val="20"/>
                <w:szCs w:val="20"/>
              </w:rPr>
              <w:t xml:space="preserve">ami </w:t>
            </w:r>
            <w:r w:rsidRPr="00E30D66">
              <w:rPr>
                <w:sz w:val="20"/>
                <w:szCs w:val="20"/>
              </w:rPr>
              <w:t>Produktu Leczniczego</w:t>
            </w:r>
            <w:r>
              <w:rPr>
                <w:sz w:val="20"/>
                <w:szCs w:val="20"/>
              </w:rPr>
              <w:t xml:space="preserve"> </w:t>
            </w:r>
            <w:r w:rsidRPr="00E30D66">
              <w:rPr>
                <w:sz w:val="20"/>
                <w:szCs w:val="20"/>
              </w:rPr>
              <w:t>(</w:t>
            </w:r>
            <w:proofErr w:type="spellStart"/>
            <w:r w:rsidRPr="00E30D66">
              <w:rPr>
                <w:sz w:val="20"/>
                <w:szCs w:val="20"/>
              </w:rPr>
              <w:t>ChPL</w:t>
            </w:r>
            <w:proofErr w:type="spellEnd"/>
            <w:r w:rsidRPr="00E30D6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  <w:p w14:paraId="4D498CB0" w14:textId="77777777" w:rsidR="00C9088E" w:rsidRPr="00EA576F" w:rsidRDefault="00C9088E" w:rsidP="00A60601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sz w:val="20"/>
                <w:szCs w:val="20"/>
              </w:rPr>
            </w:pPr>
            <w:r w:rsidRPr="00E30D66">
              <w:rPr>
                <w:sz w:val="20"/>
                <w:szCs w:val="20"/>
              </w:rPr>
              <w:t xml:space="preserve">Dopuszczalne jest zmniejszenie dawki zgodnie z aktualną </w:t>
            </w:r>
            <w:proofErr w:type="spellStart"/>
            <w:r w:rsidRPr="00E30D66">
              <w:rPr>
                <w:sz w:val="20"/>
                <w:szCs w:val="20"/>
              </w:rPr>
              <w:t>ChPL</w:t>
            </w:r>
            <w:proofErr w:type="spellEnd"/>
            <w:r w:rsidRPr="00E30D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odpowiedniego leku.</w:t>
            </w:r>
          </w:p>
          <w:p w14:paraId="0054DBF3" w14:textId="77777777" w:rsidR="00C9088E" w:rsidRPr="00C7370A" w:rsidRDefault="00C9088E" w:rsidP="00C7370A">
            <w:pPr>
              <w:spacing w:before="120"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0464" w14:textId="77777777" w:rsidR="00C9088E" w:rsidRPr="003F4957" w:rsidRDefault="00C9088E" w:rsidP="00C9088E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F4957">
              <w:rPr>
                <w:b/>
                <w:bCs/>
                <w:sz w:val="20"/>
                <w:szCs w:val="20"/>
              </w:rPr>
              <w:lastRenderedPageBreak/>
              <w:t>Badania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F4957">
              <w:rPr>
                <w:b/>
                <w:bCs/>
                <w:sz w:val="20"/>
                <w:szCs w:val="20"/>
              </w:rPr>
              <w:t>przy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F4957">
              <w:rPr>
                <w:b/>
                <w:bCs/>
                <w:sz w:val="20"/>
                <w:szCs w:val="20"/>
              </w:rPr>
              <w:t>kwalifikacji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217D4A2B" w14:textId="77777777" w:rsidR="00C9088E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FE07E9">
              <w:rPr>
                <w:sz w:val="20"/>
                <w:szCs w:val="20"/>
              </w:rPr>
              <w:t xml:space="preserve">histologiczne lub cytologiczne potwierdzenie </w:t>
            </w:r>
            <w:r>
              <w:rPr>
                <w:sz w:val="20"/>
                <w:szCs w:val="20"/>
              </w:rPr>
              <w:t>gruczolakoraka dróg żółciowych;</w:t>
            </w:r>
          </w:p>
          <w:p w14:paraId="5E93254B" w14:textId="77777777" w:rsidR="00C9088E" w:rsidRPr="00973771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morfologia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krwi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rozmazem;</w:t>
            </w:r>
          </w:p>
          <w:p w14:paraId="4E0A87A3" w14:textId="77777777" w:rsidR="00C9088E" w:rsidRPr="00973771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badanie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ogólne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moczu;</w:t>
            </w:r>
          </w:p>
          <w:p w14:paraId="05024672" w14:textId="77777777" w:rsidR="00C9088E" w:rsidRPr="00773CA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73CA7">
              <w:rPr>
                <w:sz w:val="20"/>
                <w:szCs w:val="20"/>
              </w:rPr>
              <w:t>oznaczenia stężenia kreatyniny w surowicy;</w:t>
            </w:r>
          </w:p>
          <w:p w14:paraId="435528CE" w14:textId="77777777" w:rsidR="00C9088E" w:rsidRPr="00773CA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73CA7">
              <w:rPr>
                <w:sz w:val="20"/>
                <w:szCs w:val="20"/>
              </w:rPr>
              <w:t>oznaczenie stężenia bilirubiny w surowicy;</w:t>
            </w:r>
          </w:p>
          <w:p w14:paraId="350B32D0" w14:textId="77777777" w:rsidR="00C9088E" w:rsidRPr="00773CA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73CA7">
              <w:rPr>
                <w:sz w:val="20"/>
                <w:szCs w:val="20"/>
              </w:rPr>
              <w:t>oznaczenie aktywności aminotransferazy alaninowej;</w:t>
            </w:r>
          </w:p>
          <w:p w14:paraId="09A93673" w14:textId="77777777" w:rsidR="00C9088E" w:rsidRPr="00773CA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73CA7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773CA7">
              <w:rPr>
                <w:sz w:val="20"/>
                <w:szCs w:val="20"/>
              </w:rPr>
              <w:t>asparaginianowej</w:t>
            </w:r>
            <w:proofErr w:type="spellEnd"/>
            <w:r w:rsidRPr="00773CA7">
              <w:rPr>
                <w:sz w:val="20"/>
                <w:szCs w:val="20"/>
              </w:rPr>
              <w:t>;</w:t>
            </w:r>
          </w:p>
          <w:p w14:paraId="3B9A87EF" w14:textId="77777777" w:rsidR="00C9088E" w:rsidRPr="00D73C6D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73CA7">
              <w:rPr>
                <w:sz w:val="20"/>
                <w:szCs w:val="20"/>
              </w:rPr>
              <w:t>oznaczenie stężenia fT4 i TSH;</w:t>
            </w:r>
          </w:p>
          <w:p w14:paraId="325DB178" w14:textId="77F40B3E" w:rsidR="00C9088E" w:rsidRPr="00070F15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tomografia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komputerowa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rezonans </w:t>
            </w:r>
            <w:r w:rsidRPr="00973771">
              <w:rPr>
                <w:sz w:val="20"/>
                <w:szCs w:val="20"/>
              </w:rPr>
              <w:t>magnetyczny</w:t>
            </w:r>
            <w:r>
              <w:rPr>
                <w:sz w:val="20"/>
                <w:szCs w:val="20"/>
              </w:rPr>
              <w:t xml:space="preserve"> klatki piersiowej, </w:t>
            </w:r>
            <w:r w:rsidRPr="00973771">
              <w:rPr>
                <w:sz w:val="20"/>
                <w:szCs w:val="20"/>
              </w:rPr>
              <w:t>jamy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brzusznej</w:t>
            </w:r>
            <w:r>
              <w:rPr>
                <w:sz w:val="20"/>
                <w:szCs w:val="20"/>
              </w:rPr>
              <w:t xml:space="preserve"> (RTG klatki </w:t>
            </w:r>
            <w:r w:rsidRPr="00070F15">
              <w:rPr>
                <w:sz w:val="20"/>
                <w:szCs w:val="20"/>
              </w:rPr>
              <w:t>piersiowej</w:t>
            </w:r>
            <w:r w:rsidR="00B20E0C">
              <w:rPr>
                <w:sz w:val="20"/>
                <w:szCs w:val="20"/>
              </w:rPr>
              <w:t xml:space="preserve"> tylko </w:t>
            </w:r>
            <w:r w:rsidR="00B20E0C">
              <w:rPr>
                <w:sz w:val="20"/>
                <w:szCs w:val="20"/>
              </w:rPr>
              <w:lastRenderedPageBreak/>
              <w:t>wtedy</w:t>
            </w:r>
            <w:r w:rsidR="009E2C5D">
              <w:rPr>
                <w:sz w:val="20"/>
                <w:szCs w:val="20"/>
              </w:rPr>
              <w:t>,</w:t>
            </w:r>
            <w:r w:rsidRPr="00070F15">
              <w:rPr>
                <w:sz w:val="20"/>
                <w:szCs w:val="20"/>
              </w:rPr>
              <w:t xml:space="preserve"> </w:t>
            </w:r>
            <w:r w:rsidR="009E2C5D">
              <w:rPr>
                <w:sz w:val="20"/>
                <w:szCs w:val="20"/>
              </w:rPr>
              <w:t xml:space="preserve">gdy możliwe jest monitorowanie w taki sposób zmian w płucach </w:t>
            </w:r>
            <w:r w:rsidRPr="00070F15">
              <w:rPr>
                <w:sz w:val="20"/>
                <w:szCs w:val="20"/>
              </w:rPr>
              <w:t>zgodnie z RECIST</w:t>
            </w:r>
            <w:r>
              <w:rPr>
                <w:sz w:val="20"/>
                <w:szCs w:val="20"/>
              </w:rPr>
              <w:t>), inne badania obrazowe w razie wskazań klinicznych</w:t>
            </w:r>
            <w:r w:rsidRPr="00070F15">
              <w:rPr>
                <w:sz w:val="20"/>
                <w:szCs w:val="20"/>
              </w:rPr>
              <w:t xml:space="preserve">; </w:t>
            </w:r>
          </w:p>
          <w:p w14:paraId="4F6E13AC" w14:textId="528CAB63" w:rsidR="00C9088E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E48A9">
              <w:rPr>
                <w:sz w:val="20"/>
                <w:szCs w:val="20"/>
              </w:rPr>
              <w:t>elektrokardiografia (EKG)</w:t>
            </w:r>
            <w:r>
              <w:rPr>
                <w:sz w:val="20"/>
                <w:szCs w:val="20"/>
              </w:rPr>
              <w:t>;</w:t>
            </w:r>
          </w:p>
          <w:p w14:paraId="4CF58779" w14:textId="7997DD43" w:rsidR="00C9088E" w:rsidRPr="00973771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E48A9">
              <w:rPr>
                <w:sz w:val="20"/>
                <w:szCs w:val="20"/>
              </w:rPr>
              <w:t>test ciążowy (u kobiet w wieku rozrodczym)</w:t>
            </w:r>
            <w:r>
              <w:rPr>
                <w:sz w:val="20"/>
                <w:szCs w:val="20"/>
              </w:rPr>
              <w:t>;</w:t>
            </w:r>
          </w:p>
          <w:p w14:paraId="025B0C92" w14:textId="52105903" w:rsidR="00C9088E" w:rsidRPr="00973771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inne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badania</w:t>
            </w:r>
            <w:r>
              <w:rPr>
                <w:sz w:val="20"/>
                <w:szCs w:val="20"/>
              </w:rPr>
              <w:t xml:space="preserve"> laboratoryjne </w:t>
            </w:r>
            <w:r w:rsidRPr="0097377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razie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wskazań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klinicznych.</w:t>
            </w:r>
          </w:p>
          <w:p w14:paraId="79FDE7D2" w14:textId="77777777" w:rsidR="00C9088E" w:rsidRPr="003F4957" w:rsidRDefault="00C9088E" w:rsidP="00773C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F4957">
              <w:rPr>
                <w:sz w:val="20"/>
                <w:szCs w:val="20"/>
              </w:rPr>
              <w:t>Wstępne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badania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obrazowe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muszą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umożliwić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późniejszą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obiektywną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ocenę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odpowiedzi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g </w:t>
            </w:r>
            <w:r w:rsidRPr="003F4957">
              <w:rPr>
                <w:sz w:val="20"/>
                <w:szCs w:val="20"/>
              </w:rPr>
              <w:t>aktualnych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kryteriów</w:t>
            </w:r>
            <w:r>
              <w:rPr>
                <w:sz w:val="20"/>
                <w:szCs w:val="20"/>
              </w:rPr>
              <w:t xml:space="preserve"> </w:t>
            </w:r>
            <w:r w:rsidRPr="003F4957">
              <w:rPr>
                <w:sz w:val="20"/>
                <w:szCs w:val="20"/>
              </w:rPr>
              <w:t>RECIST.</w:t>
            </w:r>
            <w:r>
              <w:rPr>
                <w:sz w:val="20"/>
                <w:szCs w:val="20"/>
              </w:rPr>
              <w:t xml:space="preserve"> </w:t>
            </w:r>
          </w:p>
          <w:p w14:paraId="1CB358A2" w14:textId="77777777" w:rsidR="00C9088E" w:rsidRPr="00973771" w:rsidRDefault="00C9088E" w:rsidP="00773C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75BF447" w14:textId="77777777" w:rsidR="00C9088E" w:rsidRDefault="00C9088E" w:rsidP="00773CA7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F4957">
              <w:rPr>
                <w:b/>
                <w:bCs/>
                <w:sz w:val="20"/>
                <w:szCs w:val="20"/>
              </w:rPr>
              <w:t>Monitorowanie</w:t>
            </w:r>
            <w:r>
              <w:rPr>
                <w:b/>
                <w:bCs/>
                <w:sz w:val="20"/>
                <w:szCs w:val="20"/>
              </w:rPr>
              <w:t xml:space="preserve"> bezpieczeństwa </w:t>
            </w:r>
            <w:r w:rsidRPr="003F4957">
              <w:rPr>
                <w:b/>
                <w:bCs/>
                <w:sz w:val="20"/>
                <w:szCs w:val="20"/>
              </w:rPr>
              <w:t>leczenia</w:t>
            </w:r>
          </w:p>
          <w:p w14:paraId="2C519946" w14:textId="41A55698" w:rsidR="00BB4E0B" w:rsidRPr="00BB4E0B" w:rsidRDefault="00BB4E0B" w:rsidP="00773CA7">
            <w:pPr>
              <w:pStyle w:val="Akapitzlist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EA576F">
              <w:rPr>
                <w:i/>
                <w:iCs/>
                <w:sz w:val="20"/>
                <w:szCs w:val="20"/>
              </w:rPr>
              <w:t>durwalumab</w:t>
            </w:r>
            <w:proofErr w:type="spellEnd"/>
            <w:r w:rsidRPr="00EA576F">
              <w:rPr>
                <w:sz w:val="20"/>
                <w:szCs w:val="20"/>
              </w:rPr>
              <w:t xml:space="preserve"> w skojarzeniu z </w:t>
            </w:r>
            <w:proofErr w:type="spellStart"/>
            <w:r w:rsidRPr="00EA576F">
              <w:rPr>
                <w:i/>
                <w:iCs/>
                <w:sz w:val="20"/>
                <w:szCs w:val="20"/>
              </w:rPr>
              <w:t>gemcytabiną</w:t>
            </w:r>
            <w:proofErr w:type="spellEnd"/>
            <w:r w:rsidRPr="00EA576F">
              <w:rPr>
                <w:sz w:val="20"/>
                <w:szCs w:val="20"/>
              </w:rPr>
              <w:t xml:space="preserve"> i </w:t>
            </w:r>
            <w:proofErr w:type="spellStart"/>
            <w:r w:rsidRPr="00EA576F">
              <w:rPr>
                <w:i/>
                <w:iCs/>
                <w:sz w:val="20"/>
                <w:szCs w:val="20"/>
              </w:rPr>
              <w:t>cisplatyną</w:t>
            </w:r>
            <w:proofErr w:type="spellEnd"/>
          </w:p>
          <w:p w14:paraId="4F5C6303" w14:textId="4FC5A414" w:rsidR="00B12E88" w:rsidRDefault="00B12E88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przed każdym</w:t>
            </w:r>
            <w:r w:rsidR="006427B0">
              <w:rPr>
                <w:sz w:val="20"/>
                <w:szCs w:val="20"/>
              </w:rPr>
              <w:t xml:space="preserve"> podaniem </w:t>
            </w:r>
            <w:proofErr w:type="spellStart"/>
            <w:r w:rsidR="006427B0" w:rsidRPr="003F48FA">
              <w:rPr>
                <w:i/>
                <w:iCs/>
                <w:sz w:val="20"/>
                <w:szCs w:val="20"/>
              </w:rPr>
              <w:t>gemcytabiny</w:t>
            </w:r>
            <w:proofErr w:type="spellEnd"/>
            <w:r w:rsidR="006427B0">
              <w:rPr>
                <w:sz w:val="20"/>
                <w:szCs w:val="20"/>
              </w:rPr>
              <w:t xml:space="preserve"> i </w:t>
            </w:r>
            <w:proofErr w:type="spellStart"/>
            <w:r w:rsidR="006427B0" w:rsidRPr="003F48FA">
              <w:rPr>
                <w:i/>
                <w:iCs/>
                <w:sz w:val="20"/>
                <w:szCs w:val="20"/>
              </w:rPr>
              <w:t>cisplatyny</w:t>
            </w:r>
            <w:proofErr w:type="spellEnd"/>
            <w:r w:rsidR="00BB4E0B">
              <w:rPr>
                <w:sz w:val="20"/>
                <w:szCs w:val="20"/>
              </w:rPr>
              <w:t>:</w:t>
            </w:r>
          </w:p>
          <w:p w14:paraId="7E4CFC87" w14:textId="77777777" w:rsidR="00B12E88" w:rsidRDefault="00C9088E" w:rsidP="00773CA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morfologia krwi z rozmazem;</w:t>
            </w:r>
          </w:p>
          <w:p w14:paraId="600653C7" w14:textId="77777777" w:rsidR="00B12E88" w:rsidRDefault="00C9088E" w:rsidP="00773CA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oznaczenie stężenia kreatyniny w surowicy;</w:t>
            </w:r>
          </w:p>
          <w:p w14:paraId="192EE840" w14:textId="77777777" w:rsidR="00B12E88" w:rsidRDefault="00C9088E" w:rsidP="00773CA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oznaczenie stężenia bilirubiny w surowicy;</w:t>
            </w:r>
          </w:p>
          <w:p w14:paraId="5E9CEAE7" w14:textId="77777777" w:rsidR="00B12E88" w:rsidRDefault="00C9088E" w:rsidP="00773CA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oznaczenie aktywności aminotransferazy alaninowej;</w:t>
            </w:r>
          </w:p>
          <w:p w14:paraId="629E37C0" w14:textId="77777777" w:rsidR="00B12E88" w:rsidRDefault="00C9088E" w:rsidP="00773CA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B12E88">
              <w:rPr>
                <w:sz w:val="20"/>
                <w:szCs w:val="20"/>
              </w:rPr>
              <w:t>asparaginianowej</w:t>
            </w:r>
            <w:proofErr w:type="spellEnd"/>
            <w:r w:rsidRPr="00B12E88">
              <w:rPr>
                <w:sz w:val="20"/>
                <w:szCs w:val="20"/>
              </w:rPr>
              <w:t>;</w:t>
            </w:r>
          </w:p>
          <w:p w14:paraId="1EB74E07" w14:textId="13AF98D3" w:rsidR="00BB4E0B" w:rsidRPr="00BB4E0B" w:rsidRDefault="00BB4E0B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EA576F">
              <w:rPr>
                <w:sz w:val="20"/>
                <w:szCs w:val="20"/>
              </w:rPr>
              <w:t>co 12 tygodni</w:t>
            </w:r>
            <w:r>
              <w:rPr>
                <w:sz w:val="20"/>
                <w:szCs w:val="20"/>
              </w:rPr>
              <w:t>:</w:t>
            </w:r>
          </w:p>
          <w:p w14:paraId="0F0707B5" w14:textId="77777777" w:rsidR="00B12E88" w:rsidRDefault="00C9088E" w:rsidP="00986361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oznaczenie stężenia fT4 i TSH;</w:t>
            </w:r>
          </w:p>
          <w:p w14:paraId="252180E7" w14:textId="77777777" w:rsidR="00BB4E0B" w:rsidRDefault="00C9088E" w:rsidP="00986361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B12E88">
              <w:rPr>
                <w:sz w:val="20"/>
                <w:szCs w:val="20"/>
              </w:rPr>
              <w:t>elektrokardiografia (EKG);</w:t>
            </w:r>
          </w:p>
          <w:p w14:paraId="2B44B233" w14:textId="61F6959E" w:rsidR="00C9088E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BB4E0B">
              <w:rPr>
                <w:sz w:val="20"/>
                <w:szCs w:val="20"/>
              </w:rPr>
              <w:t>inne badania w razie wskazań klinicznych</w:t>
            </w:r>
            <w:r w:rsidR="00BB4E0B">
              <w:rPr>
                <w:sz w:val="20"/>
                <w:szCs w:val="20"/>
              </w:rPr>
              <w:t>.</w:t>
            </w:r>
          </w:p>
          <w:p w14:paraId="5CF756BD" w14:textId="77777777" w:rsidR="00BB4E0B" w:rsidRPr="00BB4E0B" w:rsidRDefault="00BB4E0B" w:rsidP="00773CA7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1068"/>
              <w:contextualSpacing w:val="0"/>
              <w:jc w:val="both"/>
              <w:rPr>
                <w:sz w:val="20"/>
                <w:szCs w:val="20"/>
              </w:rPr>
            </w:pPr>
          </w:p>
          <w:p w14:paraId="4522179C" w14:textId="24AE3BDE" w:rsidR="00B12E88" w:rsidRPr="00BB4E0B" w:rsidRDefault="00B12E88" w:rsidP="00773CA7">
            <w:pPr>
              <w:pStyle w:val="Akapitzlist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BB4E0B">
              <w:rPr>
                <w:i/>
                <w:iCs/>
                <w:sz w:val="20"/>
                <w:szCs w:val="20"/>
              </w:rPr>
              <w:t>durwalumab</w:t>
            </w:r>
            <w:proofErr w:type="spellEnd"/>
            <w:r w:rsidRPr="00BB4E0B">
              <w:rPr>
                <w:sz w:val="20"/>
                <w:szCs w:val="20"/>
              </w:rPr>
              <w:t xml:space="preserve"> w </w:t>
            </w:r>
            <w:proofErr w:type="spellStart"/>
            <w:r w:rsidRPr="00BB4E0B">
              <w:rPr>
                <w:sz w:val="20"/>
                <w:szCs w:val="20"/>
              </w:rPr>
              <w:t>monoterapii</w:t>
            </w:r>
            <w:proofErr w:type="spellEnd"/>
            <w:r w:rsidRPr="00BB4E0B">
              <w:rPr>
                <w:sz w:val="20"/>
                <w:szCs w:val="20"/>
              </w:rPr>
              <w:t xml:space="preserve"> badania </w:t>
            </w:r>
            <w:r w:rsidR="00BF5DF5" w:rsidRPr="00BB4E0B">
              <w:rPr>
                <w:sz w:val="20"/>
                <w:szCs w:val="20"/>
              </w:rPr>
              <w:t>od</w:t>
            </w:r>
            <w:r w:rsidRPr="00BB4E0B">
              <w:rPr>
                <w:sz w:val="20"/>
                <w:szCs w:val="20"/>
              </w:rPr>
              <w:t xml:space="preserve"> a)</w:t>
            </w:r>
            <w:r w:rsidR="00BF5DF5" w:rsidRPr="00BB4E0B">
              <w:rPr>
                <w:sz w:val="20"/>
                <w:szCs w:val="20"/>
              </w:rPr>
              <w:t xml:space="preserve"> do </w:t>
            </w:r>
            <w:r w:rsidRPr="00BB4E0B">
              <w:rPr>
                <w:sz w:val="20"/>
                <w:szCs w:val="20"/>
              </w:rPr>
              <w:t>g) wykonuje się nie rzadziej niż co 12 tygodni</w:t>
            </w:r>
            <w:r w:rsidR="001C2D3E">
              <w:rPr>
                <w:sz w:val="20"/>
                <w:szCs w:val="20"/>
              </w:rPr>
              <w:t xml:space="preserve"> oraz inne badania w razie wskazań klinicznych</w:t>
            </w:r>
            <w:r w:rsidRPr="00BB4E0B">
              <w:rPr>
                <w:sz w:val="20"/>
                <w:szCs w:val="20"/>
              </w:rPr>
              <w:t xml:space="preserve">. </w:t>
            </w:r>
          </w:p>
          <w:p w14:paraId="0D836EF6" w14:textId="77777777" w:rsidR="00C9088E" w:rsidRDefault="00C9088E" w:rsidP="00773CA7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353939">
              <w:rPr>
                <w:bCs/>
                <w:color w:val="000000" w:themeColor="text1"/>
                <w:sz w:val="20"/>
                <w:szCs w:val="20"/>
              </w:rPr>
              <w:t>Ponadto, badania monitorujące bezpieczeństwo leczenia należy wykonać zawsze w przypadku wskazań klinicznych.</w:t>
            </w:r>
          </w:p>
          <w:p w14:paraId="06448619" w14:textId="77777777" w:rsidR="00C9088E" w:rsidRDefault="00C9088E" w:rsidP="00773CA7">
            <w:pPr>
              <w:spacing w:after="60" w:line="276" w:lineRule="auto"/>
              <w:rPr>
                <w:b/>
                <w:bCs/>
                <w:sz w:val="20"/>
                <w:szCs w:val="20"/>
              </w:rPr>
            </w:pPr>
          </w:p>
          <w:p w14:paraId="0DD91F70" w14:textId="77777777" w:rsidR="00C9088E" w:rsidRPr="00C0134A" w:rsidRDefault="00C9088E" w:rsidP="00773CA7">
            <w:pPr>
              <w:pStyle w:val="Akapitzlist"/>
              <w:numPr>
                <w:ilvl w:val="0"/>
                <w:numId w:val="37"/>
              </w:numPr>
              <w:spacing w:after="60" w:line="276" w:lineRule="auto"/>
              <w:contextualSpacing w:val="0"/>
              <w:rPr>
                <w:color w:val="000000" w:themeColor="text1"/>
              </w:rPr>
            </w:pPr>
            <w:r w:rsidRPr="00EA576F">
              <w:rPr>
                <w:b/>
                <w:bCs/>
                <w:sz w:val="20"/>
                <w:szCs w:val="20"/>
              </w:rPr>
              <w:lastRenderedPageBreak/>
              <w:t>Monitorowanie skuteczności leczenia</w:t>
            </w:r>
          </w:p>
          <w:p w14:paraId="21E97BCB" w14:textId="65027E60" w:rsidR="00C9088E" w:rsidRDefault="00935884" w:rsidP="00773CA7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C9088E" w:rsidRPr="00782327">
              <w:rPr>
                <w:bCs/>
                <w:color w:val="000000" w:themeColor="text1"/>
                <w:sz w:val="20"/>
                <w:szCs w:val="20"/>
              </w:rPr>
              <w:t xml:space="preserve"> celu monitorowania skuteczności leczenia wykonywane są badania obrazowe konieczne do oceny zmian według aktualnie obowiązujących kryteriów RECIST: </w:t>
            </w:r>
            <w:r w:rsidR="00C9088E" w:rsidRPr="009F397B">
              <w:rPr>
                <w:bCs/>
                <w:color w:val="000000" w:themeColor="text1"/>
                <w:sz w:val="20"/>
                <w:szCs w:val="20"/>
              </w:rPr>
              <w:t xml:space="preserve">tomografia komputerowa lub rezonans </w:t>
            </w:r>
            <w:r w:rsidR="00C9088E">
              <w:rPr>
                <w:bCs/>
                <w:color w:val="000000" w:themeColor="text1"/>
                <w:sz w:val="20"/>
                <w:szCs w:val="20"/>
              </w:rPr>
              <w:t>odpowiednich obszarów ciała lub inne badania w razie wskazań klinicznych.</w:t>
            </w:r>
          </w:p>
          <w:p w14:paraId="153EE35B" w14:textId="77777777" w:rsidR="00C9088E" w:rsidRDefault="00C9088E" w:rsidP="00773CA7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82327">
              <w:rPr>
                <w:bCs/>
                <w:color w:val="000000" w:themeColor="text1"/>
                <w:sz w:val="20"/>
                <w:szCs w:val="20"/>
              </w:rPr>
              <w:t>Określenie odpowiedzi na leczenie powinno być wykonywane z wykorzystaniem metody identycznej do wykorzystanej podczas kwalifikowania do leczenia.</w:t>
            </w:r>
            <w:r>
              <w:t xml:space="preserve"> </w:t>
            </w:r>
            <w:r w:rsidRPr="00191FC8">
              <w:rPr>
                <w:bCs/>
                <w:color w:val="000000" w:themeColor="text1"/>
                <w:sz w:val="20"/>
                <w:szCs w:val="20"/>
              </w:rPr>
              <w:t>Wykonane badania obrazowe muszą umożliwić obiektywną ocenę odpowiedzi na leczenie</w:t>
            </w:r>
          </w:p>
          <w:p w14:paraId="28A4CDE9" w14:textId="77777777" w:rsidR="00C9088E" w:rsidRDefault="00C9088E" w:rsidP="00773CA7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Badania wykonuje się </w:t>
            </w:r>
            <w:r w:rsidRPr="00C0134A">
              <w:rPr>
                <w:bCs/>
                <w:color w:val="000000" w:themeColor="text1"/>
                <w:sz w:val="20"/>
                <w:szCs w:val="20"/>
              </w:rPr>
              <w:t>nie rzadziej niż co 3 miesiące.</w:t>
            </w:r>
          </w:p>
          <w:p w14:paraId="557C31CB" w14:textId="77777777" w:rsidR="00C9088E" w:rsidRDefault="00C9088E" w:rsidP="00773C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A7E16">
              <w:rPr>
                <w:sz w:val="20"/>
                <w:szCs w:val="20"/>
              </w:rPr>
              <w:t>Na podstawie ww. badań w celu monitorowania skuteczności leczenia przekazywane są dane dotyczące wybranych wskaźników skuteczności terapii, dla których jest możliwe ich określenie przez lekarza prowadzącego dla indywidualnego pacjenta, spośród:</w:t>
            </w:r>
          </w:p>
          <w:p w14:paraId="188F23E5" w14:textId="77777777" w:rsidR="00C9088E" w:rsidRDefault="00C9088E" w:rsidP="00773CA7">
            <w:pPr>
              <w:pStyle w:val="Akapitzlist"/>
              <w:numPr>
                <w:ilvl w:val="5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ind w:left="532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całkowita (CR) lub częściowa odpowiedź (PR) na leczenie,</w:t>
            </w:r>
          </w:p>
          <w:p w14:paraId="4660D84A" w14:textId="77777777" w:rsidR="00C9088E" w:rsidRDefault="00C9088E" w:rsidP="00773CA7">
            <w:pPr>
              <w:pStyle w:val="Akapitzlist"/>
              <w:numPr>
                <w:ilvl w:val="5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ind w:left="532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stabilizacja (SD) lub progresja choroby (PD),</w:t>
            </w:r>
          </w:p>
          <w:p w14:paraId="0C566F65" w14:textId="3510768A" w:rsidR="00C9088E" w:rsidRPr="00EA576F" w:rsidRDefault="00317B5E" w:rsidP="00773CA7">
            <w:pPr>
              <w:pStyle w:val="Akapitzlist"/>
              <w:numPr>
                <w:ilvl w:val="5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ind w:left="532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czas </w:t>
            </w:r>
            <w:r w:rsidR="00C9088E">
              <w:rPr>
                <w:sz w:val="20"/>
                <w:szCs w:val="20"/>
              </w:rPr>
              <w:t>całkowite</w:t>
            </w:r>
            <w:r>
              <w:rPr>
                <w:sz w:val="20"/>
                <w:szCs w:val="20"/>
              </w:rPr>
              <w:t>go</w:t>
            </w:r>
            <w:r w:rsidR="00C9088E">
              <w:rPr>
                <w:sz w:val="20"/>
                <w:szCs w:val="20"/>
              </w:rPr>
              <w:t xml:space="preserve"> przeżyci</w:t>
            </w:r>
            <w:r>
              <w:rPr>
                <w:sz w:val="20"/>
                <w:szCs w:val="20"/>
              </w:rPr>
              <w:t>a</w:t>
            </w:r>
            <w:r w:rsidR="00C9088E">
              <w:rPr>
                <w:sz w:val="20"/>
                <w:szCs w:val="20"/>
              </w:rPr>
              <w:t xml:space="preserve"> (OS) i czas </w:t>
            </w:r>
            <w:r>
              <w:rPr>
                <w:sz w:val="20"/>
                <w:szCs w:val="20"/>
              </w:rPr>
              <w:t>przeżycia wolnego od</w:t>
            </w:r>
            <w:r w:rsidR="00C9088E">
              <w:rPr>
                <w:sz w:val="20"/>
                <w:szCs w:val="20"/>
              </w:rPr>
              <w:t xml:space="preserve"> progresji (PFS).</w:t>
            </w:r>
          </w:p>
          <w:p w14:paraId="6AFC275E" w14:textId="77777777" w:rsidR="00C9088E" w:rsidRPr="00EA576F" w:rsidRDefault="00C9088E" w:rsidP="00773CA7">
            <w:pPr>
              <w:spacing w:after="60" w:line="276" w:lineRule="auto"/>
              <w:rPr>
                <w:bCs/>
                <w:color w:val="000000" w:themeColor="text1"/>
                <w:sz w:val="20"/>
                <w:szCs w:val="20"/>
              </w:rPr>
            </w:pPr>
          </w:p>
          <w:p w14:paraId="667F2B65" w14:textId="77777777" w:rsidR="00C9088E" w:rsidRPr="00562961" w:rsidRDefault="00C9088E" w:rsidP="00773CA7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562961">
              <w:rPr>
                <w:b/>
                <w:bCs/>
                <w:sz w:val="20"/>
                <w:szCs w:val="20"/>
              </w:rPr>
              <w:t>Monitorowanie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62961">
              <w:rPr>
                <w:b/>
                <w:bCs/>
                <w:sz w:val="20"/>
                <w:szCs w:val="20"/>
              </w:rPr>
              <w:t>programu</w:t>
            </w:r>
          </w:p>
          <w:p w14:paraId="37B0B169" w14:textId="77777777" w:rsidR="00C9088E" w:rsidRPr="00973771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gromadzenie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dokumentacji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medycznej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pacjenta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dotyczących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monitorowania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każdorazowe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ich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przedstawianie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żądanie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kontrolerów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Narodowego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Funduszu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Zdrowia;</w:t>
            </w:r>
          </w:p>
          <w:p w14:paraId="6C20EDC1" w14:textId="0E8E4CAB" w:rsidR="000811D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973771">
              <w:rPr>
                <w:sz w:val="20"/>
                <w:szCs w:val="20"/>
              </w:rPr>
              <w:t>uzupełni</w:t>
            </w:r>
            <w:r w:rsidR="00B4605C">
              <w:rPr>
                <w:sz w:val="20"/>
                <w:szCs w:val="20"/>
              </w:rPr>
              <w:t>a</w:t>
            </w:r>
            <w:r w:rsidRPr="00973771">
              <w:rPr>
                <w:sz w:val="20"/>
                <w:szCs w:val="20"/>
              </w:rPr>
              <w:t>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danych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zawartych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w</w:t>
            </w:r>
            <w:r w:rsidRPr="007E253B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0436">
              <w:rPr>
                <w:sz w:val="20"/>
                <w:szCs w:val="20"/>
              </w:rPr>
              <w:t>elektronicznym systemie monitorowania programów lekowych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color w:val="000000" w:themeColor="text1"/>
                <w:sz w:val="20"/>
                <w:szCs w:val="20"/>
              </w:rPr>
              <w:t>w tym przekazywanie danych dotyczących wskaźników skuteczności terapii zawartych w pkt. 3</w:t>
            </w:r>
            <w:r>
              <w:rPr>
                <w:sz w:val="20"/>
                <w:szCs w:val="20"/>
              </w:rPr>
              <w:t xml:space="preserve">, </w:t>
            </w:r>
            <w:r w:rsidRPr="00973771">
              <w:rPr>
                <w:sz w:val="20"/>
                <w:szCs w:val="20"/>
              </w:rPr>
              <w:t>dostępnym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pomocą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aplikacji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lastRenderedPageBreak/>
              <w:t>internetowej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udostępnionej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przez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OW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NFZ,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częstotliwością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zgodną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opisem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oraz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zakończenie</w:t>
            </w:r>
            <w:r>
              <w:rPr>
                <w:sz w:val="20"/>
                <w:szCs w:val="20"/>
              </w:rPr>
              <w:t xml:space="preserve"> </w:t>
            </w:r>
            <w:r w:rsidRPr="00973771">
              <w:rPr>
                <w:sz w:val="20"/>
                <w:szCs w:val="20"/>
              </w:rPr>
              <w:t>leczenia;</w:t>
            </w:r>
          </w:p>
          <w:p w14:paraId="5286AE53" w14:textId="1D3DEFB0" w:rsidR="00C9088E" w:rsidRPr="000811D7" w:rsidRDefault="00C9088E" w:rsidP="00773CA7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0811D7">
              <w:rPr>
                <w:sz w:val="20"/>
                <w:szCs w:val="20"/>
              </w:rPr>
              <w:t>przekazywanie informacji sprawozdawczo-rozliczeniowych do NFZ (informacje przekazuje się do NFZ w formie papierowej lub w formie elektronicznej, zgodnie z wymaganiami opublikowanymi przez Narodowy Fundusz Zdrowia).</w:t>
            </w:r>
          </w:p>
        </w:tc>
      </w:tr>
    </w:tbl>
    <w:p w14:paraId="49BEF25D" w14:textId="77777777" w:rsidR="00221D34" w:rsidRPr="00E43594" w:rsidRDefault="00221D34" w:rsidP="00221D34">
      <w:pPr>
        <w:autoSpaceDE w:val="0"/>
        <w:autoSpaceDN w:val="0"/>
        <w:adjustRightInd w:val="0"/>
        <w:rPr>
          <w:rFonts w:ascii="Courier New" w:hAnsi="Courier New"/>
        </w:rPr>
      </w:pPr>
    </w:p>
    <w:sectPr w:rsidR="00221D34" w:rsidRPr="00E43594" w:rsidSect="00A60601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290EF" w14:textId="77777777" w:rsidR="004C15D5" w:rsidRDefault="004C15D5" w:rsidP="00BF49D7">
      <w:r>
        <w:separator/>
      </w:r>
    </w:p>
  </w:endnote>
  <w:endnote w:type="continuationSeparator" w:id="0">
    <w:p w14:paraId="5331A40A" w14:textId="77777777" w:rsidR="004C15D5" w:rsidRDefault="004C15D5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CD2BD" w14:textId="77777777" w:rsidR="004C15D5" w:rsidRDefault="004C15D5" w:rsidP="00BF49D7">
      <w:r>
        <w:separator/>
      </w:r>
    </w:p>
  </w:footnote>
  <w:footnote w:type="continuationSeparator" w:id="0">
    <w:p w14:paraId="08E6AF81" w14:textId="77777777" w:rsidR="004C15D5" w:rsidRDefault="004C15D5" w:rsidP="00BF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346"/>
    <w:multiLevelType w:val="hybridMultilevel"/>
    <w:tmpl w:val="99247B00"/>
    <w:lvl w:ilvl="0" w:tplc="FF7CC57C">
      <w:start w:val="1"/>
      <w:numFmt w:val="lowerLetter"/>
      <w:suff w:val="space"/>
      <w:lvlText w:val="%1)"/>
      <w:lvlJc w:val="left"/>
      <w:pPr>
        <w:ind w:left="1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93" w:hanging="360"/>
      </w:pPr>
    </w:lvl>
    <w:lvl w:ilvl="2" w:tplc="0415001B" w:tentative="1">
      <w:start w:val="1"/>
      <w:numFmt w:val="lowerRoman"/>
      <w:lvlText w:val="%3."/>
      <w:lvlJc w:val="right"/>
      <w:pPr>
        <w:ind w:left="2813" w:hanging="180"/>
      </w:pPr>
    </w:lvl>
    <w:lvl w:ilvl="3" w:tplc="0415000F">
      <w:start w:val="1"/>
      <w:numFmt w:val="decimal"/>
      <w:lvlText w:val="%4."/>
      <w:lvlJc w:val="left"/>
      <w:pPr>
        <w:ind w:left="3533" w:hanging="360"/>
      </w:pPr>
    </w:lvl>
    <w:lvl w:ilvl="4" w:tplc="04150019" w:tentative="1">
      <w:start w:val="1"/>
      <w:numFmt w:val="lowerLetter"/>
      <w:lvlText w:val="%5."/>
      <w:lvlJc w:val="left"/>
      <w:pPr>
        <w:ind w:left="4253" w:hanging="360"/>
      </w:pPr>
    </w:lvl>
    <w:lvl w:ilvl="5" w:tplc="0415001B">
      <w:start w:val="1"/>
      <w:numFmt w:val="lowerRoman"/>
      <w:lvlText w:val="%6."/>
      <w:lvlJc w:val="right"/>
      <w:pPr>
        <w:ind w:left="4973" w:hanging="180"/>
      </w:pPr>
    </w:lvl>
    <w:lvl w:ilvl="6" w:tplc="0415000F" w:tentative="1">
      <w:start w:val="1"/>
      <w:numFmt w:val="decimal"/>
      <w:lvlText w:val="%7."/>
      <w:lvlJc w:val="left"/>
      <w:pPr>
        <w:ind w:left="5693" w:hanging="360"/>
      </w:pPr>
    </w:lvl>
    <w:lvl w:ilvl="7" w:tplc="04150019" w:tentative="1">
      <w:start w:val="1"/>
      <w:numFmt w:val="lowerLetter"/>
      <w:lvlText w:val="%8."/>
      <w:lvlJc w:val="left"/>
      <w:pPr>
        <w:ind w:left="6413" w:hanging="360"/>
      </w:pPr>
    </w:lvl>
    <w:lvl w:ilvl="8" w:tplc="0415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" w15:restartNumberingAfterBreak="0">
    <w:nsid w:val="033527F8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3AD3F2B"/>
    <w:multiLevelType w:val="hybridMultilevel"/>
    <w:tmpl w:val="FA624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C84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707385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B2372E5"/>
    <w:multiLevelType w:val="multilevel"/>
    <w:tmpl w:val="70828C8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0C19463E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0EB6151F"/>
    <w:multiLevelType w:val="hybridMultilevel"/>
    <w:tmpl w:val="098C861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C1F3D"/>
    <w:multiLevelType w:val="hybridMultilevel"/>
    <w:tmpl w:val="45C88B6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1344B"/>
    <w:multiLevelType w:val="hybridMultilevel"/>
    <w:tmpl w:val="E110A76C"/>
    <w:lvl w:ilvl="0" w:tplc="F110915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64156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8AC3189"/>
    <w:multiLevelType w:val="multilevel"/>
    <w:tmpl w:val="0ECC27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19EF235C"/>
    <w:multiLevelType w:val="multilevel"/>
    <w:tmpl w:val="19E02BF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A124993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1BAD7514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1CD55E70"/>
    <w:multiLevelType w:val="hybridMultilevel"/>
    <w:tmpl w:val="0122DD7E"/>
    <w:lvl w:ilvl="0" w:tplc="2EC83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113D4"/>
    <w:multiLevelType w:val="multilevel"/>
    <w:tmpl w:val="DB921154"/>
    <w:lvl w:ilvl="0">
      <w:start w:val="1"/>
      <w:numFmt w:val="decimal"/>
      <w:lvlText w:val="%1)"/>
      <w:lvlJc w:val="left"/>
      <w:pPr>
        <w:ind w:left="227" w:hanging="227"/>
      </w:pPr>
      <w:rPr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1D5F6F6D"/>
    <w:multiLevelType w:val="hybridMultilevel"/>
    <w:tmpl w:val="DF7C21E8"/>
    <w:lvl w:ilvl="0" w:tplc="8848AEC0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5" w:hanging="360"/>
      </w:pPr>
    </w:lvl>
    <w:lvl w:ilvl="2" w:tplc="0415001B" w:tentative="1">
      <w:start w:val="1"/>
      <w:numFmt w:val="lowerRoman"/>
      <w:lvlText w:val="%3."/>
      <w:lvlJc w:val="right"/>
      <w:pPr>
        <w:ind w:left="1855" w:hanging="180"/>
      </w:pPr>
    </w:lvl>
    <w:lvl w:ilvl="3" w:tplc="0415000F" w:tentative="1">
      <w:start w:val="1"/>
      <w:numFmt w:val="decimal"/>
      <w:lvlText w:val="%4."/>
      <w:lvlJc w:val="left"/>
      <w:pPr>
        <w:ind w:left="2575" w:hanging="360"/>
      </w:pPr>
    </w:lvl>
    <w:lvl w:ilvl="4" w:tplc="04150019" w:tentative="1">
      <w:start w:val="1"/>
      <w:numFmt w:val="lowerLetter"/>
      <w:lvlText w:val="%5."/>
      <w:lvlJc w:val="left"/>
      <w:pPr>
        <w:ind w:left="3295" w:hanging="360"/>
      </w:pPr>
    </w:lvl>
    <w:lvl w:ilvl="5" w:tplc="0415001B" w:tentative="1">
      <w:start w:val="1"/>
      <w:numFmt w:val="lowerRoman"/>
      <w:lvlText w:val="%6."/>
      <w:lvlJc w:val="right"/>
      <w:pPr>
        <w:ind w:left="4015" w:hanging="180"/>
      </w:pPr>
    </w:lvl>
    <w:lvl w:ilvl="6" w:tplc="0415000F" w:tentative="1">
      <w:start w:val="1"/>
      <w:numFmt w:val="decimal"/>
      <w:lvlText w:val="%7."/>
      <w:lvlJc w:val="left"/>
      <w:pPr>
        <w:ind w:left="4735" w:hanging="360"/>
      </w:pPr>
    </w:lvl>
    <w:lvl w:ilvl="7" w:tplc="04150019" w:tentative="1">
      <w:start w:val="1"/>
      <w:numFmt w:val="lowerLetter"/>
      <w:lvlText w:val="%8."/>
      <w:lvlJc w:val="left"/>
      <w:pPr>
        <w:ind w:left="5455" w:hanging="360"/>
      </w:pPr>
    </w:lvl>
    <w:lvl w:ilvl="8" w:tplc="0415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8" w15:restartNumberingAfterBreak="0">
    <w:nsid w:val="262D4481"/>
    <w:multiLevelType w:val="hybridMultilevel"/>
    <w:tmpl w:val="8F3A4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5604E"/>
    <w:multiLevelType w:val="multilevel"/>
    <w:tmpl w:val="1D98A696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2CD7666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2FE7717D"/>
    <w:multiLevelType w:val="hybridMultilevel"/>
    <w:tmpl w:val="518CF8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801A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30761C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34A263C2"/>
    <w:multiLevelType w:val="hybridMultilevel"/>
    <w:tmpl w:val="FCDADC16"/>
    <w:lvl w:ilvl="0" w:tplc="3626D92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4E6097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358910A0"/>
    <w:multiLevelType w:val="hybridMultilevel"/>
    <w:tmpl w:val="EEC231D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90CEF"/>
    <w:multiLevelType w:val="hybridMultilevel"/>
    <w:tmpl w:val="23D880B2"/>
    <w:lvl w:ilvl="0" w:tplc="B72EE7F2">
      <w:start w:val="1"/>
      <w:numFmt w:val="decimal"/>
      <w:lvlText w:val="%1)"/>
      <w:lvlJc w:val="left"/>
      <w:pPr>
        <w:ind w:left="121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936" w:hanging="360"/>
      </w:pPr>
    </w:lvl>
    <w:lvl w:ilvl="2" w:tplc="0415001B">
      <w:start w:val="1"/>
      <w:numFmt w:val="lowerRoman"/>
      <w:lvlText w:val="%3."/>
      <w:lvlJc w:val="right"/>
      <w:pPr>
        <w:ind w:left="2656" w:hanging="180"/>
      </w:pPr>
    </w:lvl>
    <w:lvl w:ilvl="3" w:tplc="0415000F">
      <w:start w:val="1"/>
      <w:numFmt w:val="decimal"/>
      <w:lvlText w:val="%4."/>
      <w:lvlJc w:val="left"/>
      <w:pPr>
        <w:ind w:left="3376" w:hanging="360"/>
      </w:pPr>
    </w:lvl>
    <w:lvl w:ilvl="4" w:tplc="04150019">
      <w:start w:val="1"/>
      <w:numFmt w:val="lowerLetter"/>
      <w:lvlText w:val="%5."/>
      <w:lvlJc w:val="left"/>
      <w:pPr>
        <w:ind w:left="4096" w:hanging="360"/>
      </w:pPr>
    </w:lvl>
    <w:lvl w:ilvl="5" w:tplc="0415001B">
      <w:start w:val="1"/>
      <w:numFmt w:val="lowerRoman"/>
      <w:lvlText w:val="%6."/>
      <w:lvlJc w:val="right"/>
      <w:pPr>
        <w:ind w:left="4816" w:hanging="180"/>
      </w:pPr>
    </w:lvl>
    <w:lvl w:ilvl="6" w:tplc="0415000F">
      <w:start w:val="1"/>
      <w:numFmt w:val="decimal"/>
      <w:lvlText w:val="%7."/>
      <w:lvlJc w:val="left"/>
      <w:pPr>
        <w:ind w:left="5536" w:hanging="360"/>
      </w:pPr>
    </w:lvl>
    <w:lvl w:ilvl="7" w:tplc="04150019">
      <w:start w:val="1"/>
      <w:numFmt w:val="lowerLetter"/>
      <w:lvlText w:val="%8."/>
      <w:lvlJc w:val="left"/>
      <w:pPr>
        <w:ind w:left="6256" w:hanging="360"/>
      </w:pPr>
    </w:lvl>
    <w:lvl w:ilvl="8" w:tplc="0415001B">
      <w:start w:val="1"/>
      <w:numFmt w:val="lowerRoman"/>
      <w:lvlText w:val="%9."/>
      <w:lvlJc w:val="right"/>
      <w:pPr>
        <w:ind w:left="6976" w:hanging="180"/>
      </w:pPr>
    </w:lvl>
  </w:abstractNum>
  <w:abstractNum w:abstractNumId="28" w15:restartNumberingAfterBreak="0">
    <w:nsid w:val="363B22EF"/>
    <w:multiLevelType w:val="hybridMultilevel"/>
    <w:tmpl w:val="D59A3718"/>
    <w:lvl w:ilvl="0" w:tplc="DCAAF3B0">
      <w:start w:val="2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38D50348"/>
    <w:multiLevelType w:val="hybridMultilevel"/>
    <w:tmpl w:val="82C8A858"/>
    <w:lvl w:ilvl="0" w:tplc="ED10286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86F7BE4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4C8E2B07"/>
    <w:multiLevelType w:val="multilevel"/>
    <w:tmpl w:val="DBE0AE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4E781C9B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501A4EB3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3634FC3"/>
    <w:multiLevelType w:val="hybridMultilevel"/>
    <w:tmpl w:val="6AFA526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49A6DF6"/>
    <w:multiLevelType w:val="hybridMultilevel"/>
    <w:tmpl w:val="58E49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26AD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F4DA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58207B79"/>
    <w:multiLevelType w:val="hybridMultilevel"/>
    <w:tmpl w:val="4AFC311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58707935"/>
    <w:multiLevelType w:val="multilevel"/>
    <w:tmpl w:val="BD1ED52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653" w:hanging="227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5A1346A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5C754D88"/>
    <w:multiLevelType w:val="hybridMultilevel"/>
    <w:tmpl w:val="9FD664FC"/>
    <w:lvl w:ilvl="0" w:tplc="434ACA34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5E0F2AF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63712BEE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63FB68C3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4" w15:restartNumberingAfterBreak="0">
    <w:nsid w:val="647B0C72"/>
    <w:multiLevelType w:val="hybridMultilevel"/>
    <w:tmpl w:val="79B463E2"/>
    <w:lvl w:ilvl="0" w:tplc="54BE78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65D9151F"/>
    <w:multiLevelType w:val="hybridMultilevel"/>
    <w:tmpl w:val="073011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D5F97"/>
    <w:multiLevelType w:val="hybridMultilevel"/>
    <w:tmpl w:val="AA7284AC"/>
    <w:lvl w:ilvl="0" w:tplc="2DC2D0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D8412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8" w15:restartNumberingAfterBreak="0">
    <w:nsid w:val="709F40F8"/>
    <w:multiLevelType w:val="multilevel"/>
    <w:tmpl w:val="5C9C6302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9" w15:restartNumberingAfterBreak="0">
    <w:nsid w:val="79FD2CA5"/>
    <w:multiLevelType w:val="hybridMultilevel"/>
    <w:tmpl w:val="CC546E90"/>
    <w:lvl w:ilvl="0" w:tplc="2E549C98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5" w:hanging="360"/>
      </w:pPr>
    </w:lvl>
    <w:lvl w:ilvl="2" w:tplc="0415001B" w:tentative="1">
      <w:start w:val="1"/>
      <w:numFmt w:val="lowerRoman"/>
      <w:lvlText w:val="%3."/>
      <w:lvlJc w:val="right"/>
      <w:pPr>
        <w:ind w:left="1855" w:hanging="180"/>
      </w:pPr>
    </w:lvl>
    <w:lvl w:ilvl="3" w:tplc="0415000F" w:tentative="1">
      <w:start w:val="1"/>
      <w:numFmt w:val="decimal"/>
      <w:lvlText w:val="%4."/>
      <w:lvlJc w:val="left"/>
      <w:pPr>
        <w:ind w:left="2575" w:hanging="360"/>
      </w:pPr>
    </w:lvl>
    <w:lvl w:ilvl="4" w:tplc="04150019" w:tentative="1">
      <w:start w:val="1"/>
      <w:numFmt w:val="lowerLetter"/>
      <w:lvlText w:val="%5."/>
      <w:lvlJc w:val="left"/>
      <w:pPr>
        <w:ind w:left="3295" w:hanging="360"/>
      </w:pPr>
    </w:lvl>
    <w:lvl w:ilvl="5" w:tplc="0415001B" w:tentative="1">
      <w:start w:val="1"/>
      <w:numFmt w:val="lowerRoman"/>
      <w:lvlText w:val="%6."/>
      <w:lvlJc w:val="right"/>
      <w:pPr>
        <w:ind w:left="4015" w:hanging="180"/>
      </w:pPr>
    </w:lvl>
    <w:lvl w:ilvl="6" w:tplc="0415000F" w:tentative="1">
      <w:start w:val="1"/>
      <w:numFmt w:val="decimal"/>
      <w:lvlText w:val="%7."/>
      <w:lvlJc w:val="left"/>
      <w:pPr>
        <w:ind w:left="4735" w:hanging="360"/>
      </w:pPr>
    </w:lvl>
    <w:lvl w:ilvl="7" w:tplc="04150019" w:tentative="1">
      <w:start w:val="1"/>
      <w:numFmt w:val="lowerLetter"/>
      <w:lvlText w:val="%8."/>
      <w:lvlJc w:val="left"/>
      <w:pPr>
        <w:ind w:left="5455" w:hanging="360"/>
      </w:pPr>
    </w:lvl>
    <w:lvl w:ilvl="8" w:tplc="0415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50" w15:restartNumberingAfterBreak="0">
    <w:nsid w:val="7AE57E5B"/>
    <w:multiLevelType w:val="hybridMultilevel"/>
    <w:tmpl w:val="835E3FD8"/>
    <w:lvl w:ilvl="0" w:tplc="01C649D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5" w:hanging="360"/>
      </w:pPr>
    </w:lvl>
    <w:lvl w:ilvl="2" w:tplc="0415001B" w:tentative="1">
      <w:start w:val="1"/>
      <w:numFmt w:val="lowerRoman"/>
      <w:lvlText w:val="%3."/>
      <w:lvlJc w:val="right"/>
      <w:pPr>
        <w:ind w:left="1855" w:hanging="180"/>
      </w:pPr>
    </w:lvl>
    <w:lvl w:ilvl="3" w:tplc="0415000F" w:tentative="1">
      <w:start w:val="1"/>
      <w:numFmt w:val="decimal"/>
      <w:lvlText w:val="%4."/>
      <w:lvlJc w:val="left"/>
      <w:pPr>
        <w:ind w:left="2575" w:hanging="360"/>
      </w:pPr>
    </w:lvl>
    <w:lvl w:ilvl="4" w:tplc="04150019" w:tentative="1">
      <w:start w:val="1"/>
      <w:numFmt w:val="lowerLetter"/>
      <w:lvlText w:val="%5."/>
      <w:lvlJc w:val="left"/>
      <w:pPr>
        <w:ind w:left="3295" w:hanging="360"/>
      </w:pPr>
    </w:lvl>
    <w:lvl w:ilvl="5" w:tplc="0415001B" w:tentative="1">
      <w:start w:val="1"/>
      <w:numFmt w:val="lowerRoman"/>
      <w:lvlText w:val="%6."/>
      <w:lvlJc w:val="right"/>
      <w:pPr>
        <w:ind w:left="4015" w:hanging="180"/>
      </w:pPr>
    </w:lvl>
    <w:lvl w:ilvl="6" w:tplc="0415000F" w:tentative="1">
      <w:start w:val="1"/>
      <w:numFmt w:val="decimal"/>
      <w:lvlText w:val="%7."/>
      <w:lvlJc w:val="left"/>
      <w:pPr>
        <w:ind w:left="4735" w:hanging="360"/>
      </w:pPr>
    </w:lvl>
    <w:lvl w:ilvl="7" w:tplc="04150019" w:tentative="1">
      <w:start w:val="1"/>
      <w:numFmt w:val="lowerLetter"/>
      <w:lvlText w:val="%8."/>
      <w:lvlJc w:val="left"/>
      <w:pPr>
        <w:ind w:left="5455" w:hanging="360"/>
      </w:pPr>
    </w:lvl>
    <w:lvl w:ilvl="8" w:tplc="0415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51" w15:restartNumberingAfterBreak="0">
    <w:nsid w:val="7BBE73DA"/>
    <w:multiLevelType w:val="hybridMultilevel"/>
    <w:tmpl w:val="16005C38"/>
    <w:lvl w:ilvl="0" w:tplc="FFFFFFFF">
      <w:start w:val="1"/>
      <w:numFmt w:val="lowerLetter"/>
      <w:suff w:val="space"/>
      <w:lvlText w:val="%1)"/>
      <w:lvlJc w:val="left"/>
      <w:pPr>
        <w:ind w:left="13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52" w15:restartNumberingAfterBreak="0">
    <w:nsid w:val="7F48388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58472822">
    <w:abstractNumId w:val="27"/>
  </w:num>
  <w:num w:numId="2" w16cid:durableId="10238272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419019">
    <w:abstractNumId w:val="34"/>
  </w:num>
  <w:num w:numId="4" w16cid:durableId="477651050">
    <w:abstractNumId w:val="24"/>
  </w:num>
  <w:num w:numId="5" w16cid:durableId="179589567">
    <w:abstractNumId w:val="37"/>
  </w:num>
  <w:num w:numId="6" w16cid:durableId="1982728185">
    <w:abstractNumId w:val="44"/>
  </w:num>
  <w:num w:numId="7" w16cid:durableId="556355255">
    <w:abstractNumId w:val="42"/>
  </w:num>
  <w:num w:numId="8" w16cid:durableId="84234624">
    <w:abstractNumId w:val="18"/>
  </w:num>
  <w:num w:numId="9" w16cid:durableId="1183780089">
    <w:abstractNumId w:val="2"/>
  </w:num>
  <w:num w:numId="10" w16cid:durableId="1723290777">
    <w:abstractNumId w:val="35"/>
  </w:num>
  <w:num w:numId="11" w16cid:durableId="23749199">
    <w:abstractNumId w:val="6"/>
  </w:num>
  <w:num w:numId="12" w16cid:durableId="1134250331">
    <w:abstractNumId w:val="4"/>
  </w:num>
  <w:num w:numId="13" w16cid:durableId="348485978">
    <w:abstractNumId w:val="48"/>
  </w:num>
  <w:num w:numId="14" w16cid:durableId="221990069">
    <w:abstractNumId w:val="33"/>
  </w:num>
  <w:num w:numId="15" w16cid:durableId="1003045398">
    <w:abstractNumId w:val="20"/>
  </w:num>
  <w:num w:numId="16" w16cid:durableId="1658725121">
    <w:abstractNumId w:val="47"/>
  </w:num>
  <w:num w:numId="17" w16cid:durableId="496044169">
    <w:abstractNumId w:val="25"/>
  </w:num>
  <w:num w:numId="18" w16cid:durableId="226650511">
    <w:abstractNumId w:val="1"/>
  </w:num>
  <w:num w:numId="19" w16cid:durableId="1034883298">
    <w:abstractNumId w:val="10"/>
  </w:num>
  <w:num w:numId="20" w16cid:durableId="1957910418">
    <w:abstractNumId w:val="22"/>
  </w:num>
  <w:num w:numId="21" w16cid:durableId="1265698159">
    <w:abstractNumId w:val="40"/>
  </w:num>
  <w:num w:numId="22" w16cid:durableId="1414738196">
    <w:abstractNumId w:val="14"/>
  </w:num>
  <w:num w:numId="23" w16cid:durableId="1032732621">
    <w:abstractNumId w:val="39"/>
  </w:num>
  <w:num w:numId="24" w16cid:durableId="239364337">
    <w:abstractNumId w:val="46"/>
  </w:num>
  <w:num w:numId="25" w16cid:durableId="328990798">
    <w:abstractNumId w:val="32"/>
  </w:num>
  <w:num w:numId="26" w16cid:durableId="1036468982">
    <w:abstractNumId w:val="13"/>
  </w:num>
  <w:num w:numId="27" w16cid:durableId="995768862">
    <w:abstractNumId w:val="43"/>
  </w:num>
  <w:num w:numId="28" w16cid:durableId="464664445">
    <w:abstractNumId w:val="30"/>
  </w:num>
  <w:num w:numId="29" w16cid:durableId="1550991022">
    <w:abstractNumId w:val="23"/>
  </w:num>
  <w:num w:numId="30" w16cid:durableId="1725368983">
    <w:abstractNumId w:val="3"/>
  </w:num>
  <w:num w:numId="31" w16cid:durableId="912810245">
    <w:abstractNumId w:val="41"/>
  </w:num>
  <w:num w:numId="32" w16cid:durableId="1168405229">
    <w:abstractNumId w:val="36"/>
  </w:num>
  <w:num w:numId="33" w16cid:durableId="1800342091">
    <w:abstractNumId w:val="31"/>
  </w:num>
  <w:num w:numId="34" w16cid:durableId="1538591427">
    <w:abstractNumId w:val="19"/>
  </w:num>
  <w:num w:numId="35" w16cid:durableId="755443632">
    <w:abstractNumId w:val="52"/>
  </w:num>
  <w:num w:numId="36" w16cid:durableId="1606882378">
    <w:abstractNumId w:val="12"/>
  </w:num>
  <w:num w:numId="37" w16cid:durableId="334259998">
    <w:abstractNumId w:val="38"/>
  </w:num>
  <w:num w:numId="38" w16cid:durableId="289241620">
    <w:abstractNumId w:val="45"/>
  </w:num>
  <w:num w:numId="39" w16cid:durableId="245959662">
    <w:abstractNumId w:val="16"/>
  </w:num>
  <w:num w:numId="40" w16cid:durableId="1793673688">
    <w:abstractNumId w:val="15"/>
  </w:num>
  <w:num w:numId="41" w16cid:durableId="411657475">
    <w:abstractNumId w:val="11"/>
  </w:num>
  <w:num w:numId="42" w16cid:durableId="1474323035">
    <w:abstractNumId w:val="9"/>
  </w:num>
  <w:num w:numId="43" w16cid:durableId="1596212054">
    <w:abstractNumId w:val="0"/>
  </w:num>
  <w:num w:numId="44" w16cid:durableId="61101735">
    <w:abstractNumId w:val="7"/>
  </w:num>
  <w:num w:numId="45" w16cid:durableId="1242254871">
    <w:abstractNumId w:val="17"/>
  </w:num>
  <w:num w:numId="46" w16cid:durableId="967007836">
    <w:abstractNumId w:val="26"/>
  </w:num>
  <w:num w:numId="47" w16cid:durableId="384914303">
    <w:abstractNumId w:val="50"/>
  </w:num>
  <w:num w:numId="48" w16cid:durableId="1270356811">
    <w:abstractNumId w:val="21"/>
  </w:num>
  <w:num w:numId="49" w16cid:durableId="2025857345">
    <w:abstractNumId w:val="49"/>
  </w:num>
  <w:num w:numId="50" w16cid:durableId="1338843898">
    <w:abstractNumId w:val="5"/>
  </w:num>
  <w:num w:numId="51" w16cid:durableId="55666274">
    <w:abstractNumId w:val="8"/>
  </w:num>
  <w:num w:numId="52" w16cid:durableId="600842773">
    <w:abstractNumId w:val="28"/>
  </w:num>
  <w:num w:numId="53" w16cid:durableId="819226722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16FA7"/>
    <w:rsid w:val="000209A3"/>
    <w:rsid w:val="00032607"/>
    <w:rsid w:val="000811D7"/>
    <w:rsid w:val="000814F5"/>
    <w:rsid w:val="00084FB8"/>
    <w:rsid w:val="000A79AC"/>
    <w:rsid w:val="000A7EDD"/>
    <w:rsid w:val="000C36D5"/>
    <w:rsid w:val="000C4794"/>
    <w:rsid w:val="000C612E"/>
    <w:rsid w:val="000E41B0"/>
    <w:rsid w:val="0010377D"/>
    <w:rsid w:val="00103E7C"/>
    <w:rsid w:val="00133821"/>
    <w:rsid w:val="001349B5"/>
    <w:rsid w:val="001361F1"/>
    <w:rsid w:val="00144C47"/>
    <w:rsid w:val="00162E7C"/>
    <w:rsid w:val="001824BF"/>
    <w:rsid w:val="0019143B"/>
    <w:rsid w:val="00196B54"/>
    <w:rsid w:val="001B67B4"/>
    <w:rsid w:val="001C2D3E"/>
    <w:rsid w:val="001E3E14"/>
    <w:rsid w:val="001F2F10"/>
    <w:rsid w:val="00221D34"/>
    <w:rsid w:val="002642B8"/>
    <w:rsid w:val="00265363"/>
    <w:rsid w:val="00267846"/>
    <w:rsid w:val="0028213B"/>
    <w:rsid w:val="002B3B8C"/>
    <w:rsid w:val="002B44DE"/>
    <w:rsid w:val="002C1BE0"/>
    <w:rsid w:val="002D2864"/>
    <w:rsid w:val="002F17D0"/>
    <w:rsid w:val="00317B5E"/>
    <w:rsid w:val="00330EF9"/>
    <w:rsid w:val="00332619"/>
    <w:rsid w:val="00394324"/>
    <w:rsid w:val="003B7CF8"/>
    <w:rsid w:val="003D03C4"/>
    <w:rsid w:val="003D7E81"/>
    <w:rsid w:val="003F48FA"/>
    <w:rsid w:val="003F4957"/>
    <w:rsid w:val="003F4A58"/>
    <w:rsid w:val="004311BB"/>
    <w:rsid w:val="00471B0F"/>
    <w:rsid w:val="00472B65"/>
    <w:rsid w:val="00486F50"/>
    <w:rsid w:val="00497A25"/>
    <w:rsid w:val="004A797A"/>
    <w:rsid w:val="004B0757"/>
    <w:rsid w:val="004C15D5"/>
    <w:rsid w:val="004D324F"/>
    <w:rsid w:val="00512373"/>
    <w:rsid w:val="00516E52"/>
    <w:rsid w:val="00523C92"/>
    <w:rsid w:val="00536D7D"/>
    <w:rsid w:val="00547315"/>
    <w:rsid w:val="0055655B"/>
    <w:rsid w:val="00562961"/>
    <w:rsid w:val="00565830"/>
    <w:rsid w:val="00595187"/>
    <w:rsid w:val="0059664C"/>
    <w:rsid w:val="005A5D48"/>
    <w:rsid w:val="005B2261"/>
    <w:rsid w:val="005E3531"/>
    <w:rsid w:val="005E417B"/>
    <w:rsid w:val="00604B8D"/>
    <w:rsid w:val="00607218"/>
    <w:rsid w:val="006242DE"/>
    <w:rsid w:val="00627BDE"/>
    <w:rsid w:val="00642045"/>
    <w:rsid w:val="006427B0"/>
    <w:rsid w:val="00642C07"/>
    <w:rsid w:val="006519A0"/>
    <w:rsid w:val="00660EF0"/>
    <w:rsid w:val="00675128"/>
    <w:rsid w:val="006864B7"/>
    <w:rsid w:val="00690781"/>
    <w:rsid w:val="00690FA9"/>
    <w:rsid w:val="006B464C"/>
    <w:rsid w:val="006B5357"/>
    <w:rsid w:val="006C06BC"/>
    <w:rsid w:val="0074152C"/>
    <w:rsid w:val="00743C43"/>
    <w:rsid w:val="00766318"/>
    <w:rsid w:val="00773CA7"/>
    <w:rsid w:val="007820ED"/>
    <w:rsid w:val="00786E34"/>
    <w:rsid w:val="007B34F4"/>
    <w:rsid w:val="007B430D"/>
    <w:rsid w:val="007D188D"/>
    <w:rsid w:val="007D1A28"/>
    <w:rsid w:val="007F66F8"/>
    <w:rsid w:val="008026DC"/>
    <w:rsid w:val="008110DE"/>
    <w:rsid w:val="008118B8"/>
    <w:rsid w:val="00830520"/>
    <w:rsid w:val="0083097B"/>
    <w:rsid w:val="0084417F"/>
    <w:rsid w:val="00865908"/>
    <w:rsid w:val="00872E2D"/>
    <w:rsid w:val="008B6EA7"/>
    <w:rsid w:val="008F26E6"/>
    <w:rsid w:val="00900C59"/>
    <w:rsid w:val="009116A6"/>
    <w:rsid w:val="00935884"/>
    <w:rsid w:val="00936C94"/>
    <w:rsid w:val="009530A8"/>
    <w:rsid w:val="00963F9B"/>
    <w:rsid w:val="00966F29"/>
    <w:rsid w:val="00973771"/>
    <w:rsid w:val="00977709"/>
    <w:rsid w:val="00986361"/>
    <w:rsid w:val="009878D2"/>
    <w:rsid w:val="009A0663"/>
    <w:rsid w:val="009A0F5D"/>
    <w:rsid w:val="009A0F84"/>
    <w:rsid w:val="009B4469"/>
    <w:rsid w:val="009B538D"/>
    <w:rsid w:val="009E2C5D"/>
    <w:rsid w:val="00A23F3F"/>
    <w:rsid w:val="00A60601"/>
    <w:rsid w:val="00A6241F"/>
    <w:rsid w:val="00A70DFE"/>
    <w:rsid w:val="00AC597A"/>
    <w:rsid w:val="00AD237E"/>
    <w:rsid w:val="00AF0963"/>
    <w:rsid w:val="00AF4EA2"/>
    <w:rsid w:val="00B11596"/>
    <w:rsid w:val="00B12E88"/>
    <w:rsid w:val="00B152A6"/>
    <w:rsid w:val="00B20E0C"/>
    <w:rsid w:val="00B26AEF"/>
    <w:rsid w:val="00B42D08"/>
    <w:rsid w:val="00B4605C"/>
    <w:rsid w:val="00B632A5"/>
    <w:rsid w:val="00B819C7"/>
    <w:rsid w:val="00B900A4"/>
    <w:rsid w:val="00B90EB7"/>
    <w:rsid w:val="00B91632"/>
    <w:rsid w:val="00B930B2"/>
    <w:rsid w:val="00BB08D1"/>
    <w:rsid w:val="00BB4E0B"/>
    <w:rsid w:val="00BC6CF9"/>
    <w:rsid w:val="00BD51B5"/>
    <w:rsid w:val="00BF49D7"/>
    <w:rsid w:val="00BF5DF5"/>
    <w:rsid w:val="00C07DA7"/>
    <w:rsid w:val="00C2457C"/>
    <w:rsid w:val="00C249C8"/>
    <w:rsid w:val="00C2602F"/>
    <w:rsid w:val="00C2747E"/>
    <w:rsid w:val="00C43C2B"/>
    <w:rsid w:val="00C60F36"/>
    <w:rsid w:val="00C71B35"/>
    <w:rsid w:val="00C7370A"/>
    <w:rsid w:val="00C82603"/>
    <w:rsid w:val="00C829CC"/>
    <w:rsid w:val="00C9088E"/>
    <w:rsid w:val="00C93381"/>
    <w:rsid w:val="00CA491B"/>
    <w:rsid w:val="00CB3D45"/>
    <w:rsid w:val="00CB5855"/>
    <w:rsid w:val="00CD0F4E"/>
    <w:rsid w:val="00CE0D1D"/>
    <w:rsid w:val="00CF4389"/>
    <w:rsid w:val="00D1157B"/>
    <w:rsid w:val="00D23E49"/>
    <w:rsid w:val="00D24D72"/>
    <w:rsid w:val="00D86C8A"/>
    <w:rsid w:val="00DA24DF"/>
    <w:rsid w:val="00DA6460"/>
    <w:rsid w:val="00DB1858"/>
    <w:rsid w:val="00DD03AB"/>
    <w:rsid w:val="00DE0315"/>
    <w:rsid w:val="00E23E9D"/>
    <w:rsid w:val="00E43594"/>
    <w:rsid w:val="00E7549C"/>
    <w:rsid w:val="00EA131E"/>
    <w:rsid w:val="00EA470E"/>
    <w:rsid w:val="00EA4C7E"/>
    <w:rsid w:val="00EB08A0"/>
    <w:rsid w:val="00ED2C9B"/>
    <w:rsid w:val="00ED672D"/>
    <w:rsid w:val="00EE46A8"/>
    <w:rsid w:val="00EF5227"/>
    <w:rsid w:val="00F33888"/>
    <w:rsid w:val="00F3571E"/>
    <w:rsid w:val="00F54B63"/>
    <w:rsid w:val="00F67349"/>
    <w:rsid w:val="00F677DB"/>
    <w:rsid w:val="00F92647"/>
    <w:rsid w:val="00FB0B10"/>
    <w:rsid w:val="00FD14E8"/>
    <w:rsid w:val="00FE4FB7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BD89D4"/>
  <w15:docId w15:val="{43EFE97B-0737-4B4E-9299-490AB5BD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86590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aliases w:val="Bullet1,Styl moj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99"/>
    <w:qFormat/>
    <w:rsid w:val="00766318"/>
    <w:pPr>
      <w:ind w:left="720"/>
      <w:contextualSpacing/>
    </w:pPr>
  </w:style>
  <w:style w:type="paragraph" w:styleId="Poprawka">
    <w:name w:val="Revision"/>
    <w:hidden/>
    <w:uiPriority w:val="99"/>
    <w:semiHidden/>
    <w:rsid w:val="007820ED"/>
    <w:rPr>
      <w:sz w:val="24"/>
      <w:szCs w:val="24"/>
    </w:rPr>
  </w:style>
  <w:style w:type="character" w:customStyle="1" w:styleId="AkapitzlistZnak">
    <w:name w:val="Akapit z listą Znak"/>
    <w:aliases w:val="Bullet1 Znak,Styl moj Znak,aotm_załączniki Znak,Akapit z listą11 Znak,Table Legend Znak,Dot pt Znak,F5 List Paragraph Znak,List Paragraph1 Znak,No Spacing1 Znak,List Paragraph Char Char Char Znak,Indicator Text Znak,Bullet 1 Znak"/>
    <w:basedOn w:val="Domylnaczcionkaakapitu"/>
    <w:link w:val="Akapitzlist"/>
    <w:uiPriority w:val="99"/>
    <w:qFormat/>
    <w:rsid w:val="00900C59"/>
    <w:rPr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FB0B10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FB0B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FB0B10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FB0B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FB0B10"/>
    <w:rPr>
      <w:b/>
      <w:bCs/>
    </w:rPr>
  </w:style>
  <w:style w:type="character" w:customStyle="1" w:styleId="cf01">
    <w:name w:val="cf01"/>
    <w:basedOn w:val="Domylnaczcionkaakapitu"/>
    <w:rsid w:val="002F17D0"/>
    <w:rPr>
      <w:rFonts w:ascii="Segoe UI" w:hAnsi="Segoe UI" w:cs="Segoe UI" w:hint="default"/>
      <w:sz w:val="18"/>
      <w:szCs w:val="18"/>
      <w:shd w:val="clear" w:color="auto" w:fill="00FF00"/>
    </w:rPr>
  </w:style>
  <w:style w:type="paragraph" w:customStyle="1" w:styleId="pf0">
    <w:name w:val="pf0"/>
    <w:basedOn w:val="Normalny"/>
    <w:rsid w:val="006C06BC"/>
    <w:pPr>
      <w:spacing w:before="100" w:beforeAutospacing="1" w:after="100" w:afterAutospacing="1"/>
    </w:pPr>
  </w:style>
  <w:style w:type="character" w:customStyle="1" w:styleId="ui-provider">
    <w:name w:val="ui-provider"/>
    <w:basedOn w:val="Domylnaczcionkaakapitu"/>
    <w:rsid w:val="00B2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E8DA-55A0-4592-AE88-4649CCE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2426</Words>
  <Characters>16277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>Ministerstwo Zdrowia</Company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lastModifiedBy>Wilk Justyna</cp:lastModifiedBy>
  <cp:revision>4</cp:revision>
  <cp:lastPrinted>2014-05-08T07:00:00Z</cp:lastPrinted>
  <dcterms:created xsi:type="dcterms:W3CDTF">2024-09-11T18:54:00Z</dcterms:created>
  <dcterms:modified xsi:type="dcterms:W3CDTF">2024-09-12T12:45:00Z</dcterms:modified>
</cp:coreProperties>
</file>