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D281" w14:textId="6FC6C5F3" w:rsidR="00C42E0B" w:rsidRPr="00E21881" w:rsidRDefault="00C42E0B" w:rsidP="000D6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E21881">
        <w:rPr>
          <w:rFonts w:ascii="Times New Roman" w:hAnsi="Times New Roman" w:cs="Times New Roman"/>
          <w:bCs/>
        </w:rPr>
        <w:t>Załącznik</w:t>
      </w:r>
      <w:r w:rsidR="00A862A6" w:rsidRPr="00E21881">
        <w:rPr>
          <w:rFonts w:ascii="Times New Roman" w:hAnsi="Times New Roman" w:cs="Times New Roman"/>
          <w:bCs/>
        </w:rPr>
        <w:t xml:space="preserve"> </w:t>
      </w:r>
      <w:r w:rsidRPr="00E21881">
        <w:rPr>
          <w:rFonts w:ascii="Times New Roman" w:hAnsi="Times New Roman" w:cs="Times New Roman"/>
          <w:bCs/>
        </w:rPr>
        <w:t>B.56</w:t>
      </w:r>
      <w:r w:rsidR="00CF4AE1" w:rsidRPr="00E21881">
        <w:rPr>
          <w:rFonts w:ascii="Times New Roman" w:hAnsi="Times New Roman" w:cs="Times New Roman"/>
          <w:bCs/>
        </w:rPr>
        <w:t>.</w:t>
      </w:r>
    </w:p>
    <w:p w14:paraId="53BA7DB9" w14:textId="77777777" w:rsidR="00C42E0B" w:rsidRPr="00E21881" w:rsidRDefault="00C42E0B" w:rsidP="000D6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475FA66" w14:textId="784F14B0" w:rsidR="00491560" w:rsidRPr="00E21881" w:rsidRDefault="00491560" w:rsidP="004C6726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bookmarkStart w:id="0" w:name="_Hlk110000437"/>
      <w:r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>LECZENIE</w:t>
      </w:r>
      <w:r w:rsidR="00A862A6"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r w:rsidR="00B92CB9"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>CHORYCH</w:t>
      </w:r>
      <w:r w:rsidR="00A862A6"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r w:rsidR="00B92CB9"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>NA</w:t>
      </w:r>
      <w:r w:rsidR="00A862A6"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r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>RAKA</w:t>
      </w:r>
      <w:r w:rsidR="00A862A6"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r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>GRUCZOŁU</w:t>
      </w:r>
      <w:r w:rsidR="00A862A6"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r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>KROKOWEGO</w:t>
      </w:r>
      <w:r w:rsidR="00A862A6"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r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>(ICD-10</w:t>
      </w:r>
      <w:r w:rsidR="00772B8E"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>:</w:t>
      </w:r>
      <w:r w:rsidR="00A862A6"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r w:rsidRPr="00E21881">
        <w:rPr>
          <w:rFonts w:ascii="Times New Roman" w:eastAsia="Times New Roman" w:hAnsi="Times New Roman" w:cs="Times New Roman"/>
          <w:b/>
          <w:bCs/>
          <w:sz w:val="28"/>
          <w:szCs w:val="20"/>
        </w:rPr>
        <w:t>C61)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6798"/>
        <w:gridCol w:w="4364"/>
        <w:gridCol w:w="4226"/>
      </w:tblGrid>
      <w:tr w:rsidR="00491560" w:rsidRPr="00E21881" w14:paraId="707334B3" w14:textId="77777777" w:rsidTr="000D6E31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14:paraId="2D13ECE1" w14:textId="44F56503" w:rsidR="00491560" w:rsidRPr="00E21881" w:rsidRDefault="00491560" w:rsidP="000D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ZAKRES</w:t>
            </w:r>
            <w:r w:rsidR="00A862A6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ŚWIADCZENIA</w:t>
            </w:r>
            <w:r w:rsidR="00A862A6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GWARANTOWANEGO</w:t>
            </w:r>
          </w:p>
        </w:tc>
      </w:tr>
      <w:tr w:rsidR="00A862A6" w:rsidRPr="00E21881" w14:paraId="15A5697E" w14:textId="77777777" w:rsidTr="004002FB">
        <w:trPr>
          <w:trHeight w:val="567"/>
        </w:trPr>
        <w:tc>
          <w:tcPr>
            <w:tcW w:w="2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9A361" w14:textId="77777777" w:rsidR="00491560" w:rsidRPr="00E21881" w:rsidRDefault="00491560" w:rsidP="000D6E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ŚWIADCZENIOBIORCY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31BEA" w14:textId="74F15F8E" w:rsidR="00491560" w:rsidRPr="00E21881" w:rsidRDefault="00491560" w:rsidP="000D6E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SCHEMAT</w:t>
            </w:r>
            <w:r w:rsidR="00A862A6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A6D83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DAWKOWANIA LE</w:t>
            </w:r>
            <w:r w:rsidR="004377CE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KÓW</w:t>
            </w:r>
            <w:r w:rsidR="000A6D83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03C40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  <w:r w:rsidR="000A6D83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 PROGRAMIE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2B5CD" w14:textId="0B07CF66" w:rsidR="00491560" w:rsidRPr="00E21881" w:rsidRDefault="00491560" w:rsidP="000D6E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BADANIA</w:t>
            </w:r>
            <w:r w:rsidR="00A862A6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DIAGNOSTYCZNE</w:t>
            </w:r>
            <w:r w:rsidR="00A862A6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WYKONYWANE</w:t>
            </w:r>
            <w:r w:rsidR="00A862A6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</w:t>
            </w:r>
            <w:r w:rsidR="00A862A6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RAMACH</w:t>
            </w:r>
            <w:r w:rsidR="00A862A6"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218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PROGRAMU</w:t>
            </w:r>
          </w:p>
        </w:tc>
      </w:tr>
      <w:tr w:rsidR="00A862A6" w:rsidRPr="00DE1BAD" w14:paraId="46A2534B" w14:textId="77777777" w:rsidTr="004002FB">
        <w:trPr>
          <w:trHeight w:val="20"/>
        </w:trPr>
        <w:tc>
          <w:tcPr>
            <w:tcW w:w="2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5BCF8" w14:textId="5089FF7B" w:rsidR="00B95657" w:rsidRPr="00E21881" w:rsidRDefault="00B95657" w:rsidP="00303C40">
            <w:pPr>
              <w:pStyle w:val="Tekstkomentarza"/>
              <w:spacing w:before="120" w:after="60" w:line="276" w:lineRule="auto"/>
              <w:jc w:val="both"/>
              <w:rPr>
                <w:rFonts w:ascii="Times New Roman" w:hAnsi="Times New Roman" w:cs="Times New Roman"/>
              </w:rPr>
            </w:pPr>
            <w:bookmarkStart w:id="1" w:name="_Hlk126516355"/>
            <w:r w:rsidRPr="00E21881">
              <w:rPr>
                <w:rFonts w:ascii="Times New Roman" w:hAnsi="Times New Roman" w:cs="Times New Roman"/>
              </w:rPr>
              <w:t>W programie finansuje się tylko jedną linię hormonoterapii lekiem nowej generacji</w:t>
            </w:r>
            <w:r w:rsidR="00A0274F" w:rsidRPr="00E21881">
              <w:rPr>
                <w:rFonts w:ascii="Times New Roman" w:hAnsi="Times New Roman" w:cs="Times New Roman"/>
              </w:rPr>
              <w:t xml:space="preserve"> i</w:t>
            </w:r>
            <w:r w:rsidR="00B63D2C" w:rsidRPr="00E21881">
              <w:rPr>
                <w:rFonts w:ascii="Times New Roman" w:hAnsi="Times New Roman" w:cs="Times New Roman"/>
              </w:rPr>
              <w:t xml:space="preserve"> </w:t>
            </w:r>
            <w:r w:rsidR="00227946" w:rsidRPr="00E21881">
              <w:rPr>
                <w:rFonts w:ascii="Times New Roman" w:hAnsi="Times New Roman" w:cs="Times New Roman"/>
              </w:rPr>
              <w:t>jedną linię terapii inhibitorem PARP</w:t>
            </w:r>
            <w:r w:rsidR="00BA2B13" w:rsidRPr="00E21881">
              <w:t xml:space="preserve"> </w:t>
            </w:r>
            <w:r w:rsidR="00BA2B13" w:rsidRPr="00E21881">
              <w:rPr>
                <w:rFonts w:ascii="Times New Roman" w:hAnsi="Times New Roman" w:cs="Times New Roman"/>
              </w:rPr>
              <w:t>z wykorzystaniem substancji:</w:t>
            </w:r>
            <w:r w:rsidRPr="00E21881">
              <w:rPr>
                <w:rFonts w:ascii="Times New Roman" w:hAnsi="Times New Roman" w:cs="Times New Roman"/>
              </w:rPr>
              <w:t xml:space="preserve"> </w:t>
            </w:r>
          </w:p>
          <w:bookmarkEnd w:id="1"/>
          <w:p w14:paraId="55A131A3" w14:textId="7034C539" w:rsidR="007D0522" w:rsidRPr="00D652EA" w:rsidRDefault="007D0522" w:rsidP="00D652EA">
            <w:pPr>
              <w:pStyle w:val="Akapitzlist"/>
              <w:widowControl w:val="0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apalutamid</w:t>
            </w:r>
            <w:proofErr w:type="spellEnd"/>
            <w:r w:rsidR="00560713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5FF3E020" w14:textId="337F0223" w:rsidR="007D0522" w:rsidRPr="00D652EA" w:rsidRDefault="007D0522" w:rsidP="00D652EA">
            <w:pPr>
              <w:pStyle w:val="Akapitzlist"/>
              <w:widowControl w:val="0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darolutamid</w:t>
            </w:r>
            <w:proofErr w:type="spellEnd"/>
            <w:r w:rsidR="00560713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37C269D1" w14:textId="14FA653E" w:rsidR="007D0522" w:rsidRPr="00D652EA" w:rsidRDefault="007D0522" w:rsidP="00D652EA">
            <w:pPr>
              <w:pStyle w:val="Akapitzlist"/>
              <w:widowControl w:val="0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enzalutamid</w:t>
            </w:r>
            <w:proofErr w:type="spellEnd"/>
            <w:r w:rsidR="00560713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0FD4BFCD" w14:textId="530561AA" w:rsidR="00504BAD" w:rsidRPr="00B556C6" w:rsidRDefault="004943AE" w:rsidP="00D652EA">
            <w:pPr>
              <w:pStyle w:val="Akapitzlist"/>
              <w:widowControl w:val="0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olaparyb</w:t>
            </w:r>
            <w:proofErr w:type="spellEnd"/>
            <w:r w:rsidR="00504BAD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4B4544D9" w14:textId="02FA7269" w:rsidR="00D0654C" w:rsidRPr="00B556C6" w:rsidRDefault="00504BAD" w:rsidP="00D652EA">
            <w:pPr>
              <w:pStyle w:val="Akapitzlist"/>
              <w:widowControl w:val="0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niraparyb</w:t>
            </w:r>
            <w:proofErr w:type="spellEnd"/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+ octan </w:t>
            </w:r>
            <w:proofErr w:type="spellStart"/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abirateronu</w:t>
            </w:r>
            <w:proofErr w:type="spellEnd"/>
            <w:r w:rsidR="0061184F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74E65B48" w14:textId="5C7FCEA6" w:rsidR="0061184F" w:rsidRPr="00B556C6" w:rsidRDefault="0061184F" w:rsidP="0061184F">
            <w:pPr>
              <w:pStyle w:val="Akapitzlist"/>
              <w:numPr>
                <w:ilvl w:val="3"/>
                <w:numId w:val="1"/>
              </w:num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talazoparyb</w:t>
            </w:r>
            <w:proofErr w:type="spellEnd"/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  <w:p w14:paraId="512A0397" w14:textId="6B0B15C6" w:rsidR="001B0E04" w:rsidRPr="00D652EA" w:rsidRDefault="001B0E04" w:rsidP="00D652EA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W leczeniu </w:t>
            </w:r>
            <w:r w:rsidR="00EF44C2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wrażliwego na kastrację</w:t>
            </w:r>
            <w:r w:rsidR="00EF44C2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raka gruczołu krokowego</w:t>
            </w:r>
            <w:r w:rsidR="00B63D2C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z przerzutami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017DA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(</w:t>
            </w:r>
            <w:proofErr w:type="spellStart"/>
            <w:r w:rsidR="00017DA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mHSPC</w:t>
            </w:r>
            <w:proofErr w:type="spellEnd"/>
            <w:r w:rsidR="00017DA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) 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stosowany jest</w:t>
            </w: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apalutamid</w:t>
            </w:r>
            <w:proofErr w:type="spellEnd"/>
            <w:r w:rsidR="000B1521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0B1521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albo</w:t>
            </w:r>
            <w:r w:rsidR="000B1521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0B1521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darolutamid</w:t>
            </w:r>
            <w:proofErr w:type="spellEnd"/>
            <w:r w:rsidR="00E85523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E85523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albo</w:t>
            </w:r>
            <w:r w:rsidR="00E85523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E85523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enzalutamid</w:t>
            </w:r>
            <w:proofErr w:type="spellEnd"/>
            <w:r w:rsidR="0067580D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.</w:t>
            </w:r>
          </w:p>
          <w:p w14:paraId="53D8A088" w14:textId="30E22A9E" w:rsidR="001B0E04" w:rsidRPr="00D652EA" w:rsidRDefault="001B0E04" w:rsidP="00D652EA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W leczeniu </w:t>
            </w: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opornego na kastrację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raka gruczołu krokowego</w:t>
            </w:r>
            <w:r w:rsidR="00B63D2C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bez przerzutów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017DA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(</w:t>
            </w:r>
            <w:proofErr w:type="spellStart"/>
            <w:r w:rsidR="00017DA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nmCRPC</w:t>
            </w:r>
            <w:proofErr w:type="spellEnd"/>
            <w:r w:rsidR="00017DA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) 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stosowany jest </w:t>
            </w:r>
            <w:proofErr w:type="spellStart"/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apalutamid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albo </w:t>
            </w:r>
            <w:proofErr w:type="spellStart"/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darolutamid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albo </w:t>
            </w:r>
            <w:proofErr w:type="spellStart"/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enzalutamid</w:t>
            </w:r>
            <w:proofErr w:type="spellEnd"/>
            <w:r w:rsidR="0067580D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.</w:t>
            </w:r>
          </w:p>
          <w:p w14:paraId="1DE1276A" w14:textId="47E99E43" w:rsidR="008626CB" w:rsidRPr="00B556C6" w:rsidRDefault="001B0E04" w:rsidP="00D652EA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W leczeniu </w:t>
            </w: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opornego na kastrację 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raka gruczołu krokowego</w:t>
            </w:r>
            <w:r w:rsidR="00B63D2C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z przerzutami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017DA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(</w:t>
            </w:r>
            <w:proofErr w:type="spellStart"/>
            <w:r w:rsidR="00017DA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mCRPC</w:t>
            </w:r>
            <w:proofErr w:type="spellEnd"/>
            <w:r w:rsidR="00017DA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)</w:t>
            </w:r>
            <w:r w:rsidR="00303C40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stosowany jest </w:t>
            </w:r>
            <w:proofErr w:type="spellStart"/>
            <w:r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enzalutamid</w:t>
            </w:r>
            <w:proofErr w:type="spellEnd"/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E36E5E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albo</w:t>
            </w:r>
            <w:r w:rsidR="00E36E5E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olaparyb</w:t>
            </w:r>
            <w:proofErr w:type="spellEnd"/>
            <w:r w:rsidR="00B56B57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B56B57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albo</w:t>
            </w:r>
            <w:r w:rsidR="00B56B57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B56B57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niraparyb</w:t>
            </w:r>
            <w:proofErr w:type="spellEnd"/>
            <w:r w:rsidR="00B56B57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+ octan </w:t>
            </w:r>
            <w:proofErr w:type="spellStart"/>
            <w:r w:rsidR="00B56B57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abirateronu</w:t>
            </w:r>
            <w:proofErr w:type="spellEnd"/>
            <w:r w:rsidR="0061184F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albo </w:t>
            </w:r>
            <w:proofErr w:type="spellStart"/>
            <w:r w:rsidR="0061184F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talazoparyb</w:t>
            </w:r>
            <w:proofErr w:type="spellEnd"/>
            <w:r w:rsidR="0061184F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w skojarzeniu z </w:t>
            </w:r>
            <w:proofErr w:type="spellStart"/>
            <w:r w:rsidR="0061184F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enzalutamidem</w:t>
            </w:r>
            <w:proofErr w:type="spellEnd"/>
            <w:r w:rsidR="0061184F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.</w:t>
            </w:r>
          </w:p>
          <w:p w14:paraId="1DF917D4" w14:textId="425C3772" w:rsidR="00E27E63" w:rsidRPr="00B556C6" w:rsidRDefault="00E27E63" w:rsidP="00D652EA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14:paraId="66C7F26B" w14:textId="21F3C69F" w:rsidR="00E27E63" w:rsidRPr="00D652EA" w:rsidRDefault="00E27E63" w:rsidP="00D652EA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 programie istnieje jednorazowa możliwość leczenia niesteroidowym antyandrogen</w:t>
            </w:r>
            <w:r w:rsidR="00B23D65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em</w:t>
            </w:r>
            <w:r w:rsidR="00A0274F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oraz</w:t>
            </w:r>
            <w:r w:rsidR="00346AF8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inhibitorem PARP</w:t>
            </w:r>
            <w:r w:rsidR="00A0274F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  <w:p w14:paraId="13642951" w14:textId="77777777" w:rsidR="001869D7" w:rsidRPr="00D652EA" w:rsidRDefault="001869D7" w:rsidP="00D652EA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14:paraId="3A242DE0" w14:textId="63C30237" w:rsidR="008D37B1" w:rsidRPr="00D652EA" w:rsidRDefault="008D37B1" w:rsidP="00D652EA">
            <w:pPr>
              <w:pStyle w:val="Akapitzlist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Kryteria </w:t>
            </w:r>
            <w:r w:rsidR="005A6322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k</w:t>
            </w: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walifikacji </w:t>
            </w:r>
          </w:p>
          <w:p w14:paraId="6E1FDEAA" w14:textId="36E4BE70" w:rsidR="00886B5E" w:rsidRPr="00D652EA" w:rsidRDefault="00032E20" w:rsidP="00D652E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Muszą zostać spełnione łącznie kryteria ogólne (1.1.) oraz kryteria szczegółowe (1.2.) dla poszczególnych substancji czynnych.</w:t>
            </w:r>
          </w:p>
          <w:p w14:paraId="3C4C5837" w14:textId="77777777" w:rsidR="00032E20" w:rsidRPr="00D652EA" w:rsidRDefault="00032E20" w:rsidP="00D652E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047E03" w14:textId="3C251E24" w:rsidR="00886B5E" w:rsidRPr="00D652EA" w:rsidRDefault="00327C66" w:rsidP="00D652EA">
            <w:pPr>
              <w:pStyle w:val="Akapitzlist"/>
              <w:numPr>
                <w:ilvl w:val="1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Ogólne kryteria kwalifikacji</w:t>
            </w:r>
          </w:p>
          <w:p w14:paraId="393450CA" w14:textId="2C91A4C8" w:rsidR="00A11E82" w:rsidRPr="00D652EA" w:rsidRDefault="00476EE8" w:rsidP="00D652EA">
            <w:pPr>
              <w:pStyle w:val="Akapitzlist"/>
              <w:widowControl w:val="0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</w:pPr>
            <w:r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histologiczne rozpoznanie raka gruczołowego stercza</w:t>
            </w:r>
            <w:r w:rsidR="00A11E82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;</w:t>
            </w:r>
          </w:p>
          <w:p w14:paraId="51B9C157" w14:textId="63889065" w:rsidR="00B6788E" w:rsidRPr="00D652EA" w:rsidRDefault="00D301C1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</w:pPr>
            <w:r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ukończony 18. rok życia</w:t>
            </w:r>
            <w:r w:rsidR="00B6788E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;</w:t>
            </w:r>
          </w:p>
          <w:p w14:paraId="6EEE8F5A" w14:textId="1CA65E2B" w:rsidR="00C65579" w:rsidRPr="00D652EA" w:rsidRDefault="00A11E82" w:rsidP="00D652EA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stan sprawności</w:t>
            </w:r>
            <w:r w:rsidR="002F04FC" w:rsidRPr="00D652E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2B82F7" w14:textId="00DDA98A" w:rsidR="00911820" w:rsidRPr="00D652EA" w:rsidRDefault="00911820" w:rsidP="00D652EA">
            <w:pPr>
              <w:pStyle w:val="Akapitzlist"/>
              <w:numPr>
                <w:ilvl w:val="4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  <w:r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26843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według ECOG w przypadku leczenia </w:t>
            </w:r>
            <w:proofErr w:type="spellStart"/>
            <w:r w:rsidR="00194617" w:rsidRPr="00D652EA">
              <w:rPr>
                <w:rFonts w:ascii="Times New Roman" w:hAnsi="Times New Roman" w:cs="Times New Roman"/>
                <w:sz w:val="20"/>
                <w:szCs w:val="20"/>
              </w:rPr>
              <w:t>apalutamidem</w:t>
            </w:r>
            <w:proofErr w:type="spellEnd"/>
            <w:r w:rsidR="00731544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731544" w:rsidRPr="00D652EA">
              <w:rPr>
                <w:rFonts w:ascii="Times New Roman" w:hAnsi="Times New Roman" w:cs="Times New Roman"/>
                <w:sz w:val="20"/>
                <w:szCs w:val="20"/>
              </w:rPr>
              <w:t>darolutamidem</w:t>
            </w:r>
            <w:proofErr w:type="spellEnd"/>
            <w:r w:rsidR="00194617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2140" w:rsidRPr="00D652E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94617" w:rsidRPr="00D652EA">
              <w:rPr>
                <w:rFonts w:ascii="Times New Roman" w:hAnsi="Times New Roman" w:cs="Times New Roman"/>
                <w:sz w:val="20"/>
                <w:szCs w:val="20"/>
              </w:rPr>
              <w:t>nmCRPC</w:t>
            </w:r>
            <w:proofErr w:type="spellEnd"/>
            <w:r w:rsidR="00194617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="00194617" w:rsidRPr="00D652EA">
              <w:rPr>
                <w:rFonts w:ascii="Times New Roman" w:hAnsi="Times New Roman" w:cs="Times New Roman"/>
                <w:sz w:val="20"/>
                <w:szCs w:val="20"/>
              </w:rPr>
              <w:t>enzalutamidem</w:t>
            </w:r>
            <w:proofErr w:type="spellEnd"/>
            <w:r w:rsidR="00194617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194617" w:rsidRPr="00D652EA">
              <w:rPr>
                <w:rFonts w:ascii="Times New Roman" w:hAnsi="Times New Roman" w:cs="Times New Roman"/>
                <w:sz w:val="20"/>
                <w:szCs w:val="20"/>
              </w:rPr>
              <w:t>nmCRPC</w:t>
            </w:r>
            <w:proofErr w:type="spellEnd"/>
            <w:r w:rsidR="00194617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proofErr w:type="spellStart"/>
            <w:r w:rsidR="00194617" w:rsidRPr="00D652EA">
              <w:rPr>
                <w:rFonts w:ascii="Times New Roman" w:hAnsi="Times New Roman" w:cs="Times New Roman"/>
                <w:sz w:val="20"/>
                <w:szCs w:val="20"/>
              </w:rPr>
              <w:t>mCRPC</w:t>
            </w:r>
            <w:proofErr w:type="spellEnd"/>
            <w:r w:rsidR="00B23D65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788E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przed podaniem </w:t>
            </w:r>
            <w:proofErr w:type="spellStart"/>
            <w:r w:rsidR="00B6788E" w:rsidRPr="00D652EA">
              <w:rPr>
                <w:rFonts w:ascii="Times New Roman" w:hAnsi="Times New Roman" w:cs="Times New Roman"/>
                <w:sz w:val="20"/>
                <w:szCs w:val="20"/>
              </w:rPr>
              <w:t>docetakselu</w:t>
            </w:r>
            <w:proofErr w:type="spellEnd"/>
            <w:r w:rsidR="00B6788E" w:rsidRPr="00D652E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1184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2E31FA33" w14:textId="77777777" w:rsidR="00911820" w:rsidRPr="00D652EA" w:rsidRDefault="00726843" w:rsidP="00D652EA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albo </w:t>
            </w:r>
          </w:p>
          <w:p w14:paraId="7D85A6A2" w14:textId="42C7AA50" w:rsidR="00194617" w:rsidRPr="00B556C6" w:rsidRDefault="00726843" w:rsidP="00D652EA">
            <w:pPr>
              <w:pStyle w:val="Akapitzlist"/>
              <w:widowControl w:val="0"/>
              <w:numPr>
                <w:ilvl w:val="4"/>
                <w:numId w:val="2"/>
              </w:numPr>
              <w:tabs>
                <w:tab w:val="left" w:pos="761"/>
              </w:tabs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0-2</w:t>
            </w:r>
            <w:r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11820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według ECOG </w:t>
            </w: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w </w:t>
            </w:r>
            <w:r w:rsidRPr="00B556C6">
              <w:rPr>
                <w:rFonts w:ascii="Times New Roman" w:hAnsi="Times New Roman" w:cs="Times New Roman"/>
                <w:sz w:val="20"/>
                <w:szCs w:val="20"/>
              </w:rPr>
              <w:t>przypadku leczenia</w:t>
            </w:r>
            <w:r w:rsidR="00FC2140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C2140" w:rsidRPr="00B556C6">
              <w:rPr>
                <w:rFonts w:ascii="Times New Roman" w:hAnsi="Times New Roman" w:cs="Times New Roman"/>
                <w:sz w:val="20"/>
                <w:szCs w:val="20"/>
              </w:rPr>
              <w:t>apalutamidem</w:t>
            </w:r>
            <w:proofErr w:type="spellEnd"/>
            <w:r w:rsidR="00FC2140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FC2140" w:rsidRPr="00B556C6">
              <w:rPr>
                <w:rFonts w:ascii="Times New Roman" w:hAnsi="Times New Roman" w:cs="Times New Roman"/>
                <w:sz w:val="20"/>
                <w:szCs w:val="20"/>
              </w:rPr>
              <w:t>mHSPC</w:t>
            </w:r>
            <w:proofErr w:type="spellEnd"/>
            <w:r w:rsidR="00FC2140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B1521" w:rsidRPr="00B556C6">
              <w:rPr>
                <w:rFonts w:ascii="Times New Roman" w:hAnsi="Times New Roman" w:cs="Times New Roman"/>
                <w:sz w:val="20"/>
                <w:szCs w:val="20"/>
              </w:rPr>
              <w:t>darolutamidem</w:t>
            </w:r>
            <w:proofErr w:type="spellEnd"/>
            <w:r w:rsidR="000B1521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0B1521" w:rsidRPr="00B556C6">
              <w:rPr>
                <w:rFonts w:ascii="Times New Roman" w:hAnsi="Times New Roman" w:cs="Times New Roman"/>
                <w:sz w:val="20"/>
                <w:szCs w:val="20"/>
              </w:rPr>
              <w:t>mHSPC</w:t>
            </w:r>
            <w:proofErr w:type="spellEnd"/>
            <w:r w:rsidR="000B1521" w:rsidRPr="00B556C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F405E5" w:rsidRPr="00B556C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B1521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94617" w:rsidRPr="00B556C6">
              <w:rPr>
                <w:rFonts w:ascii="Times New Roman" w:hAnsi="Times New Roman" w:cs="Times New Roman"/>
                <w:sz w:val="20"/>
                <w:szCs w:val="20"/>
              </w:rPr>
              <w:t>enzalutamidem</w:t>
            </w:r>
            <w:proofErr w:type="spellEnd"/>
            <w:r w:rsidR="00194617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0B1521" w:rsidRPr="00B556C6">
              <w:rPr>
                <w:rFonts w:ascii="Times New Roman" w:hAnsi="Times New Roman" w:cs="Times New Roman"/>
                <w:sz w:val="20"/>
                <w:szCs w:val="20"/>
              </w:rPr>
              <w:t>mHSPC</w:t>
            </w:r>
            <w:proofErr w:type="spellEnd"/>
            <w:r w:rsidR="000B1521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194617" w:rsidRPr="00B556C6">
              <w:rPr>
                <w:rFonts w:ascii="Times New Roman" w:hAnsi="Times New Roman" w:cs="Times New Roman"/>
                <w:sz w:val="20"/>
                <w:szCs w:val="20"/>
              </w:rPr>
              <w:t>mCRPC</w:t>
            </w:r>
            <w:proofErr w:type="spellEnd"/>
            <w:r w:rsidR="00194617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po </w:t>
            </w:r>
            <w:r w:rsidR="00B6788E" w:rsidRPr="00B556C6">
              <w:rPr>
                <w:rFonts w:ascii="Times New Roman" w:hAnsi="Times New Roman" w:cs="Times New Roman"/>
                <w:sz w:val="20"/>
                <w:szCs w:val="20"/>
              </w:rPr>
              <w:t>wcześniejszym leczeniu</w:t>
            </w:r>
            <w:r w:rsidR="00194617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94617" w:rsidRPr="00B556C6">
              <w:rPr>
                <w:rFonts w:ascii="Times New Roman" w:hAnsi="Times New Roman" w:cs="Times New Roman"/>
                <w:sz w:val="20"/>
                <w:szCs w:val="20"/>
              </w:rPr>
              <w:t>docetaksel</w:t>
            </w:r>
            <w:r w:rsidR="00B6788E" w:rsidRPr="00B556C6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proofErr w:type="spellEnd"/>
            <w:r w:rsidR="00194617" w:rsidRPr="00B556C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828AF" w:rsidRPr="00B556C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94617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94617" w:rsidRPr="00B556C6">
              <w:rPr>
                <w:rFonts w:ascii="Times New Roman" w:hAnsi="Times New Roman" w:cs="Times New Roman"/>
                <w:sz w:val="20"/>
                <w:szCs w:val="20"/>
              </w:rPr>
              <w:t>olaparybem</w:t>
            </w:r>
            <w:proofErr w:type="spellEnd"/>
            <w:r w:rsidR="005A6602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proofErr w:type="spellStart"/>
            <w:r w:rsidR="005A6602" w:rsidRPr="00B556C6">
              <w:rPr>
                <w:rFonts w:ascii="Times New Roman" w:hAnsi="Times New Roman" w:cs="Times New Roman"/>
                <w:sz w:val="20"/>
                <w:szCs w:val="20"/>
              </w:rPr>
              <w:t>niraparybem</w:t>
            </w:r>
            <w:proofErr w:type="spellEnd"/>
            <w:r w:rsidR="005A6602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+ octanem </w:t>
            </w:r>
            <w:proofErr w:type="spellStart"/>
            <w:r w:rsidR="005A6602" w:rsidRPr="00B556C6">
              <w:rPr>
                <w:rFonts w:ascii="Times New Roman" w:hAnsi="Times New Roman" w:cs="Times New Roman"/>
                <w:sz w:val="20"/>
                <w:szCs w:val="20"/>
              </w:rPr>
              <w:t>abirateronu</w:t>
            </w:r>
            <w:proofErr w:type="spellEnd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proofErr w:type="spellStart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>talazoparybem</w:t>
            </w:r>
            <w:proofErr w:type="spellEnd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w skojarzeniu z </w:t>
            </w:r>
            <w:proofErr w:type="spellStart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>enzalutamidem</w:t>
            </w:r>
            <w:proofErr w:type="spellEnd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>mCRPC</w:t>
            </w:r>
            <w:proofErr w:type="spellEnd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717C391" w14:textId="582AD04B" w:rsidR="00A11E82" w:rsidRPr="00D652EA" w:rsidRDefault="00A11E82" w:rsidP="00D652EA">
            <w:pPr>
              <w:pStyle w:val="Akapitzlist"/>
              <w:widowControl w:val="0"/>
              <w:numPr>
                <w:ilvl w:val="3"/>
                <w:numId w:val="2"/>
              </w:numPr>
              <w:tabs>
                <w:tab w:val="left" w:pos="761"/>
              </w:tabs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556C6">
              <w:rPr>
                <w:rFonts w:ascii="Times New Roman" w:eastAsia="Calibri" w:hAnsi="Times New Roman" w:cs="Times New Roman"/>
                <w:sz w:val="20"/>
                <w:szCs w:val="20"/>
              </w:rPr>
              <w:t>adekwatna wydolność narządowa określona na</w:t>
            </w:r>
            <w:r w:rsidRPr="00D652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podstawie wyników badań laboratoryjnych krwi zgodnie z zapisami </w:t>
            </w:r>
            <w:r w:rsidR="00177493" w:rsidRPr="00D652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aktualnej </w:t>
            </w:r>
            <w:r w:rsidRPr="00D652EA">
              <w:rPr>
                <w:rFonts w:ascii="Times New Roman" w:eastAsia="Calibri" w:hAnsi="Times New Roman" w:cs="Times New Roman"/>
                <w:sz w:val="20"/>
                <w:szCs w:val="20"/>
              </w:rPr>
              <w:t>Charakterystyki Produktu Leczniczego (</w:t>
            </w:r>
            <w:proofErr w:type="spellStart"/>
            <w:r w:rsidRPr="00D652EA">
              <w:rPr>
                <w:rFonts w:ascii="Times New Roman" w:eastAsia="Calibri" w:hAnsi="Times New Roman" w:cs="Times New Roman"/>
                <w:sz w:val="20"/>
                <w:szCs w:val="20"/>
              </w:rPr>
              <w:t>ChPL</w:t>
            </w:r>
            <w:proofErr w:type="spellEnd"/>
            <w:r w:rsidRPr="00D652EA">
              <w:rPr>
                <w:rFonts w:ascii="Times New Roman" w:eastAsia="Calibri" w:hAnsi="Times New Roman" w:cs="Times New Roman"/>
                <w:sz w:val="20"/>
                <w:szCs w:val="20"/>
              </w:rPr>
              <w:t>);</w:t>
            </w:r>
          </w:p>
          <w:p w14:paraId="65B6825E" w14:textId="118DA6E8" w:rsidR="00A11E82" w:rsidRPr="00D652EA" w:rsidRDefault="00A11E82" w:rsidP="00D652EA">
            <w:pPr>
              <w:pStyle w:val="Akapitzlist"/>
              <w:widowControl w:val="0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brak przeciwwskazań do stosowania </w:t>
            </w:r>
            <w:r w:rsidR="00A6366E" w:rsidRPr="00D652EA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zgodnie z</w:t>
            </w:r>
            <w:r w:rsidR="00A6366E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zapisami</w:t>
            </w: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7493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aktualnej </w:t>
            </w:r>
            <w:proofErr w:type="spellStart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ChPL</w:t>
            </w:r>
            <w:proofErr w:type="spellEnd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55E8853" w14:textId="77777777" w:rsidR="00177493" w:rsidRPr="00D652EA" w:rsidRDefault="000A507C" w:rsidP="00D652EA">
            <w:pPr>
              <w:pStyle w:val="Akapitzlist"/>
              <w:widowControl w:val="0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nieobecność schorzeń lub stanów stanowiących przeciwskazanie do zastosowania terapii</w:t>
            </w:r>
            <w:r w:rsidR="00FE49B5" w:rsidRPr="00D652E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7BB3654" w14:textId="5A1C2905" w:rsidR="00DB4537" w:rsidRPr="00D652EA" w:rsidRDefault="00FE49B5" w:rsidP="00D652EA">
            <w:pPr>
              <w:pStyle w:val="Akapitzlist"/>
              <w:widowControl w:val="0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nieobecność innych nowotworów niekontrolowanych leczeniem;</w:t>
            </w:r>
          </w:p>
          <w:p w14:paraId="21301411" w14:textId="2B92288E" w:rsidR="000B4003" w:rsidRPr="00D652EA" w:rsidRDefault="00FE49B5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</w:pPr>
            <w:r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brak </w:t>
            </w:r>
            <w:r w:rsidR="00C6578F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rozpoznani</w:t>
            </w:r>
            <w:r w:rsidR="00177493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a</w:t>
            </w:r>
            <w:r w:rsidR="00C6578F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raka stercza z różnicowaniem neuroendokrynnym lub raka</w:t>
            </w:r>
            <w:r w:rsidR="000B4003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</w:t>
            </w:r>
            <w:r w:rsidR="00C6578F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drobnokomórkowego lub raka przewodowego</w:t>
            </w:r>
            <w:r w:rsidR="00E46071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.</w:t>
            </w:r>
          </w:p>
          <w:p w14:paraId="44A960A2" w14:textId="77777777" w:rsidR="008626CB" w:rsidRPr="00D652EA" w:rsidRDefault="008626CB" w:rsidP="00D652EA">
            <w:pPr>
              <w:widowControl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</w:pPr>
          </w:p>
          <w:p w14:paraId="1B9511E1" w14:textId="1B35B735" w:rsidR="00E46071" w:rsidRPr="00D652EA" w:rsidRDefault="004D441C" w:rsidP="00D652EA">
            <w:pPr>
              <w:pStyle w:val="Akapitzlist"/>
              <w:numPr>
                <w:ilvl w:val="1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DB4537"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zczegółowe kryteria kwalifikacji</w:t>
            </w:r>
          </w:p>
          <w:p w14:paraId="61BB2F58" w14:textId="31528D31" w:rsidR="002D241D" w:rsidRPr="00D652EA" w:rsidRDefault="002D241D" w:rsidP="00D652EA">
            <w:pPr>
              <w:pStyle w:val="Akapitzlist"/>
              <w:widowControl w:val="0"/>
              <w:numPr>
                <w:ilvl w:val="2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pl-PL"/>
              </w:rPr>
            </w:pPr>
            <w:r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pl-PL"/>
              </w:rPr>
              <w:t>Chorych na wrażliwego na kastrację raka gruczołu krokowego z przerzutami</w:t>
            </w:r>
            <w:r w:rsidR="001C45DB"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pl-PL"/>
              </w:rPr>
              <w:t xml:space="preserve"> </w:t>
            </w:r>
            <w:proofErr w:type="spellStart"/>
            <w:r w:rsidR="001C45DB"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pl-PL"/>
              </w:rPr>
              <w:t>apalutamidem</w:t>
            </w:r>
            <w:proofErr w:type="spellEnd"/>
            <w:r w:rsidR="001C45DB"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pl-PL"/>
              </w:rPr>
              <w:t xml:space="preserve"> albo </w:t>
            </w:r>
            <w:proofErr w:type="spellStart"/>
            <w:r w:rsidR="001C45DB"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pl-PL"/>
              </w:rPr>
              <w:t>enzalutamidem</w:t>
            </w:r>
            <w:proofErr w:type="spellEnd"/>
            <w:r w:rsidR="001C45DB"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pl-PL"/>
              </w:rPr>
              <w:t xml:space="preserve"> albo</w:t>
            </w:r>
            <w:r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pl-PL"/>
              </w:rPr>
              <w:t xml:space="preserve"> </w:t>
            </w:r>
            <w:proofErr w:type="spellStart"/>
            <w:r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pl-PL"/>
              </w:rPr>
              <w:t>darolutamidem</w:t>
            </w:r>
            <w:proofErr w:type="spellEnd"/>
            <w:r w:rsidR="001C45DB"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pl-PL"/>
              </w:rPr>
              <w:t xml:space="preserve"> w </w:t>
            </w:r>
            <w:r w:rsidR="001C45DB"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pl-PL"/>
              </w:rPr>
              <w:lastRenderedPageBreak/>
              <w:t xml:space="preserve">skojarzeniu z </w:t>
            </w:r>
            <w:proofErr w:type="spellStart"/>
            <w:r w:rsidR="001C45DB"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pl-PL"/>
              </w:rPr>
              <w:t>docetakselem</w:t>
            </w:r>
            <w:proofErr w:type="spellEnd"/>
          </w:p>
          <w:p w14:paraId="65142D71" w14:textId="77777777" w:rsidR="002D241D" w:rsidRPr="00D652EA" w:rsidRDefault="002D241D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hAnsi="Times New Roman" w:cs="Times New Roman"/>
                <w:color w:val="000000"/>
                <w:sz w:val="20"/>
                <w:szCs w:val="20"/>
                <w:lang w:bidi="pl-PL"/>
              </w:rPr>
              <w:t>stadium wrażliwości na kastrację;</w:t>
            </w:r>
          </w:p>
          <w:p w14:paraId="52202629" w14:textId="4D0DA4FB" w:rsidR="002D241D" w:rsidRPr="00D652EA" w:rsidRDefault="002D241D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udokumentowana możliwość rozpoczęcia leczenia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docetakselem</w:t>
            </w:r>
            <w:proofErr w:type="spellEnd"/>
            <w:r w:rsidR="001C45DB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(w przypadku leczenia </w:t>
            </w:r>
            <w:proofErr w:type="spellStart"/>
            <w:r w:rsidR="001C45DB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darolutamidem</w:t>
            </w:r>
            <w:proofErr w:type="spellEnd"/>
            <w:r w:rsidR="001C45DB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)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266130F1" w14:textId="3B85C974" w:rsidR="00B45B42" w:rsidRPr="00D652EA" w:rsidRDefault="00B23D65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zakończone leczenie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docetakselem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albo </w:t>
            </w:r>
            <w:r w:rsidR="00B45B42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decyzja lekarza o </w:t>
            </w:r>
            <w:r w:rsidR="00074CFC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odstąpieniu od stosowania </w:t>
            </w:r>
            <w:proofErr w:type="spellStart"/>
            <w:r w:rsidR="00074CFC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docetakselu</w:t>
            </w:r>
            <w:proofErr w:type="spellEnd"/>
            <w:r w:rsidR="007E3BD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wraz z jej uzasadnieniem </w:t>
            </w:r>
            <w:r w:rsidR="007E3BD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(w przypadku leczenia </w:t>
            </w:r>
            <w:proofErr w:type="spellStart"/>
            <w:r w:rsidR="007E3BD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apalutamidem</w:t>
            </w:r>
            <w:proofErr w:type="spellEnd"/>
            <w:r w:rsidR="007E3BD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albo </w:t>
            </w:r>
            <w:proofErr w:type="spellStart"/>
            <w:r w:rsidR="007E3BD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enzalutamidem</w:t>
            </w:r>
            <w:proofErr w:type="spellEnd"/>
            <w:r w:rsidR="007E3BD7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);</w:t>
            </w:r>
          </w:p>
          <w:p w14:paraId="3664D221" w14:textId="77777777" w:rsidR="002D241D" w:rsidRPr="00D652EA" w:rsidRDefault="002D241D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brak cech radiologicznej lub biochemicznej progresji u chorych leczonych deprywacją androgenów przed włączeniem do programu;</w:t>
            </w:r>
          </w:p>
          <w:p w14:paraId="54DE10A8" w14:textId="18CC4D78" w:rsidR="002D241D" w:rsidRPr="00D652EA" w:rsidRDefault="002D241D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obecność przerzutów potwierdzona w badaniu scyntygrafii kości lub przerzutów do tkanek miękkich lub przerzutów trzewnych w badaniach obrazowych (TK/MR)</w:t>
            </w:r>
            <w:r w:rsidR="00D20620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,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w przypadku występowania wyłącznie przerzutów do węzłów chłonnych do programu mogą zakwalifikować się jedynie pacjenci z przerzutami nieregionalnymi (tj. występującymi powyżej rozwidlenia aorty);</w:t>
            </w:r>
          </w:p>
          <w:p w14:paraId="6631E09C" w14:textId="77777777" w:rsidR="002D241D" w:rsidRPr="00D652EA" w:rsidRDefault="002D241D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dopuszczalne jest wcześniejsze leczenie o założeniu radykalnym, w tym stosowanie hormonoterapii uzupełniającej przez maksymalnie 3 lata, o ile została zakończona co najmniej rok wcześniej;</w:t>
            </w:r>
          </w:p>
          <w:p w14:paraId="2282A9E0" w14:textId="77777777" w:rsidR="002D241D" w:rsidRPr="00D652EA" w:rsidRDefault="002D241D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dopuszczalne jest wcześniejsze leczenie deprywacją androgenów (kastracja farmakologiczna lub chirurgiczna), ale nie dłużej niż 6 miesięcy na etapie choroby przerzutowej;</w:t>
            </w:r>
          </w:p>
          <w:p w14:paraId="09BBAAC1" w14:textId="77777777" w:rsidR="002D241D" w:rsidRPr="00D652EA" w:rsidRDefault="002D241D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niestosowanie wcześniejszego leczenia octanem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abirateronu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7F926050" w14:textId="43A5F085" w:rsidR="002D241D" w:rsidRPr="00D652EA" w:rsidRDefault="002D241D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niestosowanie leków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antyresorpcyjnych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wpływających na metabolizm kostny (nie dotyczy leków stosowanych w leczeniu </w:t>
            </w:r>
            <w:r w:rsidR="00B23D65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lub profilaktyce 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osteoporozy);</w:t>
            </w: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219C583" w14:textId="77777777" w:rsidR="002D241D" w:rsidRPr="00D652EA" w:rsidRDefault="002D241D" w:rsidP="00D652EA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14:paraId="3EF46B17" w14:textId="28F28C68" w:rsidR="007A055A" w:rsidRPr="00D652EA" w:rsidRDefault="00BE3676" w:rsidP="00D652EA">
            <w:pPr>
              <w:pStyle w:val="Akapitzlist"/>
              <w:numPr>
                <w:ilvl w:val="2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</w:pPr>
            <w:r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>Chorych</w:t>
            </w:r>
            <w:r w:rsidR="00F149E9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 xml:space="preserve"> na </w:t>
            </w:r>
            <w:r w:rsidR="00D761A4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>opornego na kastrację raka gruczołu krokowego bez przerzutów</w:t>
            </w:r>
            <w:r w:rsidR="007A055A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 xml:space="preserve"> </w:t>
            </w:r>
            <w:proofErr w:type="spellStart"/>
            <w:r w:rsidR="007A055A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>apalutamidem</w:t>
            </w:r>
            <w:proofErr w:type="spellEnd"/>
            <w:r w:rsidR="007A055A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 xml:space="preserve"> albo </w:t>
            </w:r>
            <w:proofErr w:type="spellStart"/>
            <w:r w:rsidR="007A055A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>darolutamidem</w:t>
            </w:r>
            <w:proofErr w:type="spellEnd"/>
            <w:r w:rsidR="007A055A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 xml:space="preserve"> albo </w:t>
            </w:r>
            <w:proofErr w:type="spellStart"/>
            <w:r w:rsidR="007A055A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>enzalutamidem</w:t>
            </w:r>
            <w:proofErr w:type="spellEnd"/>
          </w:p>
          <w:p w14:paraId="04DDD440" w14:textId="77777777" w:rsidR="007F36A1" w:rsidRPr="00D652EA" w:rsidRDefault="007A055A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stadium oporności na kastrację, określone na podstawie oznaczenia stężenia testosteronu w surowicy wynoszącego 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50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ng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/dl lub mniej (tj. wynoszącego 1,7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nmol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/l lub mniej), u chorych z progresją choroby ocenioną wg kryterium w pkt </w:t>
            </w:r>
            <w:r w:rsidR="002626B6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43D3756F" w14:textId="5D9B2BAB" w:rsidR="007F36A1" w:rsidRPr="00D652EA" w:rsidRDefault="007F36A1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progresja choroby określona na podstawie trzech kolejnych wzrostów stężenia PSA, oznaczonego w co najmniej tygodniowych odstępach, z dwoma wzrostami o co najmniej 50% wobec wartości wyjściowej (nadir) i stężenie PSA &gt;2 </w:t>
            </w:r>
            <w:proofErr w:type="spellStart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ng</w:t>
            </w:r>
            <w:proofErr w:type="spellEnd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/ml;</w:t>
            </w:r>
          </w:p>
          <w:p w14:paraId="0ACEFDC2" w14:textId="3CDE4859" w:rsidR="002626B6" w:rsidRPr="00D652EA" w:rsidRDefault="007A055A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brak przerzutów odległych (cecha M0, dopuszczalne są jedynie przerzuty w węzłach chłonnych poniżej rozwidlenia aorty</w:t>
            </w:r>
            <w:r w:rsidR="009930A1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,</w:t>
            </w:r>
            <w:r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o ile w krótkim wymiarze mają mniej niż 2 cm – cecha N1)</w:t>
            </w:r>
            <w:r w:rsidR="00C831A3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na podstawie scyntygrafii kości</w:t>
            </w:r>
            <w:r w:rsidR="00AF079D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oraz</w:t>
            </w:r>
            <w:r w:rsidR="00C831A3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tomografii komputerowej lub rezonansu magnetycznego</w:t>
            </w:r>
            <w:r w:rsidR="004A1B03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lub</w:t>
            </w:r>
            <w:r w:rsidR="00AF079D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</w:t>
            </w:r>
            <w:r w:rsidR="00C90AA6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rentgenografii</w:t>
            </w:r>
            <w:r w:rsidR="00AF079D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klatki piersiowej</w:t>
            </w:r>
            <w:r w:rsidR="004178CD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;</w:t>
            </w:r>
          </w:p>
          <w:p w14:paraId="390DD727" w14:textId="43139324" w:rsidR="007A055A" w:rsidRPr="00D652EA" w:rsidRDefault="007A055A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Calibri" w:hAnsi="Times New Roman" w:cs="Times New Roman"/>
                <w:sz w:val="20"/>
                <w:szCs w:val="20"/>
              </w:rPr>
              <w:t>wysokie ryzyko rozwoju przerzutów,</w:t>
            </w:r>
            <w:r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zdefiniowane jako</w:t>
            </w: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czas podwojenia stężenia PSA (PSA </w:t>
            </w:r>
            <w:proofErr w:type="spellStart"/>
            <w:r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doubling</w:t>
            </w:r>
            <w:proofErr w:type="spellEnd"/>
            <w:r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</w:t>
            </w:r>
            <w:proofErr w:type="spellStart"/>
            <w:r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time</w:t>
            </w:r>
            <w:proofErr w:type="spellEnd"/>
            <w:r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– PSA DT) ≤ 10 miesięcy</w:t>
            </w:r>
            <w:r w:rsidR="004178CD"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;</w:t>
            </w:r>
            <w:r w:rsidRPr="00D652EA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</w:t>
            </w:r>
          </w:p>
          <w:p w14:paraId="61009F06" w14:textId="62905E17" w:rsidR="004506CC" w:rsidRPr="00D652EA" w:rsidRDefault="004506CC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niestosowanie wcześniejszego leczenia octanem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abirateronu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21C4D50A" w14:textId="010FCFEC" w:rsidR="00740F85" w:rsidRPr="00D652EA" w:rsidRDefault="002626B6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brak napadów padaczkowych w wywiadzie lub innych czynników predysponujących do ich wystąpienia (w przypadku leczenia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apalutamidem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albo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enzalutamidem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)</w:t>
            </w:r>
            <w:r w:rsidR="00E46071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  <w:p w14:paraId="56A8361F" w14:textId="77777777" w:rsidR="00E46071" w:rsidRPr="00D652EA" w:rsidRDefault="00E46071" w:rsidP="00D652EA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14:paraId="659B6701" w14:textId="69FC452F" w:rsidR="007A055A" w:rsidRPr="00D652EA" w:rsidRDefault="00BE3676" w:rsidP="00D652EA">
            <w:pPr>
              <w:pStyle w:val="Akapitzlist"/>
              <w:numPr>
                <w:ilvl w:val="2"/>
                <w:numId w:val="2"/>
              </w:numPr>
              <w:tabs>
                <w:tab w:val="left" w:pos="478"/>
              </w:tabs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</w:pP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Chorych</w:t>
            </w:r>
            <w:r w:rsidR="00F149E9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na</w:t>
            </w: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D761A4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opornego na kastrację raka gruczołu krokowego z przerzutami</w:t>
            </w:r>
            <w:r w:rsidR="00E46DE2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F149E9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>enzalutamidem</w:t>
            </w:r>
            <w:proofErr w:type="spellEnd"/>
            <w:r w:rsidR="00F149E9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 xml:space="preserve"> </w:t>
            </w:r>
            <w:r w:rsidR="00E46DE2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 xml:space="preserve">przed zastosowaniem </w:t>
            </w:r>
            <w:proofErr w:type="spellStart"/>
            <w:r w:rsidR="00663736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>docetakselu</w:t>
            </w:r>
            <w:proofErr w:type="spellEnd"/>
            <w:r w:rsidR="00E74034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 xml:space="preserve"> </w:t>
            </w:r>
            <w:r w:rsidR="00F149E9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>(</w:t>
            </w:r>
            <w:r w:rsidR="002908D9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>gdy zastosowanie chemioterapii nie jest wskazane klinicznie</w:t>
            </w:r>
            <w:r w:rsidR="00F149E9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>)</w:t>
            </w:r>
            <w:r w:rsidR="002908D9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 xml:space="preserve"> </w:t>
            </w:r>
            <w:r w:rsidR="00E46DE2" w:rsidRPr="00D652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lub po zastosowaniu </w:t>
            </w:r>
            <w:proofErr w:type="spellStart"/>
            <w:r w:rsidR="00E46DE2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docetakselu</w:t>
            </w:r>
            <w:proofErr w:type="spellEnd"/>
            <w:r w:rsidR="00E46DE2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 xml:space="preserve"> </w:t>
            </w:r>
          </w:p>
          <w:p w14:paraId="4B974496" w14:textId="5B64B54D" w:rsidR="00E46DE2" w:rsidRPr="00D652EA" w:rsidRDefault="00E46DE2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stadium oporności na kastrację, określone na podstawie oznaczenia stężenia testosteronu w surowicy wynoszącego 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50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ng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/dl lub mniej (tj. wynoszącego 1,7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nmol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/l lub mniej), u chorych z progresją choroby ocenioną wg kryterium w pkt 2;</w:t>
            </w:r>
          </w:p>
          <w:p w14:paraId="02BD75A5" w14:textId="152D297F" w:rsidR="00FD1A72" w:rsidRPr="00D652EA" w:rsidRDefault="007F36A1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progresja choroby określona na podstawie trzech kolejnych wzrostów stężenia PSA, oznaczonego w co najmniej tygodniowych odstępach, z dwoma wzrostami o co najmniej 50% wobec wartości wyjściowej (nadir) i stężenie PSA &gt;2 </w:t>
            </w:r>
            <w:proofErr w:type="spellStart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ng</w:t>
            </w:r>
            <w:proofErr w:type="spellEnd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/ml</w:t>
            </w:r>
          </w:p>
          <w:p w14:paraId="158D2F4E" w14:textId="59F3B942" w:rsidR="00FD1A72" w:rsidRPr="00D652EA" w:rsidRDefault="00E46DE2" w:rsidP="00D652EA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lub </w:t>
            </w:r>
          </w:p>
          <w:p w14:paraId="62B05163" w14:textId="30F72D2F" w:rsidR="00A15C0B" w:rsidRPr="00D652EA" w:rsidRDefault="00E46DE2" w:rsidP="00D652EA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progresj</w:t>
            </w:r>
            <w:r w:rsidR="00B55C73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zmian (układ kostny, narządy wewnętrzne, tkanki miękkie) w badaniach obrazowych</w:t>
            </w:r>
            <w:r w:rsidR="00083719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3EA21F7A" w14:textId="043829C5" w:rsidR="004506CC" w:rsidRPr="00D652EA" w:rsidRDefault="004506CC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lastRenderedPageBreak/>
              <w:t xml:space="preserve">niestosowanie wcześniejszego leczenia octanem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abirateronu</w:t>
            </w:r>
            <w:proofErr w:type="spellEnd"/>
            <w:r w:rsidR="00B54A2E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  <w:p w14:paraId="20A0CFD1" w14:textId="77777777" w:rsidR="00E46071" w:rsidRPr="00D652EA" w:rsidRDefault="00E46071" w:rsidP="00D652EA">
            <w:p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  <w:p w14:paraId="152A847D" w14:textId="3A83D3ED" w:rsidR="00E36E5E" w:rsidRPr="00D652EA" w:rsidRDefault="00BE3676" w:rsidP="00D652EA">
            <w:pPr>
              <w:pStyle w:val="Akapitzlist"/>
              <w:numPr>
                <w:ilvl w:val="2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Chorych na</w:t>
            </w:r>
            <w:r w:rsidR="00D761A4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opornego na kastrację raka gruczołu krokowego</w:t>
            </w:r>
            <w:r w:rsidR="00D761A4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D761A4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z przerzutami</w:t>
            </w:r>
            <w:r w:rsidR="00F149E9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E36E5E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olaparybem</w:t>
            </w:r>
            <w:proofErr w:type="spellEnd"/>
          </w:p>
          <w:p w14:paraId="1B2961B1" w14:textId="77777777" w:rsidR="00E36E5E" w:rsidRPr="00D652EA" w:rsidRDefault="00E36E5E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D652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stadium oporności na kastrację, określone na podstawie oznaczenia stężenia testosteronu w surowicy wynoszącego 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50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ng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/dl lub mniej (tj. wynoszącego 1,7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nmol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/l lub mniej), u chorych z progresją choroby ocenioną wg kryterium w pkt 2;</w:t>
            </w:r>
          </w:p>
          <w:p w14:paraId="1D957235" w14:textId="7685E29E" w:rsidR="00E36E5E" w:rsidRPr="00D652EA" w:rsidRDefault="00E36E5E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progresja choroby określona na podstawie trzech kolejnych wzrostów stężenia PSA, oznaczonego w co najmniej tygodniowych odstępach, z dwoma wzrostami o co najmniej 50% wobec wartości wyjściowej (nadir) i stężenie PSA &gt;2 </w:t>
            </w:r>
            <w:proofErr w:type="spellStart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ng</w:t>
            </w:r>
            <w:proofErr w:type="spellEnd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/ml</w:t>
            </w:r>
          </w:p>
          <w:p w14:paraId="094B29DB" w14:textId="77777777" w:rsidR="00E36E5E" w:rsidRPr="00D652EA" w:rsidRDefault="00E36E5E" w:rsidP="00D652EA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lub </w:t>
            </w:r>
          </w:p>
          <w:p w14:paraId="3E5D36BA" w14:textId="4E8C8F99" w:rsidR="001869D7" w:rsidRPr="00D652EA" w:rsidRDefault="00E36E5E" w:rsidP="00D652EA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progresja zmian (układ kostny, narządy wewnętrzne, tkanki miękkie) w badaniach obrazowych;</w:t>
            </w:r>
          </w:p>
          <w:p w14:paraId="692577F3" w14:textId="79C6D039" w:rsidR="001869D7" w:rsidRPr="00D652EA" w:rsidRDefault="001869D7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progresj</w:t>
            </w:r>
            <w:r w:rsidR="00715E60"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a</w:t>
            </w:r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choroby podczas terapii lekiem hormonalnym nowej generacji (możliwe wcześniejsze </w:t>
            </w:r>
            <w:r w:rsidR="00E46071"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zas</w:t>
            </w:r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tosowanie </w:t>
            </w:r>
            <w:proofErr w:type="spellStart"/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docetakselu</w:t>
            </w:r>
            <w:proofErr w:type="spellEnd"/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lub </w:t>
            </w:r>
            <w:proofErr w:type="spellStart"/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kabazytakselu</w:t>
            </w:r>
            <w:proofErr w:type="spellEnd"/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przed lub po leku hormonalnym nowej generacji, o ile stwierdzono nieskuteczność chemioterapii)</w:t>
            </w:r>
            <w:r w:rsidR="00B54A2E"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;</w:t>
            </w:r>
          </w:p>
          <w:p w14:paraId="1FB9E91F" w14:textId="016DB781" w:rsidR="00E36E5E" w:rsidRPr="00D652EA" w:rsidRDefault="00E36E5E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obecność patogennej lub prawdopodobnie patogennej mutacji (</w:t>
            </w:r>
            <w:proofErr w:type="spellStart"/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germinalnej</w:t>
            </w:r>
            <w:proofErr w:type="spellEnd"/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lub somatycznej) w genie </w:t>
            </w:r>
            <w:r w:rsidRPr="00D652EA"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szCs w:val="20"/>
                <w:lang w:bidi="pl-PL"/>
              </w:rPr>
              <w:t>BRCA1</w:t>
            </w:r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lub </w:t>
            </w:r>
            <w:r w:rsidRPr="00D652EA"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szCs w:val="20"/>
                <w:lang w:bidi="pl-PL"/>
              </w:rPr>
              <w:t>BRCA2</w:t>
            </w:r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;</w:t>
            </w:r>
          </w:p>
          <w:p w14:paraId="5A93281C" w14:textId="31C8C2A0" w:rsidR="00CA530A" w:rsidRPr="00D652EA" w:rsidRDefault="00E36E5E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u </w:t>
            </w:r>
            <w:r w:rsidR="00CA530A" w:rsidRPr="00D652EA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z </w:t>
            </w:r>
            <w:proofErr w:type="spellStart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klirensem</w:t>
            </w:r>
            <w:proofErr w:type="spellEnd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kreatyniny 31-50 ml/min należy zmniejszyć dawkę leku zgodnie z </w:t>
            </w:r>
            <w:proofErr w:type="spellStart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ChPL</w:t>
            </w:r>
            <w:proofErr w:type="spellEnd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, nie wolno stosować leku, kiedy </w:t>
            </w:r>
            <w:proofErr w:type="spellStart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klirens</w:t>
            </w:r>
            <w:proofErr w:type="spellEnd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wynosi 30 ml/min lub mniej</w:t>
            </w:r>
            <w:r w:rsidR="00802583" w:rsidRPr="00D652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913ECDA" w14:textId="77777777" w:rsidR="001B16A1" w:rsidRPr="00D652EA" w:rsidRDefault="001B16A1" w:rsidP="00D652EA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</w:p>
          <w:p w14:paraId="47C2E99B" w14:textId="19483ADF" w:rsidR="007659D0" w:rsidRPr="00B556C6" w:rsidRDefault="007659D0" w:rsidP="00D652EA">
            <w:pPr>
              <w:pStyle w:val="Akapitzlist"/>
              <w:numPr>
                <w:ilvl w:val="2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Chorych na </w:t>
            </w:r>
            <w:bookmarkStart w:id="2" w:name="_Hlk130563261"/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opornego na kastrację raka gruczołu krokowego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B321A9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z przerzutami </w:t>
            </w:r>
            <w:r w:rsidR="00A450CD"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 xml:space="preserve">(gdy zastosowanie </w:t>
            </w:r>
            <w:r w:rsidR="00A450CD" w:rsidRPr="00B556C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>chemioterapii nie jest wskazane klinicznie</w:t>
            </w:r>
            <w:r w:rsidR="00DC7E71" w:rsidRPr="00B556C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 xml:space="preserve"> na etapie </w:t>
            </w:r>
            <w:proofErr w:type="spellStart"/>
            <w:r w:rsidR="00DC7E71" w:rsidRPr="00B556C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>mCRPC</w:t>
            </w:r>
            <w:proofErr w:type="spellEnd"/>
            <w:r w:rsidR="00A450CD" w:rsidRPr="00B556C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bidi="pl-PL"/>
              </w:rPr>
              <w:t xml:space="preserve">) </w:t>
            </w:r>
            <w:bookmarkEnd w:id="2"/>
            <w:proofErr w:type="spellStart"/>
            <w:r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niraparybem</w:t>
            </w:r>
            <w:proofErr w:type="spellEnd"/>
            <w:r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+ octanem </w:t>
            </w:r>
            <w:proofErr w:type="spellStart"/>
            <w:r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abirateronu</w:t>
            </w:r>
            <w:proofErr w:type="spellEnd"/>
            <w:r w:rsidR="0061184F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albo </w:t>
            </w:r>
            <w:proofErr w:type="spellStart"/>
            <w:r w:rsidR="0061184F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talazoparybem</w:t>
            </w:r>
            <w:proofErr w:type="spellEnd"/>
            <w:r w:rsidR="0061184F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w skojarzeniu z </w:t>
            </w:r>
            <w:proofErr w:type="spellStart"/>
            <w:r w:rsidR="0061184F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enzalutamidem</w:t>
            </w:r>
            <w:proofErr w:type="spellEnd"/>
          </w:p>
          <w:p w14:paraId="1B88AEE3" w14:textId="77777777" w:rsidR="007659D0" w:rsidRPr="00D652EA" w:rsidRDefault="007659D0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D652EA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stadium oporności na kastrację, określone na podstawie oznaczenia stężenia testosteronu w surowicy wynoszącego 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50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ng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/dl lub mniej (tj. wynoszącego 1,7 </w:t>
            </w:r>
            <w:proofErr w:type="spellStart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nmol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/l lub mniej), u chorych z progresją choroby ocenioną wg kryterium w pkt 2;</w:t>
            </w:r>
          </w:p>
          <w:p w14:paraId="65A9EA31" w14:textId="77777777" w:rsidR="007659D0" w:rsidRPr="00D652EA" w:rsidRDefault="007659D0" w:rsidP="0061184F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progresja choroby określona na podstawie trzech kolejnych wzrostów stężenia PSA, oznaczonego w co najmniej tygodniowych odstępach, z dwoma wzrostami o co najmniej 50% wobec wartości wyjściowej (nadir) i stężenie PSA &gt;2 </w:t>
            </w:r>
            <w:proofErr w:type="spellStart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ng</w:t>
            </w:r>
            <w:proofErr w:type="spellEnd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/ml</w:t>
            </w:r>
          </w:p>
          <w:p w14:paraId="428A4EB0" w14:textId="77777777" w:rsidR="007659D0" w:rsidRPr="00D652EA" w:rsidRDefault="007659D0" w:rsidP="0061184F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lub </w:t>
            </w:r>
          </w:p>
          <w:p w14:paraId="4EF99D90" w14:textId="77777777" w:rsidR="007659D0" w:rsidRPr="00D652EA" w:rsidRDefault="007659D0" w:rsidP="0061184F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progresja zmian (układ kostny, narządy wewnętrzne, tkanki miękkie) w badaniach obrazowych;</w:t>
            </w:r>
          </w:p>
          <w:p w14:paraId="591E7F2B" w14:textId="7D3582BD" w:rsidR="007659D0" w:rsidRPr="00D652EA" w:rsidRDefault="007659D0" w:rsidP="0061184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ab/>
              <w:t>nieobecność wskazań do zastosowania chemioterapii</w:t>
            </w:r>
            <w:r w:rsidR="00A450CD"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w I linii leczenia </w:t>
            </w:r>
            <w:proofErr w:type="spellStart"/>
            <w:r w:rsidR="00A450CD"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mCRPC</w:t>
            </w:r>
            <w:proofErr w:type="spellEnd"/>
            <w:r w:rsidR="00A450CD"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)</w:t>
            </w:r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;</w:t>
            </w:r>
          </w:p>
          <w:p w14:paraId="02017702" w14:textId="12BCB317" w:rsidR="007659D0" w:rsidRPr="00B556C6" w:rsidRDefault="007659D0" w:rsidP="0061184F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niestosowanie wcześniejszego leczenia octanem </w:t>
            </w:r>
            <w:proofErr w:type="spellStart"/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abirateronu</w:t>
            </w:r>
            <w:proofErr w:type="spellEnd"/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(z wyjątkiem pacjentów, którzy kontynuują leczenie </w:t>
            </w:r>
            <w:proofErr w:type="spellStart"/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mCRPC</w:t>
            </w:r>
            <w:proofErr w:type="spellEnd"/>
            <w:r w:rsidRPr="00D652E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rozpoczęte maksymalnie 4 miesiące wstecz, o ile w trakcie </w:t>
            </w:r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leczenia pacjent nie doznał progresji choroby (nie jest konieczne wykonywanie badań obrazowych, chyba że występują wskazania kliniczne do ich wykonania))</w:t>
            </w:r>
            <w:r w:rsidR="0061184F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w przypadku leczenia </w:t>
            </w:r>
            <w:proofErr w:type="spellStart"/>
            <w:r w:rsidR="0061184F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niraparybem</w:t>
            </w:r>
            <w:proofErr w:type="spellEnd"/>
            <w:r w:rsidR="0061184F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+ octanem </w:t>
            </w:r>
            <w:proofErr w:type="spellStart"/>
            <w:r w:rsidR="0061184F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abirateronu</w:t>
            </w:r>
            <w:proofErr w:type="spellEnd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; </w:t>
            </w:r>
          </w:p>
          <w:p w14:paraId="4979DBD5" w14:textId="030739DC" w:rsidR="0061184F" w:rsidRPr="00B556C6" w:rsidRDefault="0061184F" w:rsidP="0061184F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niestosowanie wcześniejszego leczenia octanem </w:t>
            </w:r>
            <w:proofErr w:type="spellStart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abirateronu</w:t>
            </w:r>
            <w:proofErr w:type="spellEnd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w przypadku leczenia </w:t>
            </w:r>
            <w:proofErr w:type="spellStart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talazoparybem</w:t>
            </w:r>
            <w:proofErr w:type="spellEnd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w skojarzeniu z </w:t>
            </w:r>
            <w:proofErr w:type="spellStart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enzalutamidem</w:t>
            </w:r>
            <w:proofErr w:type="spellEnd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;</w:t>
            </w:r>
          </w:p>
          <w:p w14:paraId="0D3F27CD" w14:textId="5E962DF9" w:rsidR="007659D0" w:rsidRPr="00B556C6" w:rsidRDefault="007659D0" w:rsidP="0061184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niestosowanie wcześniejszego leczenia </w:t>
            </w:r>
            <w:r w:rsidR="00DC7E71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niesteroidowymi </w:t>
            </w:r>
            <w:proofErr w:type="spellStart"/>
            <w:r w:rsidR="00DC7E71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antyandrogenemi</w:t>
            </w:r>
            <w:proofErr w:type="spellEnd"/>
            <w:r w:rsidR="00DC7E71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;</w:t>
            </w:r>
          </w:p>
          <w:p w14:paraId="1F83C2B0" w14:textId="2CD2A4D3" w:rsidR="004F1E10" w:rsidRPr="00B556C6" w:rsidRDefault="007659D0" w:rsidP="0061184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niestosowanie wcześniejszego leczenia inhibitorami PARP</w:t>
            </w:r>
            <w:r w:rsidR="00A450CD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;</w:t>
            </w:r>
          </w:p>
          <w:p w14:paraId="09BE6204" w14:textId="2948C11D" w:rsidR="007659D0" w:rsidRPr="00B556C6" w:rsidRDefault="007659D0" w:rsidP="001E7373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obecność patogennej lub prawdopodobnie patogennej mutacji (</w:t>
            </w:r>
            <w:proofErr w:type="spellStart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germinalnej</w:t>
            </w:r>
            <w:proofErr w:type="spellEnd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lub somatycznej) w genie </w:t>
            </w:r>
            <w:r w:rsidRPr="00B556C6"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szCs w:val="20"/>
                <w:lang w:bidi="pl-PL"/>
              </w:rPr>
              <w:t>BRCA1</w:t>
            </w:r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lub </w:t>
            </w:r>
            <w:r w:rsidRPr="00B556C6"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szCs w:val="20"/>
                <w:lang w:bidi="pl-PL"/>
              </w:rPr>
              <w:t>BRCA2</w:t>
            </w:r>
            <w:r w:rsidR="001E7373" w:rsidRPr="00B556C6">
              <w:rPr>
                <w:rFonts w:ascii="Times New Roman" w:eastAsia="Calibri" w:hAnsi="Times New Roman" w:cs="Times New Roman"/>
                <w:i/>
                <w:iCs/>
                <w:color w:val="000000"/>
                <w:sz w:val="20"/>
                <w:szCs w:val="20"/>
                <w:lang w:bidi="pl-PL"/>
              </w:rPr>
              <w:t xml:space="preserve"> </w:t>
            </w:r>
            <w:r w:rsidR="001E7373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w przypadku leczenia </w:t>
            </w:r>
            <w:proofErr w:type="spellStart"/>
            <w:r w:rsidR="001E7373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niraparybem</w:t>
            </w:r>
            <w:proofErr w:type="spellEnd"/>
            <w:r w:rsidR="001E7373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+ octanem </w:t>
            </w:r>
            <w:proofErr w:type="spellStart"/>
            <w:r w:rsidR="001E7373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abirateronu</w:t>
            </w:r>
            <w:proofErr w:type="spellEnd"/>
            <w:r w:rsidR="001E7373"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;</w:t>
            </w:r>
          </w:p>
          <w:p w14:paraId="6A099DD1" w14:textId="64BC5D00" w:rsidR="001E7373" w:rsidRPr="00B556C6" w:rsidRDefault="001E7373" w:rsidP="001E7373">
            <w:pPr>
              <w:pStyle w:val="Akapitzlist"/>
              <w:numPr>
                <w:ilvl w:val="3"/>
                <w:numId w:val="2"/>
              </w:numP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</w:pPr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obecność patogennej lub prawdopodobnie patogennej mutacji (</w:t>
            </w:r>
            <w:proofErr w:type="spellStart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germinalnej</w:t>
            </w:r>
            <w:proofErr w:type="spellEnd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lub somatycznej) w genach HRR (BRCA2, ATM, CDK12, CHECK2, BRCA1, PALB2, RAD51C) w przypadku leczenia </w:t>
            </w:r>
            <w:proofErr w:type="spellStart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talazoparybem</w:t>
            </w:r>
            <w:proofErr w:type="spellEnd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w skojarzeniu z </w:t>
            </w:r>
            <w:proofErr w:type="spellStart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enzalutamidem</w:t>
            </w:r>
            <w:proofErr w:type="spellEnd"/>
            <w:r w:rsidRPr="00B556C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;</w:t>
            </w:r>
          </w:p>
          <w:p w14:paraId="43F7AB6E" w14:textId="16EB03BE" w:rsidR="00801309" w:rsidRPr="00B556C6" w:rsidRDefault="001B16A1" w:rsidP="0061184F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</w:pPr>
            <w:r w:rsidRPr="00B556C6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lastRenderedPageBreak/>
              <w:t xml:space="preserve">u chorych z </w:t>
            </w:r>
            <w:proofErr w:type="spellStart"/>
            <w:r w:rsidRPr="00B556C6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klirensem</w:t>
            </w:r>
            <w:proofErr w:type="spellEnd"/>
            <w:r w:rsidRPr="00B556C6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kreatyniny 31-50 ml/min należy zmniejszyć dawkę leku zgodnie z </w:t>
            </w:r>
            <w:proofErr w:type="spellStart"/>
            <w:r w:rsidRPr="00B556C6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ChPL</w:t>
            </w:r>
            <w:proofErr w:type="spellEnd"/>
            <w:r w:rsidRPr="00B556C6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, nie wolno stosować leku, kiedy </w:t>
            </w:r>
            <w:proofErr w:type="spellStart"/>
            <w:r w:rsidRPr="00B556C6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>klirens</w:t>
            </w:r>
            <w:proofErr w:type="spellEnd"/>
            <w:r w:rsidRPr="00B556C6">
              <w:rPr>
                <w:rFonts w:ascii="Times New Roman" w:eastAsia="Calibri" w:hAnsi="Times New Roman" w:cs="Times New Roman"/>
                <w:sz w:val="20"/>
                <w:szCs w:val="20"/>
                <w:lang w:bidi="pl-PL"/>
              </w:rPr>
              <w:t xml:space="preserve"> wynosi 30 ml/min lub mniej.</w:t>
            </w:r>
          </w:p>
          <w:p w14:paraId="20E32128" w14:textId="5909E1B7" w:rsidR="007243BA" w:rsidRPr="00D652EA" w:rsidRDefault="007243BA" w:rsidP="00D652E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Ponadto do programu lekowego kwalifikowani są również pacjenci wymagający kontynuacji leczenia, którzy byli leczeni substancjami czynnymi finansowanymi w programie lekowym w ramach innego sposobu finansowania terapii, za wyjątkiem trwających badań klinicznych tych leków, pod warunkiem, że w chwili rozpoczęcia leczenia spełniali kryteria kwalifikacji do programu lekowego.</w:t>
            </w:r>
          </w:p>
          <w:p w14:paraId="047F3045" w14:textId="77777777" w:rsidR="00D658D8" w:rsidRPr="00D652EA" w:rsidRDefault="00D658D8" w:rsidP="00D652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D68547E" w14:textId="38B3959D" w:rsidR="00904B9D" w:rsidRPr="00D652EA" w:rsidRDefault="00904B9D" w:rsidP="00D652EA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D652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Czas leczenia w programie</w:t>
            </w:r>
          </w:p>
          <w:p w14:paraId="5CC05059" w14:textId="4D4D3E98" w:rsidR="00801309" w:rsidRPr="00D652EA" w:rsidRDefault="00FB55D4" w:rsidP="00D652E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_Hlk125722377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1B68C0" w:rsidRPr="00D652EA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0D62D3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B68C0" w:rsidRPr="00D652EA">
              <w:rPr>
                <w:rFonts w:ascii="Times New Roman" w:hAnsi="Times New Roman" w:cs="Times New Roman"/>
                <w:sz w:val="20"/>
                <w:szCs w:val="20"/>
              </w:rPr>
              <w:t>trwa do czasu podjęcia przez lekarza prowadzącego decyzji o wyłączeniu świadczeniobiorcy z programu, zgodnie z kryteriami wyłączenia</w:t>
            </w:r>
            <w:bookmarkEnd w:id="3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, o których mowa w pkt 3</w:t>
            </w:r>
            <w:r w:rsidR="00A0274F" w:rsidRPr="00D652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ACD893E" w14:textId="77777777" w:rsidR="00D658D8" w:rsidRPr="00D652EA" w:rsidRDefault="00D658D8" w:rsidP="00D652EA">
            <w:p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8ACBC5" w14:textId="7B6499AC" w:rsidR="003A6A07" w:rsidRPr="00D652EA" w:rsidRDefault="003A6A07" w:rsidP="00D652EA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Kryteria wy</w:t>
            </w:r>
            <w:r w:rsidR="006B377A"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łączenia</w:t>
            </w:r>
            <w:r w:rsidRPr="00D652EA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z programu</w:t>
            </w:r>
          </w:p>
          <w:p w14:paraId="377B7C10" w14:textId="600505AB" w:rsidR="00D5612B" w:rsidRPr="00D652EA" w:rsidRDefault="00D5612B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progresja choroby w trakcie stosowania leku, definiowana według następujących kryteriów: </w:t>
            </w:r>
          </w:p>
          <w:p w14:paraId="419596B8" w14:textId="4E814ADE" w:rsidR="002B3AD8" w:rsidRPr="00D652EA" w:rsidRDefault="002B3AD8" w:rsidP="00D652EA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progresji choroby określonej na podstawie trzech kolejnych wzrostów stężenia PSA, oznaczonego w co najmniej tygodniowych odstępach, z dwoma wzrostami o co najmniej 50% wobec najniższej wartości osiągniętej w trakcie terapii (nadir) i stężenie PSA &gt;2 </w:t>
            </w:r>
            <w:proofErr w:type="spellStart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ng</w:t>
            </w:r>
            <w:proofErr w:type="spellEnd"/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/ml, chyba że lekarz prowadzący uzna, że leczenie przynosi udokumentowaną korzyść kliniczną i nieuzasadnione jest (albo niemożliwe) zastosowanie terapii kolejnej linii</w:t>
            </w:r>
          </w:p>
          <w:p w14:paraId="72B25E50" w14:textId="06A34B8A" w:rsidR="0073533D" w:rsidRPr="00D652EA" w:rsidRDefault="0073533D" w:rsidP="00D652EA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7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3FD91EFF" w14:textId="1CE9C736" w:rsidR="0073533D" w:rsidRPr="00D652EA" w:rsidRDefault="00541E1B" w:rsidP="00D652EA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progresji choroby ustalonej na podstawie aktualnej klasyfikacji RECIST (dla zmian w tkankach miękkich) lub PCWG (dla zmian w układzie kostnym);</w:t>
            </w:r>
          </w:p>
          <w:p w14:paraId="3D2114A2" w14:textId="70EA977B" w:rsidR="00437501" w:rsidRPr="00D652EA" w:rsidRDefault="00B874E8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utrzymujące się </w:t>
            </w:r>
            <w:r w:rsidR="00246D05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pogorszenie </w:t>
            </w:r>
            <w:r w:rsidR="001578E7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stanu </w:t>
            </w:r>
            <w:r w:rsidR="00246D05" w:rsidRPr="00D652EA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DC1BBE" w:rsidRPr="00D652E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4C226C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FA65A29" w14:textId="30884897" w:rsidR="00541E1B" w:rsidRPr="00D652EA" w:rsidRDefault="00DC1BBE" w:rsidP="00D652EA">
            <w:pPr>
              <w:pStyle w:val="Akapitzlist"/>
              <w:numPr>
                <w:ilvl w:val="4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do stopnia 2-</w:t>
            </w:r>
            <w:r w:rsidR="0061756B" w:rsidRPr="00D652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D652E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według ECOG w przypadku leczenia </w:t>
            </w:r>
            <w:proofErr w:type="spellStart"/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>apalutamidem</w:t>
            </w:r>
            <w:proofErr w:type="spellEnd"/>
            <w:r w:rsidR="0004714F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04714F" w:rsidRPr="00D652EA">
              <w:rPr>
                <w:rFonts w:ascii="Times New Roman" w:hAnsi="Times New Roman" w:cs="Times New Roman"/>
                <w:sz w:val="20"/>
                <w:szCs w:val="20"/>
              </w:rPr>
              <w:t>darolutamidem</w:t>
            </w:r>
            <w:proofErr w:type="spellEnd"/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>nmCRPC</w:t>
            </w:r>
            <w:proofErr w:type="spellEnd"/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>enzalutamidem</w:t>
            </w:r>
            <w:proofErr w:type="spellEnd"/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>nmCRPC</w:t>
            </w:r>
            <w:proofErr w:type="spellEnd"/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proofErr w:type="spellStart"/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>mCRPC</w:t>
            </w:r>
            <w:proofErr w:type="spellEnd"/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przed podaniem </w:t>
            </w:r>
            <w:proofErr w:type="spellStart"/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>docetakselu</w:t>
            </w:r>
            <w:proofErr w:type="spellEnd"/>
            <w:r w:rsidR="00541E1B" w:rsidRPr="00D652E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E737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FA26536" w14:textId="4C354FA6" w:rsidR="00DC1BBE" w:rsidRPr="00D652EA" w:rsidRDefault="005A6FC7" w:rsidP="00D652EA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</w:p>
          <w:p w14:paraId="4D6031D8" w14:textId="747D8185" w:rsidR="00B2401D" w:rsidRPr="00B556C6" w:rsidRDefault="00DC1BBE" w:rsidP="00D652EA">
            <w:pPr>
              <w:pStyle w:val="Akapitzlist"/>
              <w:numPr>
                <w:ilvl w:val="4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do stopnia</w:t>
            </w:r>
            <w:r w:rsidRPr="00D652E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3-4 </w:t>
            </w:r>
            <w:r w:rsidR="00B2401D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według ECOG w przypadku leczenia </w:t>
            </w:r>
            <w:proofErr w:type="spellStart"/>
            <w:r w:rsidR="002C6246" w:rsidRPr="00D652EA">
              <w:rPr>
                <w:rFonts w:ascii="Times New Roman" w:hAnsi="Times New Roman" w:cs="Times New Roman"/>
                <w:sz w:val="20"/>
                <w:szCs w:val="20"/>
              </w:rPr>
              <w:t>apalutamidem</w:t>
            </w:r>
            <w:proofErr w:type="spellEnd"/>
            <w:r w:rsidR="002C6246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2C6246" w:rsidRPr="00D652EA">
              <w:rPr>
                <w:rFonts w:ascii="Times New Roman" w:hAnsi="Times New Roman" w:cs="Times New Roman"/>
                <w:sz w:val="20"/>
                <w:szCs w:val="20"/>
              </w:rPr>
              <w:t>mHSPC</w:t>
            </w:r>
            <w:proofErr w:type="spellEnd"/>
            <w:r w:rsidR="002C6246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="00E94001" w:rsidRPr="00D652EA">
              <w:rPr>
                <w:rFonts w:ascii="Times New Roman" w:hAnsi="Times New Roman" w:cs="Times New Roman"/>
                <w:sz w:val="20"/>
                <w:szCs w:val="20"/>
              </w:rPr>
              <w:t>darolutamidem</w:t>
            </w:r>
            <w:proofErr w:type="spellEnd"/>
            <w:r w:rsidR="00E94001"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E94001" w:rsidRPr="00B556C6">
              <w:rPr>
                <w:rFonts w:ascii="Times New Roman" w:hAnsi="Times New Roman" w:cs="Times New Roman"/>
                <w:sz w:val="20"/>
                <w:szCs w:val="20"/>
              </w:rPr>
              <w:t>mHSPC</w:t>
            </w:r>
            <w:proofErr w:type="spellEnd"/>
            <w:r w:rsidR="00E94001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="00B2401D" w:rsidRPr="00B556C6">
              <w:rPr>
                <w:rFonts w:ascii="Times New Roman" w:hAnsi="Times New Roman" w:cs="Times New Roman"/>
                <w:sz w:val="20"/>
                <w:szCs w:val="20"/>
              </w:rPr>
              <w:t>enzalutamidem</w:t>
            </w:r>
            <w:proofErr w:type="spellEnd"/>
            <w:r w:rsidR="00B2401D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E94001" w:rsidRPr="00B556C6">
              <w:rPr>
                <w:rFonts w:ascii="Times New Roman" w:hAnsi="Times New Roman" w:cs="Times New Roman"/>
                <w:sz w:val="20"/>
                <w:szCs w:val="20"/>
              </w:rPr>
              <w:t>mHSPC</w:t>
            </w:r>
            <w:proofErr w:type="spellEnd"/>
            <w:r w:rsidR="00E94001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2401D" w:rsidRPr="00B556C6">
              <w:rPr>
                <w:rFonts w:ascii="Times New Roman" w:hAnsi="Times New Roman" w:cs="Times New Roman"/>
                <w:sz w:val="20"/>
                <w:szCs w:val="20"/>
              </w:rPr>
              <w:t>mCRPC</w:t>
            </w:r>
            <w:proofErr w:type="spellEnd"/>
            <w:r w:rsidR="00B2401D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714F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po wcześniejszym leczeniu </w:t>
            </w:r>
            <w:proofErr w:type="spellStart"/>
            <w:r w:rsidR="0004714F" w:rsidRPr="00B556C6">
              <w:rPr>
                <w:rFonts w:ascii="Times New Roman" w:hAnsi="Times New Roman" w:cs="Times New Roman"/>
                <w:sz w:val="20"/>
                <w:szCs w:val="20"/>
              </w:rPr>
              <w:t>docetakselem</w:t>
            </w:r>
            <w:proofErr w:type="spellEnd"/>
            <w:r w:rsidR="00B2401D" w:rsidRPr="00B556C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4714F" w:rsidRPr="00B556C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2401D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2401D" w:rsidRPr="00B556C6">
              <w:rPr>
                <w:rFonts w:ascii="Times New Roman" w:hAnsi="Times New Roman" w:cs="Times New Roman"/>
                <w:sz w:val="20"/>
                <w:szCs w:val="20"/>
              </w:rPr>
              <w:t>olaparybem</w:t>
            </w:r>
            <w:proofErr w:type="spellEnd"/>
            <w:r w:rsidR="00F405E5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proofErr w:type="spellStart"/>
            <w:r w:rsidR="00F405E5" w:rsidRPr="00B556C6">
              <w:rPr>
                <w:rFonts w:ascii="Times New Roman" w:hAnsi="Times New Roman" w:cs="Times New Roman"/>
                <w:sz w:val="20"/>
                <w:szCs w:val="20"/>
              </w:rPr>
              <w:t>niraparybem</w:t>
            </w:r>
            <w:proofErr w:type="spellEnd"/>
            <w:r w:rsidR="00F405E5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+ octanem </w:t>
            </w:r>
            <w:proofErr w:type="spellStart"/>
            <w:r w:rsidR="00F405E5" w:rsidRPr="00B556C6">
              <w:rPr>
                <w:rFonts w:ascii="Times New Roman" w:hAnsi="Times New Roman" w:cs="Times New Roman"/>
                <w:sz w:val="20"/>
                <w:szCs w:val="20"/>
              </w:rPr>
              <w:t>abirateronu</w:t>
            </w:r>
            <w:proofErr w:type="spellEnd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proofErr w:type="spellStart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>talazoparybem</w:t>
            </w:r>
            <w:proofErr w:type="spellEnd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w skojarzeniu z </w:t>
            </w:r>
            <w:proofErr w:type="spellStart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>enzalutamidem</w:t>
            </w:r>
            <w:proofErr w:type="spellEnd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>mCRPC</w:t>
            </w:r>
            <w:proofErr w:type="spellEnd"/>
            <w:r w:rsidR="00E87DE4" w:rsidRPr="00B556C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DB0045F" w14:textId="5B85BD04" w:rsidR="00C50CDC" w:rsidRPr="00D652EA" w:rsidRDefault="005E2726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 xml:space="preserve">wystąpienie objawów nadwrażliwości na którykolwiek ze stosowanych leków lub </w:t>
            </w:r>
            <w:r w:rsidR="00877F06" w:rsidRPr="00D652EA">
              <w:rPr>
                <w:rFonts w:ascii="Times New Roman" w:hAnsi="Times New Roman" w:cs="Times New Roman"/>
                <w:sz w:val="20"/>
                <w:szCs w:val="20"/>
              </w:rPr>
              <w:t>substancje pomocnicze</w:t>
            </w:r>
            <w:r w:rsidR="00445C80" w:rsidRPr="00D652E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6717DD7" w14:textId="64025F02" w:rsidR="00F05285" w:rsidRPr="00D652EA" w:rsidRDefault="006252F7" w:rsidP="00D652EA">
            <w:pPr>
              <w:pStyle w:val="Akapitzlist"/>
              <w:widowControl w:val="0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wystąpienie toksyczności wymagającej zakończenia leczenia </w:t>
            </w:r>
            <w:r w:rsidR="00F05285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w opinii lekarza prowadzącego lub </w:t>
            </w:r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zgodnie z aktualnie obowiązującą</w:t>
            </w:r>
            <w:r w:rsidR="00F05285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F05285"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ChPL</w:t>
            </w:r>
            <w:proofErr w:type="spellEnd"/>
            <w:r w:rsidRPr="00D652E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7A3B8342" w14:textId="1A8F389C" w:rsidR="00C50CDC" w:rsidRPr="00D652EA" w:rsidRDefault="00C50CDC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 opinii lekarza prowadzącego uniemożliwiają prowadzenie leczenia;</w:t>
            </w:r>
          </w:p>
          <w:p w14:paraId="4DD81EBB" w14:textId="0A0A8933" w:rsidR="006252F7" w:rsidRPr="00D652EA" w:rsidRDefault="006252F7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klinicznie istotne pogorszenie jakości życia w trakcie stosowania leku;</w:t>
            </w:r>
          </w:p>
          <w:p w14:paraId="080B3ACC" w14:textId="24783D47" w:rsidR="00EC2C42" w:rsidRPr="00D652EA" w:rsidRDefault="00A40059" w:rsidP="00D652EA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652EA">
              <w:rPr>
                <w:rFonts w:ascii="Times New Roman" w:hAnsi="Times New Roman" w:cs="Times New Roman"/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</w:t>
            </w:r>
            <w:r w:rsidR="00E27438" w:rsidRPr="00D652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204C4CF" w14:textId="793ADB6D" w:rsidR="007C23DB" w:rsidRPr="00E21881" w:rsidRDefault="007C23DB" w:rsidP="00303C40">
            <w:pPr>
              <w:pStyle w:val="Akapitzlist"/>
              <w:spacing w:after="60" w:line="276" w:lineRule="auto"/>
              <w:ind w:left="35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5FFC" w14:textId="45EF44BF" w:rsidR="00B54A2E" w:rsidRPr="00E21881" w:rsidRDefault="00B54A2E" w:rsidP="00303C40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18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Dawkowanie</w:t>
            </w:r>
            <w:r w:rsidR="004377CE" w:rsidRPr="00E218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leków</w:t>
            </w:r>
          </w:p>
          <w:p w14:paraId="28B18784" w14:textId="4159B446" w:rsidR="007F72A0" w:rsidRPr="00B556C6" w:rsidRDefault="007F72A0" w:rsidP="00303C40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spacing w:val="-1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pacing w:val="-1"/>
                <w:sz w:val="20"/>
                <w:szCs w:val="20"/>
                <w:lang w:eastAsia="zh-CN"/>
              </w:rPr>
              <w:t xml:space="preserve">U chorych, którzy nie byli uprzednio poddani </w:t>
            </w:r>
            <w:proofErr w:type="spellStart"/>
            <w:r w:rsidRPr="00E21881">
              <w:rPr>
                <w:rFonts w:ascii="Times New Roman" w:eastAsia="SimSun" w:hAnsi="Times New Roman" w:cs="Times New Roman"/>
                <w:spacing w:val="-1"/>
                <w:sz w:val="20"/>
                <w:szCs w:val="20"/>
                <w:lang w:eastAsia="zh-CN"/>
              </w:rPr>
              <w:t>orchidektomii</w:t>
            </w:r>
            <w:proofErr w:type="spellEnd"/>
            <w:r w:rsidRPr="00E21881">
              <w:rPr>
                <w:rFonts w:ascii="Times New Roman" w:eastAsia="SimSun" w:hAnsi="Times New Roman" w:cs="Times New Roman"/>
                <w:spacing w:val="-1"/>
                <w:sz w:val="20"/>
                <w:szCs w:val="20"/>
                <w:lang w:eastAsia="zh-CN"/>
              </w:rPr>
              <w:t xml:space="preserve"> </w:t>
            </w:r>
            <w:r w:rsidRPr="00B556C6">
              <w:rPr>
                <w:rFonts w:ascii="Times New Roman" w:eastAsia="SimSun" w:hAnsi="Times New Roman" w:cs="Times New Roman"/>
                <w:spacing w:val="-1"/>
                <w:sz w:val="20"/>
                <w:szCs w:val="20"/>
                <w:lang w:eastAsia="zh-CN"/>
              </w:rPr>
              <w:t xml:space="preserve">należy utrzymać supresję androgenową z zastosowaniem agonistów </w:t>
            </w:r>
            <w:r w:rsidRPr="00B556C6">
              <w:rPr>
                <w:rFonts w:ascii="Times New Roman" w:hAnsi="Times New Roman" w:cs="Times New Roman"/>
                <w:sz w:val="20"/>
                <w:szCs w:val="20"/>
              </w:rPr>
              <w:t>lub antagonistów</w:t>
            </w:r>
            <w:r w:rsidRPr="00B556C6">
              <w:rPr>
                <w:rFonts w:ascii="Times New Roman" w:eastAsia="SimSun" w:hAnsi="Times New Roman" w:cs="Times New Roman"/>
                <w:spacing w:val="-1"/>
                <w:sz w:val="20"/>
                <w:szCs w:val="20"/>
                <w:lang w:eastAsia="zh-CN"/>
              </w:rPr>
              <w:t xml:space="preserve"> LHRH</w:t>
            </w:r>
            <w:r w:rsidR="003B2D8A" w:rsidRPr="00B556C6">
              <w:rPr>
                <w:rFonts w:ascii="Times New Roman" w:eastAsia="SimSun" w:hAnsi="Times New Roman" w:cs="Times New Roman"/>
                <w:spacing w:val="-1"/>
                <w:sz w:val="20"/>
                <w:szCs w:val="20"/>
                <w:lang w:eastAsia="zh-CN"/>
              </w:rPr>
              <w:t>.</w:t>
            </w:r>
            <w:r w:rsidRPr="00B556C6">
              <w:rPr>
                <w:rFonts w:ascii="Times New Roman" w:eastAsia="SimSun" w:hAnsi="Times New Roman" w:cs="Times New Roman"/>
                <w:spacing w:val="-1"/>
                <w:sz w:val="20"/>
                <w:szCs w:val="20"/>
                <w:lang w:eastAsia="zh-CN"/>
              </w:rPr>
              <w:t xml:space="preserve"> </w:t>
            </w:r>
          </w:p>
          <w:p w14:paraId="2967A5BC" w14:textId="05E85EA8" w:rsidR="00961AC7" w:rsidRPr="00E21881" w:rsidRDefault="007D36CB" w:rsidP="00303C40">
            <w:pPr>
              <w:pStyle w:val="Akapitzlist"/>
              <w:widowControl w:val="0"/>
              <w:numPr>
                <w:ilvl w:val="3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</w:pPr>
            <w:proofErr w:type="spellStart"/>
            <w:r w:rsidRPr="00B556C6">
              <w:rPr>
                <w:rFonts w:ascii="Times New Roman" w:eastAsia="SimSun" w:hAnsi="Times New Roman" w:cs="Times New Roman"/>
                <w:b/>
                <w:bCs/>
                <w:spacing w:val="-1"/>
                <w:sz w:val="20"/>
                <w:szCs w:val="20"/>
                <w:lang w:eastAsia="zh-CN"/>
              </w:rPr>
              <w:t>a</w:t>
            </w:r>
            <w:r w:rsidR="00F53DA3" w:rsidRPr="00B556C6">
              <w:rPr>
                <w:rFonts w:ascii="Times New Roman" w:eastAsia="SimSun" w:hAnsi="Times New Roman" w:cs="Times New Roman"/>
                <w:b/>
                <w:bCs/>
                <w:spacing w:val="-1"/>
                <w:sz w:val="20"/>
                <w:szCs w:val="20"/>
                <w:lang w:eastAsia="zh-CN"/>
              </w:rPr>
              <w:t>palutamid</w:t>
            </w:r>
            <w:proofErr w:type="spellEnd"/>
            <w:r w:rsidR="00961AC7" w:rsidRPr="00B556C6">
              <w:rPr>
                <w:rFonts w:ascii="Times New Roman" w:eastAsia="SimSun" w:hAnsi="Times New Roman" w:cs="Times New Roman"/>
                <w:b/>
                <w:bCs/>
                <w:spacing w:val="-1"/>
                <w:sz w:val="20"/>
                <w:szCs w:val="20"/>
                <w:lang w:eastAsia="zh-CN"/>
              </w:rPr>
              <w:t>:</w:t>
            </w:r>
            <w:r w:rsidR="00303C40" w:rsidRPr="00B556C6">
              <w:rPr>
                <w:rFonts w:ascii="Times New Roman" w:eastAsia="SimSun" w:hAnsi="Times New Roman" w:cs="Times New Roman"/>
                <w:b/>
                <w:bCs/>
                <w:spacing w:val="-1"/>
                <w:sz w:val="20"/>
                <w:szCs w:val="20"/>
                <w:lang w:eastAsia="zh-CN"/>
              </w:rPr>
              <w:t xml:space="preserve"> </w:t>
            </w:r>
            <w:r w:rsidR="00C74732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z</w:t>
            </w:r>
            <w:r w:rsidR="00F53DA3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alecana</w:t>
            </w:r>
            <w:r w:rsidR="00A862A6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 xml:space="preserve"> </w:t>
            </w:r>
            <w:r w:rsidR="00F53DA3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dawka</w:t>
            </w:r>
            <w:r w:rsidR="00A862A6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 xml:space="preserve"> </w:t>
            </w:r>
            <w:r w:rsidR="001E7373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dobowa wynosi 240 mg</w:t>
            </w:r>
            <w:r w:rsidR="00F53DA3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.</w:t>
            </w:r>
            <w:r w:rsidR="00A862A6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 xml:space="preserve"> </w:t>
            </w:r>
            <w:r w:rsidR="00F53DA3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Lek</w:t>
            </w:r>
            <w:r w:rsidR="00A862A6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 xml:space="preserve"> </w:t>
            </w:r>
            <w:r w:rsidR="00F53DA3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można</w:t>
            </w:r>
            <w:r w:rsidR="00A862A6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 xml:space="preserve"> </w:t>
            </w:r>
            <w:r w:rsidR="00F53DA3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stosować</w:t>
            </w:r>
            <w:r w:rsidR="00A862A6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 xml:space="preserve"> </w:t>
            </w:r>
            <w:r w:rsidR="00F53DA3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z</w:t>
            </w:r>
            <w:r w:rsidR="00A862A6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 xml:space="preserve"> </w:t>
            </w:r>
            <w:r w:rsidR="00F53DA3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pokarmem</w:t>
            </w:r>
            <w:r w:rsidR="00A862A6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 xml:space="preserve"> </w:t>
            </w:r>
            <w:r w:rsidR="00F53DA3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lub</w:t>
            </w:r>
            <w:r w:rsidR="00A862A6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 xml:space="preserve"> </w:t>
            </w:r>
            <w:r w:rsidR="00F53DA3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bez</w:t>
            </w:r>
            <w:r w:rsidR="00A862A6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 xml:space="preserve"> </w:t>
            </w:r>
            <w:r w:rsidR="00F53DA3" w:rsidRPr="00B556C6">
              <w:rPr>
                <w:rFonts w:ascii="Times New Roman" w:eastAsia="SimSun" w:hAnsi="Times New Roman" w:cs="Times New Roman"/>
                <w:bCs/>
                <w:spacing w:val="-1"/>
                <w:sz w:val="20"/>
                <w:szCs w:val="20"/>
                <w:lang w:eastAsia="zh-CN"/>
              </w:rPr>
              <w:t>pokarmu.</w:t>
            </w:r>
          </w:p>
          <w:p w14:paraId="18F1E9C6" w14:textId="153867F8" w:rsidR="007F72A0" w:rsidRPr="00E21881" w:rsidRDefault="007D36CB" w:rsidP="007124FD">
            <w:pPr>
              <w:pStyle w:val="Default"/>
              <w:numPr>
                <w:ilvl w:val="3"/>
                <w:numId w:val="3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E21881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d</w:t>
            </w:r>
            <w:r w:rsidR="00961AC7" w:rsidRPr="00E21881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arolutamid</w:t>
            </w:r>
            <w:proofErr w:type="spellEnd"/>
            <w:r w:rsidR="00961AC7" w:rsidRPr="00E21881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:</w:t>
            </w:r>
            <w:r w:rsidR="00303C40" w:rsidRPr="00E21881">
              <w:rPr>
                <w:rFonts w:eastAsia="SimSun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C74732" w:rsidRPr="00E21881">
              <w:rPr>
                <w:rFonts w:eastAsia="SimSun"/>
                <w:sz w:val="20"/>
                <w:szCs w:val="20"/>
                <w:lang w:eastAsia="zh-CN"/>
              </w:rPr>
              <w:t>z</w:t>
            </w:r>
            <w:r w:rsidR="00961AC7" w:rsidRPr="00E21881">
              <w:rPr>
                <w:rFonts w:eastAsia="SimSun"/>
                <w:sz w:val="20"/>
                <w:szCs w:val="20"/>
                <w:lang w:eastAsia="zh-CN"/>
              </w:rPr>
              <w:t>alecana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dawka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6C666C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wynosi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600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mg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(dwie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tabletki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po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300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mg)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przyjmowane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dwa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razy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na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dobę,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co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stanowi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równoważność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całkowitej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dawki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dobowej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wynoszącej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1200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61AC7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>mg.</w:t>
            </w:r>
            <w:r w:rsidR="00A862A6" w:rsidRPr="00E21881">
              <w:rPr>
                <w:rFonts w:eastAsia="SimSun"/>
                <w:spacing w:val="-1"/>
                <w:sz w:val="20"/>
                <w:szCs w:val="20"/>
                <w:lang w:eastAsia="zh-CN"/>
              </w:rPr>
              <w:t xml:space="preserve"> </w:t>
            </w:r>
            <w:r w:rsidR="00991DB7" w:rsidRPr="00E21881">
              <w:rPr>
                <w:sz w:val="20"/>
                <w:szCs w:val="20"/>
              </w:rPr>
              <w:t>Lek</w:t>
            </w:r>
            <w:r w:rsidR="00A862A6" w:rsidRPr="00E21881">
              <w:rPr>
                <w:sz w:val="20"/>
                <w:szCs w:val="20"/>
              </w:rPr>
              <w:t xml:space="preserve"> </w:t>
            </w:r>
            <w:r w:rsidR="00991DB7" w:rsidRPr="00E21881">
              <w:rPr>
                <w:sz w:val="20"/>
                <w:szCs w:val="20"/>
              </w:rPr>
              <w:t>należy</w:t>
            </w:r>
            <w:r w:rsidR="00A862A6" w:rsidRPr="00E21881">
              <w:rPr>
                <w:sz w:val="20"/>
                <w:szCs w:val="20"/>
              </w:rPr>
              <w:t xml:space="preserve"> </w:t>
            </w:r>
            <w:r w:rsidR="00991DB7" w:rsidRPr="00E21881">
              <w:rPr>
                <w:sz w:val="20"/>
                <w:szCs w:val="20"/>
              </w:rPr>
              <w:t>połykać</w:t>
            </w:r>
            <w:r w:rsidR="00A862A6" w:rsidRPr="00E21881">
              <w:rPr>
                <w:sz w:val="20"/>
                <w:szCs w:val="20"/>
              </w:rPr>
              <w:t xml:space="preserve"> </w:t>
            </w:r>
            <w:r w:rsidR="00991DB7" w:rsidRPr="00E21881">
              <w:rPr>
                <w:sz w:val="20"/>
                <w:szCs w:val="20"/>
              </w:rPr>
              <w:t>w</w:t>
            </w:r>
            <w:r w:rsidR="00A862A6" w:rsidRPr="00E21881">
              <w:rPr>
                <w:sz w:val="20"/>
                <w:szCs w:val="20"/>
              </w:rPr>
              <w:t xml:space="preserve"> </w:t>
            </w:r>
            <w:r w:rsidR="00991DB7" w:rsidRPr="00E21881">
              <w:rPr>
                <w:sz w:val="20"/>
                <w:szCs w:val="20"/>
              </w:rPr>
              <w:t>całości</w:t>
            </w:r>
            <w:r w:rsidR="00A862A6" w:rsidRPr="00E21881">
              <w:rPr>
                <w:sz w:val="20"/>
                <w:szCs w:val="20"/>
              </w:rPr>
              <w:t xml:space="preserve"> </w:t>
            </w:r>
            <w:r w:rsidR="00991DB7" w:rsidRPr="00E21881">
              <w:rPr>
                <w:sz w:val="20"/>
                <w:szCs w:val="20"/>
              </w:rPr>
              <w:t>z</w:t>
            </w:r>
            <w:r w:rsidR="00A862A6" w:rsidRPr="00E21881">
              <w:rPr>
                <w:sz w:val="20"/>
                <w:szCs w:val="20"/>
              </w:rPr>
              <w:t xml:space="preserve"> </w:t>
            </w:r>
            <w:r w:rsidR="00991DB7" w:rsidRPr="00E21881">
              <w:rPr>
                <w:sz w:val="20"/>
                <w:szCs w:val="20"/>
              </w:rPr>
              <w:t>pokarmem.</w:t>
            </w:r>
          </w:p>
          <w:p w14:paraId="0CB20A48" w14:textId="4437ECE2" w:rsidR="00E94001" w:rsidRPr="00E21881" w:rsidRDefault="007124FD" w:rsidP="00477A99">
            <w:pPr>
              <w:pStyle w:val="Default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E21881">
              <w:rPr>
                <w:sz w:val="20"/>
                <w:szCs w:val="20"/>
              </w:rPr>
              <w:t xml:space="preserve">U pacjentów z </w:t>
            </w:r>
            <w:proofErr w:type="spellStart"/>
            <w:r w:rsidR="00E94001" w:rsidRPr="00E21881">
              <w:rPr>
                <w:sz w:val="20"/>
                <w:szCs w:val="20"/>
              </w:rPr>
              <w:t>mHSPC</w:t>
            </w:r>
            <w:proofErr w:type="spellEnd"/>
            <w:r w:rsidR="00E94001" w:rsidRPr="00E21881">
              <w:rPr>
                <w:sz w:val="20"/>
                <w:szCs w:val="20"/>
              </w:rPr>
              <w:t xml:space="preserve"> leczenie </w:t>
            </w:r>
            <w:proofErr w:type="spellStart"/>
            <w:r w:rsidR="00E94001" w:rsidRPr="00E21881">
              <w:rPr>
                <w:sz w:val="20"/>
                <w:szCs w:val="20"/>
              </w:rPr>
              <w:t>darolutamidem</w:t>
            </w:r>
            <w:proofErr w:type="spellEnd"/>
            <w:r w:rsidR="00E94001" w:rsidRPr="00E21881">
              <w:rPr>
                <w:sz w:val="20"/>
                <w:szCs w:val="20"/>
              </w:rPr>
              <w:t xml:space="preserve"> </w:t>
            </w:r>
            <w:r w:rsidR="00BA2B13" w:rsidRPr="00E21881">
              <w:rPr>
                <w:sz w:val="20"/>
                <w:szCs w:val="20"/>
              </w:rPr>
              <w:t xml:space="preserve">należy rozpocząć w skojarzeniu z </w:t>
            </w:r>
            <w:proofErr w:type="spellStart"/>
            <w:r w:rsidR="00BA2B13" w:rsidRPr="00E21881">
              <w:rPr>
                <w:sz w:val="20"/>
                <w:szCs w:val="20"/>
              </w:rPr>
              <w:t>docetakselem</w:t>
            </w:r>
            <w:proofErr w:type="spellEnd"/>
            <w:r w:rsidR="00BA2B13" w:rsidRPr="00E21881">
              <w:rPr>
                <w:sz w:val="20"/>
                <w:szCs w:val="20"/>
              </w:rPr>
              <w:t xml:space="preserve">.  Pierwszy z 6 cykli </w:t>
            </w:r>
            <w:proofErr w:type="spellStart"/>
            <w:r w:rsidR="00BA2B13" w:rsidRPr="00E21881">
              <w:rPr>
                <w:sz w:val="20"/>
                <w:szCs w:val="20"/>
              </w:rPr>
              <w:t>docetakselu</w:t>
            </w:r>
            <w:proofErr w:type="spellEnd"/>
            <w:r w:rsidR="00BA2B13" w:rsidRPr="00E21881">
              <w:rPr>
                <w:sz w:val="20"/>
                <w:szCs w:val="20"/>
              </w:rPr>
              <w:t xml:space="preserve"> należy podać w ciągu 6 tygodni od rozpoczęcia</w:t>
            </w:r>
            <w:r w:rsidR="00477A99" w:rsidRPr="00E21881">
              <w:rPr>
                <w:sz w:val="20"/>
                <w:szCs w:val="20"/>
              </w:rPr>
              <w:t xml:space="preserve"> </w:t>
            </w:r>
            <w:r w:rsidR="00BA2B13" w:rsidRPr="00E21881">
              <w:rPr>
                <w:sz w:val="20"/>
                <w:szCs w:val="20"/>
              </w:rPr>
              <w:t xml:space="preserve">leczenia </w:t>
            </w:r>
            <w:proofErr w:type="spellStart"/>
            <w:r w:rsidR="00BA2B13" w:rsidRPr="00E21881">
              <w:rPr>
                <w:sz w:val="20"/>
                <w:szCs w:val="20"/>
              </w:rPr>
              <w:t>darolutamidem</w:t>
            </w:r>
            <w:proofErr w:type="spellEnd"/>
            <w:r w:rsidR="00477A99" w:rsidRPr="00E21881">
              <w:rPr>
                <w:sz w:val="20"/>
                <w:szCs w:val="20"/>
              </w:rPr>
              <w:t xml:space="preserve">. Leczenie </w:t>
            </w:r>
            <w:proofErr w:type="spellStart"/>
            <w:r w:rsidR="00477A99" w:rsidRPr="00E21881">
              <w:rPr>
                <w:sz w:val="20"/>
                <w:szCs w:val="20"/>
              </w:rPr>
              <w:t>mHSPC</w:t>
            </w:r>
            <w:proofErr w:type="spellEnd"/>
            <w:r w:rsidR="00477A99" w:rsidRPr="00E21881">
              <w:rPr>
                <w:sz w:val="20"/>
                <w:szCs w:val="20"/>
              </w:rPr>
              <w:t xml:space="preserve"> należy </w:t>
            </w:r>
            <w:r w:rsidR="00E94001" w:rsidRPr="00E21881">
              <w:rPr>
                <w:sz w:val="20"/>
                <w:szCs w:val="20"/>
              </w:rPr>
              <w:t>kontynuować do czasu progresji choroby lub wystąpienia niemożliwej do zaakceptowania toksyczności, nawet jeśli</w:t>
            </w:r>
            <w:r w:rsidR="00477A99" w:rsidRPr="00E21881">
              <w:rPr>
                <w:sz w:val="20"/>
                <w:szCs w:val="20"/>
              </w:rPr>
              <w:t xml:space="preserve"> </w:t>
            </w:r>
            <w:r w:rsidR="00B23D65" w:rsidRPr="00E21881">
              <w:rPr>
                <w:sz w:val="20"/>
                <w:szCs w:val="20"/>
              </w:rPr>
              <w:t>podanie kolejnego kursu</w:t>
            </w:r>
            <w:r w:rsidR="00E94001" w:rsidRPr="00E21881">
              <w:rPr>
                <w:sz w:val="20"/>
                <w:szCs w:val="20"/>
              </w:rPr>
              <w:t xml:space="preserve"> </w:t>
            </w:r>
            <w:proofErr w:type="spellStart"/>
            <w:r w:rsidR="00E94001" w:rsidRPr="00E21881">
              <w:rPr>
                <w:sz w:val="20"/>
                <w:szCs w:val="20"/>
              </w:rPr>
              <w:t>docetakselu</w:t>
            </w:r>
            <w:proofErr w:type="spellEnd"/>
            <w:r w:rsidR="00E94001" w:rsidRPr="00E21881">
              <w:rPr>
                <w:sz w:val="20"/>
                <w:szCs w:val="20"/>
              </w:rPr>
              <w:t xml:space="preserve"> jest </w:t>
            </w:r>
            <w:r w:rsidR="00E94001" w:rsidRPr="00E21881">
              <w:rPr>
                <w:sz w:val="20"/>
                <w:szCs w:val="20"/>
              </w:rPr>
              <w:lastRenderedPageBreak/>
              <w:t>opóźnion</w:t>
            </w:r>
            <w:r w:rsidR="00B23D65" w:rsidRPr="00E21881">
              <w:rPr>
                <w:sz w:val="20"/>
                <w:szCs w:val="20"/>
              </w:rPr>
              <w:t xml:space="preserve">e lub leczenie </w:t>
            </w:r>
            <w:proofErr w:type="spellStart"/>
            <w:r w:rsidR="00B23D65" w:rsidRPr="00E21881">
              <w:rPr>
                <w:sz w:val="20"/>
                <w:szCs w:val="20"/>
              </w:rPr>
              <w:t>docetakselem</w:t>
            </w:r>
            <w:proofErr w:type="spellEnd"/>
            <w:r w:rsidR="00B23D65" w:rsidRPr="00E21881">
              <w:rPr>
                <w:sz w:val="20"/>
                <w:szCs w:val="20"/>
              </w:rPr>
              <w:t xml:space="preserve"> </w:t>
            </w:r>
            <w:proofErr w:type="spellStart"/>
            <w:r w:rsidR="00B23D65" w:rsidRPr="00E21881">
              <w:rPr>
                <w:sz w:val="20"/>
                <w:szCs w:val="20"/>
              </w:rPr>
              <w:t>przedwczesnie</w:t>
            </w:r>
            <w:proofErr w:type="spellEnd"/>
            <w:r w:rsidR="00B23D65" w:rsidRPr="00E21881">
              <w:rPr>
                <w:sz w:val="20"/>
                <w:szCs w:val="20"/>
              </w:rPr>
              <w:t xml:space="preserve"> zakończono.</w:t>
            </w:r>
            <w:r w:rsidR="00E94001" w:rsidRPr="00E21881">
              <w:rPr>
                <w:sz w:val="20"/>
                <w:szCs w:val="20"/>
              </w:rPr>
              <w:t xml:space="preserve"> </w:t>
            </w:r>
          </w:p>
          <w:p w14:paraId="1C56CEB5" w14:textId="05B8E3A8" w:rsidR="00447C42" w:rsidRPr="00E21881" w:rsidRDefault="007D36CB" w:rsidP="00303C40">
            <w:pPr>
              <w:pStyle w:val="Akapitzlist"/>
              <w:widowControl w:val="0"/>
              <w:numPr>
                <w:ilvl w:val="3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188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e</w:t>
            </w:r>
            <w:r w:rsidR="00961AC7" w:rsidRPr="00E2188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nzalutamid</w:t>
            </w:r>
            <w:proofErr w:type="spellEnd"/>
            <w:r w:rsidR="00BF356A" w:rsidRPr="00E2188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:</w:t>
            </w:r>
            <w:r w:rsidR="00303C40" w:rsidRPr="00E2188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="00C74732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alecana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dawka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C666C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wynosi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mg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(cztery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tabletki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po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mg)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jednorazowej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dawce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1AC7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>dobowej.</w:t>
            </w:r>
            <w:r w:rsidR="00A862A6" w:rsidRPr="00E218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A1E28" w:rsidRPr="00E21881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A862A6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E28" w:rsidRPr="00E21881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A862A6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E28" w:rsidRPr="00E21881">
              <w:rPr>
                <w:rFonts w:ascii="Times New Roman" w:hAnsi="Times New Roman" w:cs="Times New Roman"/>
                <w:sz w:val="20"/>
                <w:szCs w:val="20"/>
              </w:rPr>
              <w:t>stosować</w:t>
            </w:r>
            <w:r w:rsidR="00A862A6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E28" w:rsidRPr="00E2188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62A6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E28" w:rsidRPr="00E21881">
              <w:rPr>
                <w:rFonts w:ascii="Times New Roman" w:hAnsi="Times New Roman" w:cs="Times New Roman"/>
                <w:sz w:val="20"/>
                <w:szCs w:val="20"/>
              </w:rPr>
              <w:t>pokarmem</w:t>
            </w:r>
            <w:r w:rsidR="00A862A6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E28" w:rsidRPr="00E2188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62A6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E28" w:rsidRPr="00E21881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A862A6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E28" w:rsidRPr="00E21881">
              <w:rPr>
                <w:rFonts w:ascii="Times New Roman" w:hAnsi="Times New Roman" w:cs="Times New Roman"/>
                <w:sz w:val="20"/>
                <w:szCs w:val="20"/>
              </w:rPr>
              <w:t>pokarmu.</w:t>
            </w:r>
          </w:p>
          <w:p w14:paraId="6862CBF5" w14:textId="12D6E8B8" w:rsidR="00FC0975" w:rsidRPr="00E21881" w:rsidRDefault="00FC0975" w:rsidP="00303C40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Leków hormonalnych nowej generacji </w:t>
            </w: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nie należy stosować </w:t>
            </w:r>
            <w:r w:rsidR="00B23D65" w:rsidRPr="00E21881">
              <w:rPr>
                <w:rFonts w:ascii="Times New Roman" w:hAnsi="Times New Roman" w:cs="Times New Roman"/>
                <w:sz w:val="20"/>
                <w:szCs w:val="20"/>
              </w:rPr>
              <w:t>równocześnie</w:t>
            </w: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z </w:t>
            </w:r>
            <w:proofErr w:type="spellStart"/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docetakselem</w:t>
            </w:r>
            <w:proofErr w:type="spellEnd"/>
            <w:r w:rsidR="00E94001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4001" w:rsidRPr="00E21881">
              <w:rPr>
                <w:rFonts w:ascii="Times New Roman" w:hAnsi="Times New Roman"/>
                <w:sz w:val="20"/>
                <w:szCs w:val="20"/>
              </w:rPr>
              <w:t xml:space="preserve">(za wyjątkiem </w:t>
            </w:r>
            <w:proofErr w:type="spellStart"/>
            <w:r w:rsidR="00E94001" w:rsidRPr="00E21881">
              <w:rPr>
                <w:rFonts w:ascii="Times New Roman" w:hAnsi="Times New Roman"/>
                <w:sz w:val="20"/>
                <w:szCs w:val="20"/>
              </w:rPr>
              <w:t>darolutamidu</w:t>
            </w:r>
            <w:proofErr w:type="spellEnd"/>
            <w:r w:rsidR="00E94001" w:rsidRPr="00E21881">
              <w:rPr>
                <w:rFonts w:ascii="Times New Roman" w:hAnsi="Times New Roman"/>
                <w:sz w:val="20"/>
                <w:szCs w:val="20"/>
              </w:rPr>
              <w:t xml:space="preserve"> w </w:t>
            </w:r>
            <w:proofErr w:type="spellStart"/>
            <w:r w:rsidR="00E94001" w:rsidRPr="00E21881">
              <w:rPr>
                <w:rFonts w:ascii="Times New Roman" w:hAnsi="Times New Roman"/>
                <w:sz w:val="20"/>
                <w:szCs w:val="20"/>
              </w:rPr>
              <w:t>mHSPC</w:t>
            </w:r>
            <w:proofErr w:type="spellEnd"/>
            <w:r w:rsidR="00E94001" w:rsidRPr="00E21881">
              <w:rPr>
                <w:rFonts w:ascii="Times New Roman" w:hAnsi="Times New Roman"/>
                <w:sz w:val="20"/>
                <w:szCs w:val="20"/>
              </w:rPr>
              <w:t xml:space="preserve">) </w:t>
            </w: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ani innymi antyandrogenami lub inhibitorami CYP17.</w:t>
            </w:r>
          </w:p>
          <w:p w14:paraId="601FFCFB" w14:textId="77777777" w:rsidR="005A6602" w:rsidRPr="00E21881" w:rsidRDefault="00FC0975" w:rsidP="005A6602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</w:pPr>
            <w:proofErr w:type="spellStart"/>
            <w:r w:rsidRPr="00E218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1605D7" w:rsidRPr="00E218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laparyb</w:t>
            </w:r>
            <w:proofErr w:type="spellEnd"/>
            <w:r w:rsidR="001605D7" w:rsidRPr="00E218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303C40" w:rsidRPr="00E218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74732" w:rsidRPr="00E2188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062D8" w:rsidRPr="00E21881">
              <w:rPr>
                <w:rFonts w:ascii="Times New Roman" w:hAnsi="Times New Roman" w:cs="Times New Roman"/>
                <w:sz w:val="20"/>
                <w:szCs w:val="20"/>
              </w:rPr>
              <w:t>alecana dawka wynosi 300 mg</w:t>
            </w:r>
            <w:r w:rsidR="00303C40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62D8" w:rsidRPr="00E21881">
              <w:rPr>
                <w:rFonts w:ascii="Times New Roman" w:hAnsi="Times New Roman" w:cs="Times New Roman"/>
                <w:sz w:val="20"/>
                <w:szCs w:val="20"/>
              </w:rPr>
              <w:t>(dwie tabletki po 150 mg) dwa razy na dobę, co odpowiada całkowitej dawce dobowej 600 mg. Lek można stosować z pokarmem lub bez pokarmu.</w:t>
            </w:r>
            <w:r w:rsidR="00AF079D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Lek </w:t>
            </w:r>
            <w:r w:rsidR="00C90AA6" w:rsidRPr="00E21881">
              <w:rPr>
                <w:rFonts w:ascii="Times New Roman" w:hAnsi="Times New Roman" w:cs="Times New Roman"/>
                <w:sz w:val="20"/>
                <w:szCs w:val="20"/>
              </w:rPr>
              <w:t>stosuje się</w:t>
            </w:r>
            <w:r w:rsidR="00AF079D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w </w:t>
            </w:r>
            <w:proofErr w:type="spellStart"/>
            <w:r w:rsidR="00AF079D" w:rsidRPr="00E21881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AF079D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C90AA6" w:rsidRPr="00E21881">
              <w:rPr>
                <w:rFonts w:ascii="Times New Roman" w:hAnsi="Times New Roman" w:cs="Times New Roman"/>
                <w:sz w:val="20"/>
                <w:szCs w:val="20"/>
              </w:rPr>
              <w:t>za wyjątkiem</w:t>
            </w:r>
            <w:r w:rsidR="00AF079D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0AA6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leczenia skojarzonego z </w:t>
            </w:r>
            <w:r w:rsidR="00AF079D" w:rsidRPr="00E21881">
              <w:rPr>
                <w:rFonts w:ascii="Times New Roman" w:hAnsi="Times New Roman" w:cs="Times New Roman"/>
                <w:sz w:val="20"/>
                <w:szCs w:val="20"/>
              </w:rPr>
              <w:t>analogiem lub antagonistą LHRH).</w:t>
            </w:r>
          </w:p>
          <w:p w14:paraId="10B40CAE" w14:textId="7F9D96F7" w:rsidR="005A6602" w:rsidRPr="00E21881" w:rsidRDefault="00B556C6" w:rsidP="00346AF8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="005A6602" w:rsidRPr="00E218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iraparyb</w:t>
            </w:r>
            <w:proofErr w:type="spellEnd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6602" w:rsidRPr="00E218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+ octan </w:t>
            </w:r>
            <w:proofErr w:type="spellStart"/>
            <w:r w:rsidR="005A6602" w:rsidRPr="00E218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abirateronu</w:t>
            </w:r>
            <w:proofErr w:type="spellEnd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: dawka początkowa obejmuje podanie raz dziennie dwóch tabletek zawierających w jednej tabletce 2 substancje czynne (1 tabletka: </w:t>
            </w:r>
            <w:proofErr w:type="spellStart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>niraparyb</w:t>
            </w:r>
            <w:proofErr w:type="spellEnd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100 mg + octan </w:t>
            </w:r>
            <w:proofErr w:type="spellStart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>abirateronu</w:t>
            </w:r>
            <w:proofErr w:type="spellEnd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500 mg) oraz 10 mg </w:t>
            </w:r>
            <w:proofErr w:type="spellStart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>prednizonu</w:t>
            </w:r>
            <w:proofErr w:type="spellEnd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>prednizolonu</w:t>
            </w:r>
            <w:proofErr w:type="spellEnd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. W razie konieczności możliwe jest zastosowanie tabletek o obniżonej zawartości </w:t>
            </w:r>
            <w:proofErr w:type="spellStart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>niraparybu</w:t>
            </w:r>
            <w:proofErr w:type="spellEnd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>niraparyb</w:t>
            </w:r>
            <w:proofErr w:type="spellEnd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50 mg + octan </w:t>
            </w:r>
            <w:proofErr w:type="spellStart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>abirateronu</w:t>
            </w:r>
            <w:proofErr w:type="spellEnd"/>
            <w:r w:rsidR="005A6602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500 mg)</w:t>
            </w:r>
            <w:r w:rsidR="005A6602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  <w:p w14:paraId="335C68AF" w14:textId="77777777" w:rsidR="001E7373" w:rsidRDefault="005A6602" w:rsidP="001E7373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Niedopuszczalne jest zastosowanie </w:t>
            </w:r>
            <w:proofErr w:type="spellStart"/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niraparybu</w:t>
            </w:r>
            <w:proofErr w:type="spellEnd"/>
            <w:r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w skojarzeniu z octanem </w:t>
            </w:r>
            <w:proofErr w:type="spellStart"/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abirateronu</w:t>
            </w:r>
            <w:proofErr w:type="spellEnd"/>
            <w:r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przy użyciu dwóch oddzielnych tabletek (tabletki zawierającej </w:t>
            </w:r>
            <w:proofErr w:type="spellStart"/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niraparyb</w:t>
            </w:r>
            <w:proofErr w:type="spellEnd"/>
            <w:r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i osobno tabletki zawierającej octan </w:t>
            </w:r>
            <w:proofErr w:type="spellStart"/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abirateronu</w:t>
            </w:r>
            <w:proofErr w:type="spellEnd"/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606E07AD" w14:textId="6516E81F" w:rsidR="001E7373" w:rsidRPr="001E7373" w:rsidRDefault="001E7373" w:rsidP="001E7373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E73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talazoparyb</w:t>
            </w:r>
            <w:proofErr w:type="spellEnd"/>
            <w:r w:rsidRPr="001E73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w skojarzeniu z </w:t>
            </w:r>
            <w:proofErr w:type="spellStart"/>
            <w:r w:rsidRPr="001E73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enzalutamidem</w:t>
            </w:r>
            <w:proofErr w:type="spellEnd"/>
            <w:r w:rsidRPr="001E7373">
              <w:rPr>
                <w:rFonts w:ascii="Times New Roman" w:hAnsi="Times New Roman" w:cs="Times New Roman"/>
                <w:sz w:val="20"/>
                <w:szCs w:val="20"/>
              </w:rPr>
              <w:t xml:space="preserve">: zalecana dawka to 0,5 mg </w:t>
            </w:r>
            <w:proofErr w:type="spellStart"/>
            <w:r w:rsidRPr="001E7373">
              <w:rPr>
                <w:rFonts w:ascii="Times New Roman" w:hAnsi="Times New Roman" w:cs="Times New Roman"/>
                <w:sz w:val="20"/>
                <w:szCs w:val="20"/>
              </w:rPr>
              <w:t>talazoparybu</w:t>
            </w:r>
            <w:proofErr w:type="spellEnd"/>
            <w:r w:rsidRPr="001E7373">
              <w:rPr>
                <w:rFonts w:ascii="Times New Roman" w:hAnsi="Times New Roman" w:cs="Times New Roman"/>
                <w:sz w:val="20"/>
                <w:szCs w:val="20"/>
              </w:rPr>
              <w:t xml:space="preserve"> w skojarzeniu ze 160 mg </w:t>
            </w:r>
            <w:proofErr w:type="spellStart"/>
            <w:r w:rsidRPr="001E7373">
              <w:rPr>
                <w:rFonts w:ascii="Times New Roman" w:hAnsi="Times New Roman" w:cs="Times New Roman"/>
                <w:sz w:val="20"/>
                <w:szCs w:val="20"/>
              </w:rPr>
              <w:t>enzalutamidu</w:t>
            </w:r>
            <w:proofErr w:type="spellEnd"/>
            <w:r w:rsidRPr="001E7373">
              <w:rPr>
                <w:rFonts w:ascii="Times New Roman" w:hAnsi="Times New Roman" w:cs="Times New Roman"/>
                <w:sz w:val="20"/>
                <w:szCs w:val="20"/>
              </w:rPr>
              <w:t xml:space="preserve"> raz na dobę. Lek można stosować z pokarmem lub bez pokarmu.</w:t>
            </w:r>
          </w:p>
          <w:p w14:paraId="0DB5B0B3" w14:textId="77777777" w:rsidR="00E73964" w:rsidRPr="00E21881" w:rsidRDefault="00E73964" w:rsidP="00E07EF0">
            <w:pPr>
              <w:pStyle w:val="TableParagraph"/>
              <w:tabs>
                <w:tab w:val="left" w:pos="426"/>
              </w:tabs>
              <w:spacing w:after="60" w:line="276" w:lineRule="auto"/>
              <w:ind w:left="680"/>
              <w:jc w:val="both"/>
              <w:rPr>
                <w:sz w:val="20"/>
                <w:szCs w:val="20"/>
                <w:lang w:val="pl-PL"/>
              </w:rPr>
            </w:pPr>
          </w:p>
          <w:p w14:paraId="612CDDC2" w14:textId="77777777" w:rsidR="00E73964" w:rsidRPr="00E21881" w:rsidRDefault="00E73964" w:rsidP="00E73964">
            <w:pPr>
              <w:pStyle w:val="TableParagraph"/>
              <w:numPr>
                <w:ilvl w:val="0"/>
                <w:numId w:val="3"/>
              </w:numPr>
              <w:tabs>
                <w:tab w:val="left" w:pos="426"/>
              </w:tabs>
              <w:spacing w:after="60" w:line="276" w:lineRule="auto"/>
              <w:jc w:val="both"/>
              <w:rPr>
                <w:b/>
                <w:bCs/>
                <w:sz w:val="20"/>
                <w:szCs w:val="20"/>
                <w:lang w:val="pl-PL"/>
              </w:rPr>
            </w:pPr>
            <w:bookmarkStart w:id="4" w:name="_Hlk159845910"/>
            <w:r w:rsidRPr="00E21881">
              <w:rPr>
                <w:b/>
                <w:bCs/>
                <w:sz w:val="20"/>
                <w:szCs w:val="20"/>
                <w:lang w:val="pl-PL"/>
              </w:rPr>
              <w:t>Modyfikacja dawkowania leków</w:t>
            </w:r>
          </w:p>
          <w:p w14:paraId="156E0BF0" w14:textId="11444E32" w:rsidR="00E73964" w:rsidRPr="00E21881" w:rsidRDefault="00E73964" w:rsidP="00E73964">
            <w:pPr>
              <w:pStyle w:val="TableParagraph"/>
              <w:tabs>
                <w:tab w:val="left" w:pos="426"/>
              </w:tabs>
              <w:spacing w:after="60" w:line="276" w:lineRule="auto"/>
              <w:ind w:left="0"/>
              <w:jc w:val="both"/>
              <w:rPr>
                <w:sz w:val="20"/>
                <w:szCs w:val="20"/>
                <w:lang w:val="pl-PL"/>
              </w:rPr>
            </w:pPr>
            <w:r w:rsidRPr="00E21881">
              <w:rPr>
                <w:sz w:val="20"/>
                <w:szCs w:val="20"/>
                <w:lang w:val="pl-PL"/>
              </w:rPr>
              <w:t>Szczegóły dotyczące sposobu podawania, ewentualnego czasowego wstrzymania leczenia oraz ewentualnego zmniejszania dawki leku zgodnie z aktualną Charakterystyką Produktu Leczniczego.</w:t>
            </w:r>
          </w:p>
          <w:bookmarkEnd w:id="4"/>
          <w:p w14:paraId="33EEFD35" w14:textId="77777777" w:rsidR="00CA0696" w:rsidRPr="00E21881" w:rsidRDefault="00CA0696" w:rsidP="00303C40">
            <w:pPr>
              <w:pStyle w:val="TableParagraph"/>
              <w:tabs>
                <w:tab w:val="left" w:pos="426"/>
              </w:tabs>
              <w:spacing w:after="60" w:line="276" w:lineRule="auto"/>
              <w:ind w:left="0" w:right="93"/>
              <w:jc w:val="both"/>
              <w:rPr>
                <w:rFonts w:eastAsia="SimSun"/>
                <w:sz w:val="20"/>
                <w:szCs w:val="20"/>
                <w:lang w:val="pl-PL" w:eastAsia="zh-CN"/>
              </w:rPr>
            </w:pPr>
          </w:p>
          <w:p w14:paraId="254B40FE" w14:textId="1C61DEB5" w:rsidR="00CA0696" w:rsidRPr="00E21881" w:rsidRDefault="00CA0696" w:rsidP="00303C40">
            <w:pPr>
              <w:autoSpaceDN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20E" w14:textId="70C739AD" w:rsidR="0026562F" w:rsidRPr="00E21881" w:rsidRDefault="0026562F" w:rsidP="00303C40">
            <w:pPr>
              <w:pStyle w:val="Akapitzlist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lastRenderedPageBreak/>
              <w:t>Badania</w:t>
            </w:r>
            <w:r w:rsidR="00A862A6" w:rsidRPr="00E2188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Pr="00E2188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przy</w:t>
            </w:r>
            <w:r w:rsidR="00A862A6" w:rsidRPr="00E2188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 xml:space="preserve"> </w:t>
            </w:r>
            <w:r w:rsidRPr="00E2188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kwalifikacji</w:t>
            </w:r>
            <w:r w:rsidR="00E85523" w:rsidRPr="00E2188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 xml:space="preserve"> do leczenia</w:t>
            </w:r>
          </w:p>
          <w:p w14:paraId="56639583" w14:textId="0195579A" w:rsidR="003E618B" w:rsidRPr="00E21881" w:rsidRDefault="00BA3747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bidi="pl-PL"/>
              </w:rPr>
              <w:t>h</w:t>
            </w:r>
            <w:r w:rsidR="0026562F" w:rsidRPr="00E21881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bidi="pl-PL"/>
              </w:rPr>
              <w:t>istologicznie</w:t>
            </w:r>
            <w:r w:rsidR="00CD7BC8" w:rsidRPr="00E21881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bidi="pl-PL"/>
              </w:rPr>
              <w:t xml:space="preserve"> </w:t>
            </w:r>
            <w:r w:rsidR="0026562F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potwierdzone</w:t>
            </w:r>
            <w:r w:rsidR="00A862A6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</w:t>
            </w:r>
            <w:r w:rsidR="0026562F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rozpoznanie</w:t>
            </w:r>
            <w:r w:rsidR="00A862A6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</w:t>
            </w:r>
            <w:r w:rsidR="0026562F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raka</w:t>
            </w:r>
            <w:r w:rsidR="00A862A6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</w:t>
            </w:r>
            <w:r w:rsidR="0026562F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gruczołu</w:t>
            </w:r>
            <w:r w:rsidR="00A862A6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</w:t>
            </w:r>
            <w:r w:rsidR="0026562F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krokowego;</w:t>
            </w:r>
          </w:p>
          <w:p w14:paraId="61CD59EC" w14:textId="27BCC1B5" w:rsidR="003E618B" w:rsidRPr="00E21881" w:rsidRDefault="00D61930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eastAsia="Calibri" w:hAnsi="Times New Roman" w:cs="Times New Roman"/>
                <w:sz w:val="20"/>
                <w:szCs w:val="20"/>
              </w:rPr>
              <w:t>morfologia krwi z rozmazem</w:t>
            </w:r>
            <w:r w:rsidR="00C90AA6" w:rsidRPr="00E21881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  <w:r w:rsidR="006252F7" w:rsidRPr="00E2188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5DE2FE6A" w14:textId="77777777" w:rsidR="003E618B" w:rsidRPr="00E21881" w:rsidRDefault="00A94D35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eastAsia="Calibri" w:hAnsi="Times New Roman" w:cs="Times New Roman"/>
                <w:sz w:val="20"/>
                <w:szCs w:val="20"/>
              </w:rPr>
              <w:t>oznaczenie stężenia PSA;</w:t>
            </w:r>
          </w:p>
          <w:p w14:paraId="610ADE39" w14:textId="77777777" w:rsidR="003E618B" w:rsidRPr="00E21881" w:rsidRDefault="00A94D35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eastAsia="Calibri" w:hAnsi="Times New Roman" w:cs="Times New Roman"/>
                <w:sz w:val="20"/>
                <w:szCs w:val="20"/>
              </w:rPr>
              <w:t>oznaczenie stężenia testosteronu;</w:t>
            </w:r>
          </w:p>
          <w:p w14:paraId="1F155772" w14:textId="4938B070" w:rsidR="003E618B" w:rsidRPr="00B556C6" w:rsidRDefault="00A94D35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556C6">
              <w:rPr>
                <w:rFonts w:ascii="Times New Roman" w:eastAsia="Calibri" w:hAnsi="Times New Roman" w:cs="Times New Roman"/>
                <w:sz w:val="20"/>
                <w:szCs w:val="20"/>
              </w:rPr>
              <w:t>oznaczenie stężenia kreatyniny</w:t>
            </w:r>
            <w:r w:rsidR="009061AA" w:rsidRPr="00B556C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9061AA" w:rsidRPr="00B556C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D475D5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w przypadku leczenia </w:t>
            </w:r>
            <w:proofErr w:type="spellStart"/>
            <w:r w:rsidR="00D475D5" w:rsidRPr="00B556C6">
              <w:rPr>
                <w:rFonts w:ascii="Times New Roman" w:hAnsi="Times New Roman" w:cs="Times New Roman"/>
                <w:sz w:val="20"/>
                <w:szCs w:val="20"/>
              </w:rPr>
              <w:t>olaparybem</w:t>
            </w:r>
            <w:proofErr w:type="spellEnd"/>
            <w:r w:rsidR="001E7373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lub </w:t>
            </w:r>
            <w:proofErr w:type="spellStart"/>
            <w:r w:rsidR="001E7373" w:rsidRPr="00B556C6">
              <w:rPr>
                <w:rFonts w:ascii="Times New Roman" w:hAnsi="Times New Roman" w:cs="Times New Roman"/>
                <w:sz w:val="20"/>
                <w:szCs w:val="20"/>
              </w:rPr>
              <w:t>talazoparybem</w:t>
            </w:r>
            <w:proofErr w:type="spellEnd"/>
            <w:r w:rsidR="001E7373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75D5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także</w:t>
            </w:r>
            <w:r w:rsidR="009061AA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wyliczenie </w:t>
            </w:r>
            <w:proofErr w:type="spellStart"/>
            <w:r w:rsidR="009061AA" w:rsidRPr="00B556C6">
              <w:rPr>
                <w:rFonts w:ascii="Times New Roman" w:hAnsi="Times New Roman" w:cs="Times New Roman"/>
                <w:sz w:val="20"/>
                <w:szCs w:val="20"/>
              </w:rPr>
              <w:t>klirensu</w:t>
            </w:r>
            <w:proofErr w:type="spellEnd"/>
            <w:r w:rsidR="009061AA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kreatyniny)</w:t>
            </w:r>
            <w:r w:rsidRPr="00B556C6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</w:p>
          <w:p w14:paraId="5FF64C90" w14:textId="55386397" w:rsidR="003E618B" w:rsidRPr="00E21881" w:rsidRDefault="00A94D35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556C6">
              <w:rPr>
                <w:rFonts w:ascii="Times New Roman" w:eastAsia="Calibri" w:hAnsi="Times New Roman" w:cs="Times New Roman"/>
                <w:sz w:val="20"/>
                <w:szCs w:val="20"/>
              </w:rPr>
              <w:t>oznaczenie stęże</w:t>
            </w:r>
            <w:r w:rsidRPr="00E21881">
              <w:rPr>
                <w:rFonts w:ascii="Times New Roman" w:eastAsia="Calibri" w:hAnsi="Times New Roman" w:cs="Times New Roman"/>
                <w:sz w:val="20"/>
                <w:szCs w:val="20"/>
              </w:rPr>
              <w:t>nia bilirubiny</w:t>
            </w:r>
            <w:r w:rsidR="00C90AA6" w:rsidRPr="00E21881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</w:p>
          <w:p w14:paraId="49770283" w14:textId="6F51821A" w:rsidR="003E618B" w:rsidRPr="00E21881" w:rsidRDefault="00733D0D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</w:t>
            </w:r>
            <w:r w:rsidR="00C90AA6" w:rsidRPr="00E2188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6252F7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72783C5" w14:textId="01C1D1C4" w:rsidR="00056031" w:rsidRPr="00E21881" w:rsidRDefault="00733D0D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oznaczenie aktywności aminotransferazy </w:t>
            </w:r>
            <w:proofErr w:type="spellStart"/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asparaginianowej</w:t>
            </w:r>
            <w:proofErr w:type="spellEnd"/>
            <w:r w:rsidR="00C90AA6" w:rsidRPr="00E2188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E334491" w14:textId="7DC334F4" w:rsidR="00BE5454" w:rsidRPr="00E21881" w:rsidRDefault="00056031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860160" w:rsidRPr="00E218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cyntygrafia kośćca</w:t>
            </w:r>
            <w:r w:rsidR="00603AEB" w:rsidRPr="00E218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3198FAA6" w14:textId="4ACB4ECD" w:rsidR="00444F53" w:rsidRPr="00E21881" w:rsidRDefault="00056031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o</w:t>
            </w:r>
            <w:r w:rsidR="00860160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brazowanie (rentgenografia lub tomografia komputerowa lub rezonans magnetyczny</w:t>
            </w:r>
            <w:r w:rsidR="00FD09D1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 xml:space="preserve"> </w:t>
            </w:r>
            <w:r w:rsidR="00860160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w zależności od sytuacji klinicznej</w:t>
            </w:r>
            <w:r w:rsidR="002D154C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)</w:t>
            </w:r>
            <w:r w:rsidR="00FE61C2" w:rsidRPr="00E2188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pl-PL"/>
              </w:rPr>
              <w:t>;</w:t>
            </w:r>
          </w:p>
          <w:p w14:paraId="5E1330EC" w14:textId="0D7A57DB" w:rsidR="00444F53" w:rsidRPr="00E21881" w:rsidRDefault="00C324DB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tomografia komputerowa jamy brzusznej i miednicy</w:t>
            </w:r>
            <w:r w:rsidR="00603AEB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(w przypadku leczenia</w:t>
            </w:r>
            <w:r w:rsidR="00477A99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E02AEC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>apalutamidem</w:t>
            </w:r>
            <w:proofErr w:type="spellEnd"/>
            <w:r w:rsidR="00E02AEC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>,</w:t>
            </w:r>
            <w:r w:rsidR="00E07EF0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EF14A9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>darolutamidem</w:t>
            </w:r>
            <w:proofErr w:type="spellEnd"/>
            <w:r w:rsidR="00EF14A9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>,</w:t>
            </w:r>
            <w:r w:rsidR="007243BA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E02AEC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lastRenderedPageBreak/>
              <w:t>enzalutamidem</w:t>
            </w:r>
            <w:proofErr w:type="spellEnd"/>
            <w:r w:rsidR="00EF14A9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 w:rsidR="00E02AEC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>chorych</w:t>
            </w:r>
            <w:r w:rsidR="00135F11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 w:rsidR="00BC635B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 xml:space="preserve">na </w:t>
            </w:r>
            <w:proofErr w:type="spellStart"/>
            <w:r w:rsidR="00135F11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>nm</w:t>
            </w:r>
            <w:r w:rsidR="00BC635B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>CRPC</w:t>
            </w:r>
            <w:proofErr w:type="spellEnd"/>
            <w:r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>)</w:t>
            </w:r>
            <w:r w:rsidR="00603AEB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>;</w:t>
            </w:r>
          </w:p>
          <w:p w14:paraId="5E0C2F2F" w14:textId="29892B93" w:rsidR="00444F53" w:rsidRPr="00E21881" w:rsidRDefault="00603AEB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rentgenografia </w:t>
            </w:r>
            <w:r w:rsidR="000B5942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lub tomografia komputerowa </w:t>
            </w: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klatki piersiowej </w:t>
            </w:r>
            <w:r w:rsidR="005049D6" w:rsidRPr="00E2188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02AEC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 przypadku leczenia</w:t>
            </w:r>
            <w:r w:rsidR="007243BA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5049D6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apalutamidem</w:t>
            </w:r>
            <w:proofErr w:type="spellEnd"/>
            <w:r w:rsidR="005049D6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5049D6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darolutamidem</w:t>
            </w:r>
            <w:proofErr w:type="spellEnd"/>
            <w:r w:rsidR="005049D6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5049D6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enzalutamidem</w:t>
            </w:r>
            <w:proofErr w:type="spellEnd"/>
            <w:r w:rsidR="005049D6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chorych na </w:t>
            </w:r>
            <w:proofErr w:type="spellStart"/>
            <w:r w:rsidR="005049D6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nmCRPC</w:t>
            </w:r>
            <w:proofErr w:type="spellEnd"/>
            <w:r w:rsidR="00E02AEC" w:rsidRPr="00E21881"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zh-CN"/>
              </w:rPr>
              <w:t>;</w:t>
            </w:r>
          </w:p>
          <w:p w14:paraId="52C663B7" w14:textId="5E340628" w:rsidR="00B10952" w:rsidRPr="00E21881" w:rsidRDefault="00444F53" w:rsidP="00303C40">
            <w:pPr>
              <w:pStyle w:val="Akapitzlist"/>
              <w:widowControl w:val="0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6457B0" w:rsidRPr="00E21881">
              <w:rPr>
                <w:rFonts w:ascii="Times New Roman" w:hAnsi="Times New Roman" w:cs="Times New Roman"/>
                <w:sz w:val="20"/>
                <w:szCs w:val="20"/>
              </w:rPr>
              <w:t>nne badania w razie wskazań klinicznych.</w:t>
            </w:r>
          </w:p>
          <w:p w14:paraId="10319BB2" w14:textId="18F337CD" w:rsidR="000D3AFD" w:rsidRPr="00E21881" w:rsidRDefault="000D3AFD" w:rsidP="00303C40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Badania obrazowe </w:t>
            </w:r>
            <w:r w:rsidR="00BE5454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powinny być </w:t>
            </w: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wykonane w ciągu 3 miesięcy przed włączeniem do programu.</w:t>
            </w:r>
          </w:p>
          <w:p w14:paraId="0CFD3A5B" w14:textId="2CDCF9DF" w:rsidR="00895DD1" w:rsidRPr="00E21881" w:rsidRDefault="00895DD1" w:rsidP="00303C40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Wstępne badania obrazowe musz</w:t>
            </w:r>
            <w:r w:rsidR="00D61930" w:rsidRPr="00E21881">
              <w:rPr>
                <w:rFonts w:ascii="Times New Roman" w:hAnsi="Times New Roman" w:cs="Times New Roman"/>
                <w:sz w:val="20"/>
                <w:szCs w:val="20"/>
              </w:rPr>
              <w:t>ą umożliwiać późniejszą obiektywną ocenę odpowiedzi na leczenie wg aktualnych kryteriów RECIST</w:t>
            </w:r>
            <w:r w:rsidR="00BE5454"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lub PCWG</w:t>
            </w:r>
            <w:r w:rsidR="00D61930" w:rsidRPr="00E2188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8C0C713" w14:textId="77777777" w:rsidR="00ED0B17" w:rsidRPr="00E21881" w:rsidRDefault="00ED0B17" w:rsidP="00303C40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D03D8D" w14:textId="18BEC520" w:rsidR="007243BA" w:rsidRPr="00E21881" w:rsidRDefault="007243BA" w:rsidP="00E85523">
            <w:pPr>
              <w:pStyle w:val="Akapitzlist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>Monitorowanie bezpieczeństwa</w:t>
            </w:r>
            <w:r w:rsidR="00E85523" w:rsidRPr="00E21881">
              <w:rPr>
                <w:rFonts w:ascii="Times New Roman" w:eastAsia="SimSun" w:hAnsi="Times New Roman" w:cs="Times New Roman"/>
                <w:b/>
                <w:sz w:val="20"/>
                <w:szCs w:val="20"/>
                <w:lang w:eastAsia="zh-CN"/>
              </w:rPr>
              <w:t xml:space="preserve"> leczenia</w:t>
            </w:r>
          </w:p>
          <w:p w14:paraId="428706B5" w14:textId="5F8BBA75" w:rsidR="00877F06" w:rsidRPr="00B556C6" w:rsidRDefault="00877F06" w:rsidP="00303C40">
            <w:pPr>
              <w:pStyle w:val="Akapitzlist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morfologia krwi z rozmazem (</w:t>
            </w:r>
            <w:r w:rsidR="00576993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 przypadku leczenia</w:t>
            </w: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docetakselem</w:t>
            </w:r>
            <w:proofErr w:type="spellEnd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z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darolutamidem</w:t>
            </w:r>
            <w:proofErr w:type="spellEnd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CE324B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(</w:t>
            </w:r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nie dotyczy fazy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monoterapii</w:t>
            </w:r>
            <w:proofErr w:type="spellEnd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darolutamidem</w:t>
            </w:r>
            <w:proofErr w:type="spellEnd"/>
            <w:r w:rsidR="00CE324B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)</w:t>
            </w:r>
            <w:r w:rsidR="001B4C1B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, </w:t>
            </w:r>
            <w:r w:rsidR="00E07EF0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albo </w:t>
            </w:r>
            <w:proofErr w:type="spellStart"/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olaparyb</w:t>
            </w:r>
            <w:r w:rsidR="00576993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em</w:t>
            </w:r>
            <w:proofErr w:type="spellEnd"/>
            <w:r w:rsidR="00F405E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F405E5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albo </w:t>
            </w:r>
            <w:proofErr w:type="spellStart"/>
            <w:r w:rsidR="00F405E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niraparybem</w:t>
            </w:r>
            <w:proofErr w:type="spellEnd"/>
            <w:r w:rsidR="00F405E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octanem </w:t>
            </w:r>
            <w:proofErr w:type="spellStart"/>
            <w:r w:rsidR="00F405E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abirateronu</w:t>
            </w:r>
            <w:proofErr w:type="spellEnd"/>
            <w:r w:rsidR="002C247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albo </w:t>
            </w:r>
            <w:proofErr w:type="spellStart"/>
            <w:r w:rsidR="002C247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talazoparybem</w:t>
            </w:r>
            <w:proofErr w:type="spellEnd"/>
            <w:r w:rsidR="002C247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skojarzeniu z </w:t>
            </w:r>
            <w:proofErr w:type="spellStart"/>
            <w:r w:rsidR="002C247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enzalutamidem</w:t>
            </w:r>
            <w:proofErr w:type="spellEnd"/>
            <w:r w:rsidR="007243BA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)</w:t>
            </w:r>
            <w:r w:rsidR="0007274E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51192173" w14:textId="75125841" w:rsidR="00877F06" w:rsidRPr="00E21881" w:rsidRDefault="00877F06" w:rsidP="00303C40">
            <w:pPr>
              <w:pStyle w:val="Akapitzlist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oznaczenie stężenia bilirubiny (</w:t>
            </w:r>
            <w:r w:rsidR="00D475D5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w przypadku leczenia </w:t>
            </w:r>
            <w:proofErr w:type="spellStart"/>
            <w:r w:rsidR="00D475D5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docetakselem</w:t>
            </w:r>
            <w:proofErr w:type="spellEnd"/>
            <w:r w:rsidR="00D475D5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z </w:t>
            </w:r>
            <w:proofErr w:type="spellStart"/>
            <w:r w:rsidR="00D475D5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darolutamidem</w:t>
            </w:r>
            <w:proofErr w:type="spellEnd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CE324B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(</w:t>
            </w:r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nie dotyczy fazy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monoterapii</w:t>
            </w:r>
            <w:proofErr w:type="spellEnd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darolutamidem</w:t>
            </w:r>
            <w:proofErr w:type="spellEnd"/>
            <w:r w:rsidR="00CE324B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)</w:t>
            </w:r>
            <w:r w:rsidR="00E07EF0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</w:p>
          <w:p w14:paraId="4C250E7F" w14:textId="368A980A" w:rsidR="00877F06" w:rsidRPr="00E21881" w:rsidRDefault="00877F06" w:rsidP="00477A99">
            <w:pPr>
              <w:pStyle w:val="Akapitzlist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oznaczenie aktywności aminotransferazy alaninowej (</w:t>
            </w:r>
            <w:r w:rsidR="00576993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w przypadku </w:t>
            </w:r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leczenia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docetakselem</w:t>
            </w:r>
            <w:proofErr w:type="spellEnd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z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darolutamidem</w:t>
            </w:r>
            <w:proofErr w:type="spellEnd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CE324B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(</w:t>
            </w:r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nie dotyczy fazy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monoterapii</w:t>
            </w:r>
            <w:proofErr w:type="spellEnd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darolutamidem</w:t>
            </w:r>
            <w:proofErr w:type="spellEnd"/>
            <w:r w:rsidR="00CE324B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)</w:t>
            </w:r>
            <w:r w:rsidR="0038668A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44A9F02F" w14:textId="1F2B2327" w:rsidR="00877F06" w:rsidRPr="00E21881" w:rsidRDefault="00877F06" w:rsidP="00477A99">
            <w:pPr>
              <w:pStyle w:val="Akapitzlist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oznaczenie aktywności aminotransferazy </w:t>
            </w:r>
            <w:proofErr w:type="spellStart"/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asparaginianowej</w:t>
            </w:r>
            <w:proofErr w:type="spellEnd"/>
            <w:r w:rsidR="006252F7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(</w:t>
            </w:r>
            <w:r w:rsidR="00576993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 przypadku leczenia</w:t>
            </w: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docetakselem</w:t>
            </w:r>
            <w:proofErr w:type="spellEnd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z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darolutamidem</w:t>
            </w:r>
            <w:proofErr w:type="spellEnd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D35C74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(</w:t>
            </w:r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nie dotyczy fazy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monoterapii</w:t>
            </w:r>
            <w:proofErr w:type="spellEnd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D475D5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darolutamidem</w:t>
            </w:r>
            <w:proofErr w:type="spellEnd"/>
            <w:r w:rsidR="00D35C74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)</w:t>
            </w:r>
            <w:r w:rsidR="0038668A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3D0873CE" w14:textId="1BB78852" w:rsidR="00BE4901" w:rsidRPr="00B556C6" w:rsidRDefault="00BE4901" w:rsidP="00303C40">
            <w:pPr>
              <w:pStyle w:val="Akapitzlist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lastRenderedPageBreak/>
              <w:t>oznaczenie stężenia kreatyniny (</w:t>
            </w:r>
            <w:r w:rsidR="00576993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 przypadku leczenia</w:t>
            </w: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olaparyb</w:t>
            </w:r>
            <w:r w:rsidR="00576993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em</w:t>
            </w:r>
            <w:proofErr w:type="spellEnd"/>
            <w:r w:rsidR="004377CE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F405E5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albo </w:t>
            </w:r>
            <w:proofErr w:type="spellStart"/>
            <w:r w:rsidR="00F405E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niraparybem</w:t>
            </w:r>
            <w:proofErr w:type="spellEnd"/>
            <w:r w:rsidR="00F405E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octanem </w:t>
            </w:r>
            <w:proofErr w:type="spellStart"/>
            <w:r w:rsidR="00F405E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abirateronu</w:t>
            </w:r>
            <w:proofErr w:type="spellEnd"/>
            <w:r w:rsidR="002C247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albo </w:t>
            </w:r>
            <w:proofErr w:type="spellStart"/>
            <w:r w:rsidR="002C247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talazoparybem</w:t>
            </w:r>
            <w:proofErr w:type="spellEnd"/>
            <w:r w:rsidR="002C247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skojarzeniu z </w:t>
            </w:r>
            <w:proofErr w:type="spellStart"/>
            <w:r w:rsidR="002C247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enzalutamidem</w:t>
            </w:r>
            <w:proofErr w:type="spellEnd"/>
            <w:r w:rsidR="00F405E5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4377CE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także wyliczenie </w:t>
            </w:r>
            <w:proofErr w:type="spellStart"/>
            <w:r w:rsidR="004377CE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klirensu</w:t>
            </w:r>
            <w:proofErr w:type="spellEnd"/>
            <w:r w:rsidR="004377CE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kreatyniny</w:t>
            </w:r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);</w:t>
            </w:r>
            <w:r w:rsidR="002C2475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</w:p>
          <w:p w14:paraId="5DADBD6A" w14:textId="77777777" w:rsidR="001B35D2" w:rsidRPr="00B556C6" w:rsidRDefault="001B35D2" w:rsidP="001B35D2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556C6">
              <w:rPr>
                <w:rFonts w:ascii="Times New Roman" w:hAnsi="Times New Roman" w:cs="Times New Roman"/>
                <w:sz w:val="20"/>
                <w:szCs w:val="20"/>
              </w:rPr>
              <w:t>Badania laboratoryjne wykonuje się:</w:t>
            </w:r>
          </w:p>
          <w:p w14:paraId="6D4882B7" w14:textId="77777777" w:rsidR="001B35D2" w:rsidRPr="00B556C6" w:rsidRDefault="001B35D2" w:rsidP="001B35D2">
            <w:pPr>
              <w:pStyle w:val="Akapitzlist"/>
              <w:numPr>
                <w:ilvl w:val="5"/>
                <w:numId w:val="4"/>
              </w:numPr>
              <w:spacing w:after="60" w:line="276" w:lineRule="auto"/>
              <w:ind w:left="517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B556C6">
              <w:rPr>
                <w:rFonts w:ascii="Times New Roman" w:hAnsi="Times New Roman" w:cs="Times New Roman"/>
                <w:sz w:val="20"/>
                <w:szCs w:val="20"/>
              </w:rPr>
              <w:t>badania krwi regularnie co 2-3 miesiące, również przy braku wskazań klinicznych;</w:t>
            </w:r>
          </w:p>
          <w:p w14:paraId="11CBA650" w14:textId="34F5F069" w:rsidR="001B35D2" w:rsidRPr="00B556C6" w:rsidRDefault="001B35D2" w:rsidP="001B35D2">
            <w:pPr>
              <w:pStyle w:val="Akapitzlist"/>
              <w:numPr>
                <w:ilvl w:val="5"/>
                <w:numId w:val="4"/>
              </w:numPr>
              <w:spacing w:after="60" w:line="276" w:lineRule="auto"/>
              <w:ind w:left="517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przed podaniem każdej dawki leku w przypadku leczenia </w:t>
            </w:r>
            <w:proofErr w:type="spellStart"/>
            <w:r w:rsidR="004377CE" w:rsidRPr="00B556C6">
              <w:rPr>
                <w:rFonts w:ascii="Times New Roman" w:hAnsi="Times New Roman" w:cs="Times New Roman"/>
                <w:sz w:val="20"/>
                <w:szCs w:val="20"/>
              </w:rPr>
              <w:t>docetakselem</w:t>
            </w:r>
            <w:proofErr w:type="spellEnd"/>
            <w:r w:rsidR="004377CE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z </w:t>
            </w:r>
            <w:proofErr w:type="spellStart"/>
            <w:r w:rsidR="004377CE" w:rsidRPr="00B556C6">
              <w:rPr>
                <w:rFonts w:ascii="Times New Roman" w:hAnsi="Times New Roman" w:cs="Times New Roman"/>
                <w:sz w:val="20"/>
                <w:szCs w:val="20"/>
              </w:rPr>
              <w:t>darolutamidem</w:t>
            </w:r>
            <w:proofErr w:type="spellEnd"/>
            <w:r w:rsidR="004377CE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5C74" w:rsidRPr="00B556C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377CE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nie dotyczy fazy </w:t>
            </w:r>
            <w:proofErr w:type="spellStart"/>
            <w:r w:rsidR="004377CE" w:rsidRPr="00B556C6">
              <w:rPr>
                <w:rFonts w:ascii="Times New Roman" w:hAnsi="Times New Roman" w:cs="Times New Roman"/>
                <w:sz w:val="20"/>
                <w:szCs w:val="20"/>
              </w:rPr>
              <w:t>monoterapii</w:t>
            </w:r>
            <w:proofErr w:type="spellEnd"/>
            <w:r w:rsidR="004377CE" w:rsidRPr="00B556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377CE" w:rsidRPr="00B556C6">
              <w:rPr>
                <w:rFonts w:ascii="Times New Roman" w:hAnsi="Times New Roman" w:cs="Times New Roman"/>
                <w:sz w:val="20"/>
                <w:szCs w:val="20"/>
              </w:rPr>
              <w:t>darolutamidem</w:t>
            </w:r>
            <w:proofErr w:type="spellEnd"/>
            <w:r w:rsidR="00D35C74" w:rsidRPr="00B556C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8668A" w:rsidRPr="00B556C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CB7FA0B" w14:textId="62DEB783" w:rsidR="001B35D2" w:rsidRPr="00B556C6" w:rsidRDefault="001B35D2" w:rsidP="001B35D2">
            <w:pPr>
              <w:pStyle w:val="Akapitzlist"/>
              <w:numPr>
                <w:ilvl w:val="5"/>
                <w:numId w:val="4"/>
              </w:numPr>
              <w:spacing w:after="60" w:line="276" w:lineRule="auto"/>
              <w:ind w:left="517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morfologia krwi z rozmazem, oznaczenie stężenia kreatyniny i wyliczenie </w:t>
            </w:r>
            <w:proofErr w:type="spellStart"/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klirensu</w:t>
            </w:r>
            <w:proofErr w:type="spellEnd"/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kreatyniny nie rzadziej niż co 1 miesiąc (w przypadku leczenia </w:t>
            </w:r>
            <w:proofErr w:type="spellStart"/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olaparybem</w:t>
            </w:r>
            <w:proofErr w:type="spellEnd"/>
            <w:r w:rsidR="00F405E5"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albo </w:t>
            </w:r>
            <w:proofErr w:type="spellStart"/>
            <w:r w:rsidR="00F405E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niraparybem</w:t>
            </w:r>
            <w:proofErr w:type="spellEnd"/>
            <w:r w:rsidR="00F405E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octanem </w:t>
            </w:r>
            <w:proofErr w:type="spellStart"/>
            <w:r w:rsidR="00F405E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abirateronu</w:t>
            </w:r>
            <w:proofErr w:type="spellEnd"/>
            <w:r w:rsidR="002C247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albo </w:t>
            </w:r>
            <w:proofErr w:type="spellStart"/>
            <w:r w:rsidR="002C247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talazoparybem</w:t>
            </w:r>
            <w:proofErr w:type="spellEnd"/>
            <w:r w:rsidR="002C247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 skojarzeniu z </w:t>
            </w:r>
            <w:proofErr w:type="spellStart"/>
            <w:r w:rsidR="002C2475" w:rsidRPr="00B5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enzalutamidem</w:t>
            </w:r>
            <w:proofErr w:type="spellEnd"/>
            <w:r w:rsidRPr="00B556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).</w:t>
            </w:r>
          </w:p>
          <w:p w14:paraId="40CC2A27" w14:textId="77777777" w:rsidR="001B35D2" w:rsidRPr="00E21881" w:rsidRDefault="001B35D2" w:rsidP="00814B09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  <w:p w14:paraId="46A2650B" w14:textId="15BF6159" w:rsidR="001B35D2" w:rsidRPr="00E21881" w:rsidRDefault="001B35D2" w:rsidP="00E85523">
            <w:pPr>
              <w:pStyle w:val="Akapitzlist"/>
              <w:numPr>
                <w:ilvl w:val="0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Monitorowanie skuteczności</w:t>
            </w:r>
            <w:r w:rsidR="00E85523" w:rsidRPr="00E21881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leczenia</w:t>
            </w:r>
          </w:p>
          <w:p w14:paraId="5446CD88" w14:textId="597CA932" w:rsidR="00877F06" w:rsidRPr="00E21881" w:rsidRDefault="00877F06" w:rsidP="00814B09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oznaczenie stężenia PSA, nie rzadziej niż co 3 miesiące,</w:t>
            </w:r>
            <w:r w:rsidR="00475788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 w przypadku wskazań klinicznych decyzją lekarza kolejne oznaczenia mogą być wykonywane częściej;</w:t>
            </w:r>
          </w:p>
          <w:p w14:paraId="3B47CE65" w14:textId="632EF206" w:rsidR="00877F06" w:rsidRPr="00E21881" w:rsidRDefault="00877F06" w:rsidP="00814B09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badania obrazowe (</w:t>
            </w:r>
            <w:r w:rsidR="00CD7BC8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RTG/</w:t>
            </w: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TK/MR) w zależności od badania wykonanego przy kwalifikacji, nie rzadziej niż co 6 miesięcy;</w:t>
            </w:r>
          </w:p>
          <w:p w14:paraId="4CC5D96C" w14:textId="1B07B137" w:rsidR="00877F06" w:rsidRPr="00E21881" w:rsidRDefault="00877F06" w:rsidP="00814B09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scyntygrafia nie rzadziej niż co 6 miesięcy</w:t>
            </w:r>
            <w:r w:rsidR="00CD7BC8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;</w:t>
            </w:r>
          </w:p>
          <w:p w14:paraId="5D32F12E" w14:textId="72573B43" w:rsidR="00877F06" w:rsidRPr="00E21881" w:rsidRDefault="00877F06" w:rsidP="00814B09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lastRenderedPageBreak/>
              <w:t>inne badania w zależności od sytuacji klinicznej</w:t>
            </w:r>
            <w:r w:rsidR="00303C40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  <w:p w14:paraId="0D124116" w14:textId="59F06937" w:rsidR="00ED0B17" w:rsidRPr="00E21881" w:rsidRDefault="00D52694" w:rsidP="00303C40">
            <w:pPr>
              <w:spacing w:after="60" w:line="276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Badania oceniające odpowiedź powinny być wykonywane zawsze przy klinicznym podejrzeniu progresji</w:t>
            </w:r>
            <w:r w:rsidR="005E5777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  <w:p w14:paraId="11F93021" w14:textId="77777777" w:rsidR="007243BA" w:rsidRPr="00E21881" w:rsidRDefault="007243BA" w:rsidP="00814B09">
            <w:pPr>
              <w:spacing w:after="60" w:line="276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Na podstawie ww. badań w celu monitorowania skuteczności leczenia przekazywane są dane dotyczące wybranych wskaźników skuteczności terapii, dla których jest możliwe ich określenie przez lekarza prowadzącego dla indywidualnego pacjenta, spośród:</w:t>
            </w:r>
          </w:p>
          <w:p w14:paraId="1FB82A39" w14:textId="77777777" w:rsidR="007243BA" w:rsidRPr="00E21881" w:rsidRDefault="007243BA" w:rsidP="001B4C1B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całkowita odpowiedź (CR),</w:t>
            </w:r>
          </w:p>
          <w:p w14:paraId="77388413" w14:textId="77777777" w:rsidR="007243BA" w:rsidRPr="00E21881" w:rsidRDefault="007243BA" w:rsidP="001B4C1B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częściowa odpowiedź (PR) albo </w:t>
            </w:r>
            <w:proofErr w:type="spellStart"/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nonCR</w:t>
            </w:r>
            <w:proofErr w:type="spellEnd"/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/</w:t>
            </w:r>
            <w:proofErr w:type="spellStart"/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nonPD</w:t>
            </w:r>
            <w:proofErr w:type="spellEnd"/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,</w:t>
            </w:r>
          </w:p>
          <w:p w14:paraId="4E2FD605" w14:textId="0BA9BF43" w:rsidR="007243BA" w:rsidRPr="00E21881" w:rsidRDefault="007243BA" w:rsidP="001B4C1B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stabilizacja (SD) albo non/CR/</w:t>
            </w:r>
            <w:proofErr w:type="spellStart"/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nonPD</w:t>
            </w:r>
            <w:proofErr w:type="spellEnd"/>
            <w:r w:rsidR="0007274E"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,</w:t>
            </w:r>
          </w:p>
          <w:p w14:paraId="1C32673E" w14:textId="77777777" w:rsidR="007243BA" w:rsidRPr="00E21881" w:rsidRDefault="007243BA" w:rsidP="001B4C1B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progresja (PD),</w:t>
            </w:r>
          </w:p>
          <w:p w14:paraId="54AF7ECD" w14:textId="77777777" w:rsidR="007243BA" w:rsidRPr="00E21881" w:rsidRDefault="007243BA" w:rsidP="001B4C1B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E2188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całkowite przeżycie (OS) albo czas wolny od progresji (PFS).</w:t>
            </w:r>
          </w:p>
          <w:p w14:paraId="6F3C9B41" w14:textId="77777777" w:rsidR="003E618B" w:rsidRPr="00E21881" w:rsidRDefault="003E618B" w:rsidP="00814B09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  <w:p w14:paraId="07D5C944" w14:textId="5AD58532" w:rsidR="0026562F" w:rsidRPr="00B556C6" w:rsidRDefault="0026562F" w:rsidP="00B556C6">
            <w:pPr>
              <w:pStyle w:val="Akapitzlist"/>
              <w:numPr>
                <w:ilvl w:val="0"/>
                <w:numId w:val="4"/>
              </w:numPr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Monitorowanie</w:t>
            </w:r>
            <w:r w:rsidR="00A862A6"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B556C6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  <w:t>programu</w:t>
            </w:r>
          </w:p>
          <w:p w14:paraId="7C8B6F83" w14:textId="77777777" w:rsidR="00CD7BC8" w:rsidRPr="00E21881" w:rsidRDefault="00CD7BC8" w:rsidP="00814B09">
            <w:pPr>
              <w:numPr>
                <w:ilvl w:val="3"/>
                <w:numId w:val="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gromadzenie w dokumentacji medycznej danych dotyczących monitorowania leczenia i każdorazowe ich przedstawianie na żądanie kontrolerów Narodowego Funduszu Zdrowia;</w:t>
            </w:r>
          </w:p>
          <w:p w14:paraId="2671A91B" w14:textId="241E37AC" w:rsidR="007243BA" w:rsidRPr="00E21881" w:rsidRDefault="007243BA" w:rsidP="00814B09">
            <w:pPr>
              <w:numPr>
                <w:ilvl w:val="3"/>
                <w:numId w:val="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uzupełnianie danych zawartych w elektronicznym systemie monitorowania programów lekowych, w tym przekazywanie danych dotyczących wskaźników skuteczności terapii zawartych w pkt. </w:t>
            </w:r>
            <w:r w:rsidR="001B4C1B" w:rsidRPr="00E2188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 xml:space="preserve"> dostępnym za pomocą aplikacji internetowej </w:t>
            </w:r>
            <w:r w:rsidRPr="00E2188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udostępnionej przez OW NFZ, z częstotliwością zgodną z opisem programu oraz na zakończenie leczenia;</w:t>
            </w:r>
          </w:p>
          <w:p w14:paraId="57F47187" w14:textId="6EAAB86A" w:rsidR="00CD7BC8" w:rsidRPr="00E21881" w:rsidRDefault="00CD7BC8" w:rsidP="00814B09">
            <w:pPr>
              <w:numPr>
                <w:ilvl w:val="3"/>
                <w:numId w:val="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1881">
              <w:rPr>
                <w:rFonts w:ascii="Times New Roman" w:hAnsi="Times New Roman" w:cs="Times New Roman"/>
                <w:sz w:val="20"/>
                <w:szCs w:val="20"/>
              </w:rPr>
              <w:t>przekazywanie informacji sprawozdawczo-rozliczeniowych do NFZ (informacje przekazuje się do NFZ w formie papierowej lub w formie elektronicznej) zgodnie z wymaganiami opublikowanymi przez NFZ.</w:t>
            </w:r>
          </w:p>
          <w:p w14:paraId="76556F78" w14:textId="418F2C67" w:rsidR="00491560" w:rsidRPr="00303C40" w:rsidRDefault="00491560" w:rsidP="00303C4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5C623218" w14:textId="77777777" w:rsidR="00A06AAE" w:rsidRPr="002B71D5" w:rsidRDefault="00A06AAE" w:rsidP="00B47AD3">
      <w:pPr>
        <w:jc w:val="both"/>
        <w:rPr>
          <w:sz w:val="2"/>
          <w:szCs w:val="2"/>
        </w:rPr>
      </w:pPr>
    </w:p>
    <w:sectPr w:rsidR="00A06AAE" w:rsidRPr="002B71D5" w:rsidSect="003B3345">
      <w:pgSz w:w="16838" w:h="11906" w:orient="landscape" w:code="9"/>
      <w:pgMar w:top="1588" w:right="720" w:bottom="1418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2499D" w14:textId="77777777" w:rsidR="00C31C0E" w:rsidRDefault="00C31C0E">
      <w:pPr>
        <w:spacing w:after="0" w:line="240" w:lineRule="auto"/>
      </w:pPr>
      <w:r>
        <w:separator/>
      </w:r>
    </w:p>
  </w:endnote>
  <w:endnote w:type="continuationSeparator" w:id="0">
    <w:p w14:paraId="7FCEB62F" w14:textId="77777777" w:rsidR="00C31C0E" w:rsidRDefault="00C3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70DC2" w14:textId="77777777" w:rsidR="00C31C0E" w:rsidRDefault="00C31C0E">
      <w:pPr>
        <w:spacing w:after="0" w:line="240" w:lineRule="auto"/>
      </w:pPr>
      <w:r>
        <w:separator/>
      </w:r>
    </w:p>
  </w:footnote>
  <w:footnote w:type="continuationSeparator" w:id="0">
    <w:p w14:paraId="0EDB35FE" w14:textId="77777777" w:rsidR="00C31C0E" w:rsidRDefault="00C3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5141"/>
    <w:multiLevelType w:val="hybridMultilevel"/>
    <w:tmpl w:val="E77E7C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6273"/>
    <w:multiLevelType w:val="hybridMultilevel"/>
    <w:tmpl w:val="6CAC7FD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71D6E"/>
    <w:multiLevelType w:val="hybridMultilevel"/>
    <w:tmpl w:val="10F023C0"/>
    <w:lvl w:ilvl="0" w:tplc="A2646A7C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F3347"/>
    <w:multiLevelType w:val="hybridMultilevel"/>
    <w:tmpl w:val="BB0EB43A"/>
    <w:lvl w:ilvl="0" w:tplc="04150011">
      <w:start w:val="1"/>
      <w:numFmt w:val="decimal"/>
      <w:lvlText w:val="%1)"/>
      <w:lvlJc w:val="left"/>
      <w:pPr>
        <w:ind w:left="1174" w:hanging="360"/>
      </w:p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3BE7479D"/>
    <w:multiLevelType w:val="hybridMultilevel"/>
    <w:tmpl w:val="496C32FE"/>
    <w:lvl w:ilvl="0" w:tplc="04150011">
      <w:start w:val="1"/>
      <w:numFmt w:val="decimal"/>
      <w:lvlText w:val="%1)"/>
      <w:lvlJc w:val="left"/>
      <w:pPr>
        <w:ind w:left="1174" w:hanging="360"/>
      </w:p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3C8576EA"/>
    <w:multiLevelType w:val="multilevel"/>
    <w:tmpl w:val="9716C86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41A64FC8"/>
    <w:multiLevelType w:val="hybridMultilevel"/>
    <w:tmpl w:val="FDA68116"/>
    <w:lvl w:ilvl="0" w:tplc="834A3C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D0E20"/>
    <w:multiLevelType w:val="hybridMultilevel"/>
    <w:tmpl w:val="394695B8"/>
    <w:lvl w:ilvl="0" w:tplc="4A0ACB12">
      <w:start w:val="1"/>
      <w:numFmt w:val="lowerLetter"/>
      <w:lvlText w:val="%1)"/>
      <w:lvlJc w:val="left"/>
      <w:pPr>
        <w:ind w:left="720" w:hanging="360"/>
      </w:pPr>
    </w:lvl>
    <w:lvl w:ilvl="1" w:tplc="04E62B3A">
      <w:start w:val="1"/>
      <w:numFmt w:val="lowerLetter"/>
      <w:lvlText w:val="%2)"/>
      <w:lvlJc w:val="left"/>
      <w:pPr>
        <w:ind w:left="720" w:hanging="360"/>
      </w:pPr>
    </w:lvl>
    <w:lvl w:ilvl="2" w:tplc="A808DB02">
      <w:start w:val="1"/>
      <w:numFmt w:val="lowerLetter"/>
      <w:lvlText w:val="%3)"/>
      <w:lvlJc w:val="left"/>
      <w:pPr>
        <w:ind w:left="720" w:hanging="360"/>
      </w:pPr>
    </w:lvl>
    <w:lvl w:ilvl="3" w:tplc="A0160A4A">
      <w:start w:val="1"/>
      <w:numFmt w:val="lowerLetter"/>
      <w:lvlText w:val="%4)"/>
      <w:lvlJc w:val="left"/>
      <w:pPr>
        <w:ind w:left="720" w:hanging="360"/>
      </w:pPr>
    </w:lvl>
    <w:lvl w:ilvl="4" w:tplc="14FAFD16">
      <w:start w:val="1"/>
      <w:numFmt w:val="lowerLetter"/>
      <w:lvlText w:val="%5)"/>
      <w:lvlJc w:val="left"/>
      <w:pPr>
        <w:ind w:left="720" w:hanging="360"/>
      </w:pPr>
    </w:lvl>
    <w:lvl w:ilvl="5" w:tplc="DA3E24C2">
      <w:start w:val="1"/>
      <w:numFmt w:val="lowerLetter"/>
      <w:lvlText w:val="%6)"/>
      <w:lvlJc w:val="left"/>
      <w:pPr>
        <w:ind w:left="720" w:hanging="360"/>
      </w:pPr>
    </w:lvl>
    <w:lvl w:ilvl="6" w:tplc="9120F11E">
      <w:start w:val="1"/>
      <w:numFmt w:val="lowerLetter"/>
      <w:lvlText w:val="%7)"/>
      <w:lvlJc w:val="left"/>
      <w:pPr>
        <w:ind w:left="720" w:hanging="360"/>
      </w:pPr>
    </w:lvl>
    <w:lvl w:ilvl="7" w:tplc="94749F5A">
      <w:start w:val="1"/>
      <w:numFmt w:val="lowerLetter"/>
      <w:lvlText w:val="%8)"/>
      <w:lvlJc w:val="left"/>
      <w:pPr>
        <w:ind w:left="720" w:hanging="360"/>
      </w:pPr>
    </w:lvl>
    <w:lvl w:ilvl="8" w:tplc="AB6852FE">
      <w:start w:val="1"/>
      <w:numFmt w:val="lowerLetter"/>
      <w:lvlText w:val="%9)"/>
      <w:lvlJc w:val="left"/>
      <w:pPr>
        <w:ind w:left="720" w:hanging="360"/>
      </w:pPr>
    </w:lvl>
  </w:abstractNum>
  <w:abstractNum w:abstractNumId="8" w15:restartNumberingAfterBreak="0">
    <w:nsid w:val="49C4183A"/>
    <w:multiLevelType w:val="hybridMultilevel"/>
    <w:tmpl w:val="1AD26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D693D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59A90491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5DD21ECD"/>
    <w:multiLevelType w:val="hybridMultilevel"/>
    <w:tmpl w:val="C8E6B36A"/>
    <w:lvl w:ilvl="0" w:tplc="04150017">
      <w:start w:val="1"/>
      <w:numFmt w:val="lowerLetter"/>
      <w:lvlText w:val="%1)"/>
      <w:lvlJc w:val="left"/>
      <w:pPr>
        <w:ind w:left="1174" w:hanging="360"/>
      </w:p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EDF5128"/>
    <w:multiLevelType w:val="hybridMultilevel"/>
    <w:tmpl w:val="71E4D1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C3239"/>
    <w:multiLevelType w:val="hybridMultilevel"/>
    <w:tmpl w:val="47CA690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733D4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6C4B580D"/>
    <w:multiLevelType w:val="hybridMultilevel"/>
    <w:tmpl w:val="76BECB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D22EB"/>
    <w:multiLevelType w:val="multilevel"/>
    <w:tmpl w:val="7304F104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79A44EFD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7B7E6FD9"/>
    <w:multiLevelType w:val="hybridMultilevel"/>
    <w:tmpl w:val="CD6C64E2"/>
    <w:lvl w:ilvl="0" w:tplc="46A2401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1394">
    <w:abstractNumId w:val="9"/>
  </w:num>
  <w:num w:numId="2" w16cid:durableId="605885251">
    <w:abstractNumId w:val="10"/>
  </w:num>
  <w:num w:numId="3" w16cid:durableId="2046564707">
    <w:abstractNumId w:val="5"/>
  </w:num>
  <w:num w:numId="4" w16cid:durableId="1647776748">
    <w:abstractNumId w:val="14"/>
  </w:num>
  <w:num w:numId="5" w16cid:durableId="1078478866">
    <w:abstractNumId w:val="11"/>
  </w:num>
  <w:num w:numId="6" w16cid:durableId="136388043">
    <w:abstractNumId w:val="2"/>
  </w:num>
  <w:num w:numId="7" w16cid:durableId="1578704159">
    <w:abstractNumId w:val="18"/>
  </w:num>
  <w:num w:numId="8" w16cid:durableId="1907714921">
    <w:abstractNumId w:val="17"/>
  </w:num>
  <w:num w:numId="9" w16cid:durableId="265500571">
    <w:abstractNumId w:val="16"/>
  </w:num>
  <w:num w:numId="10" w16cid:durableId="1258051888">
    <w:abstractNumId w:val="1"/>
  </w:num>
  <w:num w:numId="11" w16cid:durableId="511068451">
    <w:abstractNumId w:val="13"/>
  </w:num>
  <w:num w:numId="12" w16cid:durableId="1808738033">
    <w:abstractNumId w:val="8"/>
  </w:num>
  <w:num w:numId="13" w16cid:durableId="451901979">
    <w:abstractNumId w:val="15"/>
  </w:num>
  <w:num w:numId="14" w16cid:durableId="1182428898">
    <w:abstractNumId w:val="12"/>
  </w:num>
  <w:num w:numId="15" w16cid:durableId="1886336193">
    <w:abstractNumId w:val="0"/>
  </w:num>
  <w:num w:numId="16" w16cid:durableId="846090326">
    <w:abstractNumId w:val="6"/>
  </w:num>
  <w:num w:numId="17" w16cid:durableId="368772389">
    <w:abstractNumId w:val="4"/>
  </w:num>
  <w:num w:numId="18" w16cid:durableId="1720126153">
    <w:abstractNumId w:val="7"/>
  </w:num>
  <w:num w:numId="19" w16cid:durableId="78526896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60"/>
    <w:rsid w:val="00004013"/>
    <w:rsid w:val="00004151"/>
    <w:rsid w:val="00005880"/>
    <w:rsid w:val="00006A15"/>
    <w:rsid w:val="00011344"/>
    <w:rsid w:val="00012D25"/>
    <w:rsid w:val="00014031"/>
    <w:rsid w:val="000153AC"/>
    <w:rsid w:val="000158EF"/>
    <w:rsid w:val="00016CEF"/>
    <w:rsid w:val="00017DA7"/>
    <w:rsid w:val="00030447"/>
    <w:rsid w:val="00031C3D"/>
    <w:rsid w:val="000321AA"/>
    <w:rsid w:val="00032373"/>
    <w:rsid w:val="00032A01"/>
    <w:rsid w:val="00032E20"/>
    <w:rsid w:val="00035F13"/>
    <w:rsid w:val="00036005"/>
    <w:rsid w:val="000362B4"/>
    <w:rsid w:val="00037E3D"/>
    <w:rsid w:val="0004148E"/>
    <w:rsid w:val="0004277E"/>
    <w:rsid w:val="000432BE"/>
    <w:rsid w:val="000436A2"/>
    <w:rsid w:val="0004423A"/>
    <w:rsid w:val="00045006"/>
    <w:rsid w:val="00046BC9"/>
    <w:rsid w:val="0004714F"/>
    <w:rsid w:val="000530A5"/>
    <w:rsid w:val="00053AAB"/>
    <w:rsid w:val="000549C2"/>
    <w:rsid w:val="000554E5"/>
    <w:rsid w:val="00055A75"/>
    <w:rsid w:val="00056031"/>
    <w:rsid w:val="0005638A"/>
    <w:rsid w:val="00060064"/>
    <w:rsid w:val="000632C9"/>
    <w:rsid w:val="00065870"/>
    <w:rsid w:val="00067075"/>
    <w:rsid w:val="00070DB6"/>
    <w:rsid w:val="00072340"/>
    <w:rsid w:val="0007274E"/>
    <w:rsid w:val="00074CFC"/>
    <w:rsid w:val="00074F59"/>
    <w:rsid w:val="0007572C"/>
    <w:rsid w:val="00077259"/>
    <w:rsid w:val="00081611"/>
    <w:rsid w:val="00081BD9"/>
    <w:rsid w:val="000828AF"/>
    <w:rsid w:val="00083175"/>
    <w:rsid w:val="00083289"/>
    <w:rsid w:val="00083719"/>
    <w:rsid w:val="00083F5F"/>
    <w:rsid w:val="0008541A"/>
    <w:rsid w:val="00085E89"/>
    <w:rsid w:val="000871A6"/>
    <w:rsid w:val="00090EC6"/>
    <w:rsid w:val="00095981"/>
    <w:rsid w:val="00095B9D"/>
    <w:rsid w:val="00095F4B"/>
    <w:rsid w:val="0009679D"/>
    <w:rsid w:val="000968B7"/>
    <w:rsid w:val="000A3FB2"/>
    <w:rsid w:val="000A456C"/>
    <w:rsid w:val="000A507C"/>
    <w:rsid w:val="000A5FB6"/>
    <w:rsid w:val="000A626B"/>
    <w:rsid w:val="000A6D83"/>
    <w:rsid w:val="000B1521"/>
    <w:rsid w:val="000B2405"/>
    <w:rsid w:val="000B33A5"/>
    <w:rsid w:val="000B3D34"/>
    <w:rsid w:val="000B4003"/>
    <w:rsid w:val="000B57E7"/>
    <w:rsid w:val="000B5942"/>
    <w:rsid w:val="000B6E0C"/>
    <w:rsid w:val="000B74CB"/>
    <w:rsid w:val="000C4336"/>
    <w:rsid w:val="000C5476"/>
    <w:rsid w:val="000C5D0D"/>
    <w:rsid w:val="000D0532"/>
    <w:rsid w:val="000D1537"/>
    <w:rsid w:val="000D1AC1"/>
    <w:rsid w:val="000D278B"/>
    <w:rsid w:val="000D3AFD"/>
    <w:rsid w:val="000D62D3"/>
    <w:rsid w:val="000D6C5B"/>
    <w:rsid w:val="000D6E31"/>
    <w:rsid w:val="000D7C1E"/>
    <w:rsid w:val="000E46F4"/>
    <w:rsid w:val="000F0412"/>
    <w:rsid w:val="000F2B9B"/>
    <w:rsid w:val="000F6688"/>
    <w:rsid w:val="000F68FE"/>
    <w:rsid w:val="000F6A88"/>
    <w:rsid w:val="00100F5E"/>
    <w:rsid w:val="001019F9"/>
    <w:rsid w:val="001029B3"/>
    <w:rsid w:val="00104142"/>
    <w:rsid w:val="00104B0B"/>
    <w:rsid w:val="00104DC7"/>
    <w:rsid w:val="00105844"/>
    <w:rsid w:val="00105A4E"/>
    <w:rsid w:val="0010600E"/>
    <w:rsid w:val="0010749C"/>
    <w:rsid w:val="00115F9E"/>
    <w:rsid w:val="00122C86"/>
    <w:rsid w:val="00123689"/>
    <w:rsid w:val="0012638D"/>
    <w:rsid w:val="00126625"/>
    <w:rsid w:val="0012779C"/>
    <w:rsid w:val="0012787C"/>
    <w:rsid w:val="001303DC"/>
    <w:rsid w:val="0013139C"/>
    <w:rsid w:val="001332C2"/>
    <w:rsid w:val="00133C8D"/>
    <w:rsid w:val="0013513C"/>
    <w:rsid w:val="00135F11"/>
    <w:rsid w:val="00136762"/>
    <w:rsid w:val="00141E7E"/>
    <w:rsid w:val="00141E98"/>
    <w:rsid w:val="0014301C"/>
    <w:rsid w:val="0014331D"/>
    <w:rsid w:val="00145274"/>
    <w:rsid w:val="00150FCF"/>
    <w:rsid w:val="00151B72"/>
    <w:rsid w:val="00151BE1"/>
    <w:rsid w:val="00151D9E"/>
    <w:rsid w:val="001544A0"/>
    <w:rsid w:val="00154E29"/>
    <w:rsid w:val="001559E7"/>
    <w:rsid w:val="00155EC0"/>
    <w:rsid w:val="001567EA"/>
    <w:rsid w:val="001578E7"/>
    <w:rsid w:val="00157C65"/>
    <w:rsid w:val="001605D7"/>
    <w:rsid w:val="00161D82"/>
    <w:rsid w:val="001626A4"/>
    <w:rsid w:val="0016374A"/>
    <w:rsid w:val="00164A8D"/>
    <w:rsid w:val="00165523"/>
    <w:rsid w:val="0017211B"/>
    <w:rsid w:val="00172C00"/>
    <w:rsid w:val="00172F33"/>
    <w:rsid w:val="00173D3F"/>
    <w:rsid w:val="00176AE3"/>
    <w:rsid w:val="00177493"/>
    <w:rsid w:val="0018076B"/>
    <w:rsid w:val="00180D1A"/>
    <w:rsid w:val="00182A3C"/>
    <w:rsid w:val="001844BC"/>
    <w:rsid w:val="001851F8"/>
    <w:rsid w:val="001869D7"/>
    <w:rsid w:val="0018752D"/>
    <w:rsid w:val="00187814"/>
    <w:rsid w:val="001901F5"/>
    <w:rsid w:val="00190461"/>
    <w:rsid w:val="0019197B"/>
    <w:rsid w:val="001939DF"/>
    <w:rsid w:val="00194617"/>
    <w:rsid w:val="001946CB"/>
    <w:rsid w:val="001964C4"/>
    <w:rsid w:val="00197005"/>
    <w:rsid w:val="001A18DE"/>
    <w:rsid w:val="001A2596"/>
    <w:rsid w:val="001A5237"/>
    <w:rsid w:val="001A630D"/>
    <w:rsid w:val="001A7D5A"/>
    <w:rsid w:val="001B0E04"/>
    <w:rsid w:val="001B16A1"/>
    <w:rsid w:val="001B35D2"/>
    <w:rsid w:val="001B4C1B"/>
    <w:rsid w:val="001B68C0"/>
    <w:rsid w:val="001B7542"/>
    <w:rsid w:val="001B76C5"/>
    <w:rsid w:val="001C004F"/>
    <w:rsid w:val="001C02C0"/>
    <w:rsid w:val="001C15A6"/>
    <w:rsid w:val="001C3932"/>
    <w:rsid w:val="001C4395"/>
    <w:rsid w:val="001C45DB"/>
    <w:rsid w:val="001C5F43"/>
    <w:rsid w:val="001C75D8"/>
    <w:rsid w:val="001D1B35"/>
    <w:rsid w:val="001D38F9"/>
    <w:rsid w:val="001D57D1"/>
    <w:rsid w:val="001D6DFB"/>
    <w:rsid w:val="001E0E54"/>
    <w:rsid w:val="001E1CA9"/>
    <w:rsid w:val="001E2C43"/>
    <w:rsid w:val="001E3A1F"/>
    <w:rsid w:val="001E417E"/>
    <w:rsid w:val="001E4528"/>
    <w:rsid w:val="001E68A8"/>
    <w:rsid w:val="001E7373"/>
    <w:rsid w:val="001F51D5"/>
    <w:rsid w:val="001F5D94"/>
    <w:rsid w:val="001F712D"/>
    <w:rsid w:val="00200550"/>
    <w:rsid w:val="002038A1"/>
    <w:rsid w:val="00204A52"/>
    <w:rsid w:val="00204A6A"/>
    <w:rsid w:val="00205573"/>
    <w:rsid w:val="00205686"/>
    <w:rsid w:val="00205FBF"/>
    <w:rsid w:val="00212005"/>
    <w:rsid w:val="002125F6"/>
    <w:rsid w:val="00212807"/>
    <w:rsid w:val="002132F5"/>
    <w:rsid w:val="00214A0B"/>
    <w:rsid w:val="00214F80"/>
    <w:rsid w:val="0021509B"/>
    <w:rsid w:val="00215AC8"/>
    <w:rsid w:val="00220AAE"/>
    <w:rsid w:val="00220BF7"/>
    <w:rsid w:val="00226E3C"/>
    <w:rsid w:val="00227946"/>
    <w:rsid w:val="00232774"/>
    <w:rsid w:val="00233DFF"/>
    <w:rsid w:val="00233F4E"/>
    <w:rsid w:val="00235485"/>
    <w:rsid w:val="00235DE9"/>
    <w:rsid w:val="00237BDE"/>
    <w:rsid w:val="00237D3C"/>
    <w:rsid w:val="00240088"/>
    <w:rsid w:val="00243D79"/>
    <w:rsid w:val="00243E4E"/>
    <w:rsid w:val="00245C46"/>
    <w:rsid w:val="002467A0"/>
    <w:rsid w:val="00246D05"/>
    <w:rsid w:val="00251F3F"/>
    <w:rsid w:val="00251FC9"/>
    <w:rsid w:val="00252958"/>
    <w:rsid w:val="002551D7"/>
    <w:rsid w:val="0025617D"/>
    <w:rsid w:val="0025798F"/>
    <w:rsid w:val="002626B6"/>
    <w:rsid w:val="002635D6"/>
    <w:rsid w:val="0026562F"/>
    <w:rsid w:val="002729FF"/>
    <w:rsid w:val="00276019"/>
    <w:rsid w:val="002764D7"/>
    <w:rsid w:val="00276920"/>
    <w:rsid w:val="0028330F"/>
    <w:rsid w:val="00286939"/>
    <w:rsid w:val="00287530"/>
    <w:rsid w:val="00290805"/>
    <w:rsid w:val="002908D9"/>
    <w:rsid w:val="00292BBD"/>
    <w:rsid w:val="00294480"/>
    <w:rsid w:val="00294C06"/>
    <w:rsid w:val="00296F57"/>
    <w:rsid w:val="002A35BE"/>
    <w:rsid w:val="002A6F15"/>
    <w:rsid w:val="002A7745"/>
    <w:rsid w:val="002A77C9"/>
    <w:rsid w:val="002B2709"/>
    <w:rsid w:val="002B3AD8"/>
    <w:rsid w:val="002B3DCB"/>
    <w:rsid w:val="002B48F6"/>
    <w:rsid w:val="002B625C"/>
    <w:rsid w:val="002B71D5"/>
    <w:rsid w:val="002B796C"/>
    <w:rsid w:val="002B7F76"/>
    <w:rsid w:val="002C0CAA"/>
    <w:rsid w:val="002C1D65"/>
    <w:rsid w:val="002C2475"/>
    <w:rsid w:val="002C6246"/>
    <w:rsid w:val="002C6358"/>
    <w:rsid w:val="002C7612"/>
    <w:rsid w:val="002C7911"/>
    <w:rsid w:val="002C7AF5"/>
    <w:rsid w:val="002D0C00"/>
    <w:rsid w:val="002D154C"/>
    <w:rsid w:val="002D1EC1"/>
    <w:rsid w:val="002D241D"/>
    <w:rsid w:val="002D2655"/>
    <w:rsid w:val="002D4B53"/>
    <w:rsid w:val="002D5B3D"/>
    <w:rsid w:val="002D614C"/>
    <w:rsid w:val="002D7748"/>
    <w:rsid w:val="002E2FAA"/>
    <w:rsid w:val="002E3FC5"/>
    <w:rsid w:val="002E4F9E"/>
    <w:rsid w:val="002F04FC"/>
    <w:rsid w:val="002F07E6"/>
    <w:rsid w:val="002F2036"/>
    <w:rsid w:val="002F2C20"/>
    <w:rsid w:val="002F2E13"/>
    <w:rsid w:val="002F4BBC"/>
    <w:rsid w:val="002F4D43"/>
    <w:rsid w:val="002F5B4E"/>
    <w:rsid w:val="002F5FEE"/>
    <w:rsid w:val="002F615D"/>
    <w:rsid w:val="00301498"/>
    <w:rsid w:val="00303C40"/>
    <w:rsid w:val="003055B5"/>
    <w:rsid w:val="003060C6"/>
    <w:rsid w:val="00313770"/>
    <w:rsid w:val="00313993"/>
    <w:rsid w:val="00317350"/>
    <w:rsid w:val="00317F56"/>
    <w:rsid w:val="0032025F"/>
    <w:rsid w:val="00323350"/>
    <w:rsid w:val="00323A57"/>
    <w:rsid w:val="00323E9A"/>
    <w:rsid w:val="003256BC"/>
    <w:rsid w:val="00327285"/>
    <w:rsid w:val="003278F7"/>
    <w:rsid w:val="00327A30"/>
    <w:rsid w:val="00327C66"/>
    <w:rsid w:val="00330875"/>
    <w:rsid w:val="00332918"/>
    <w:rsid w:val="00337F17"/>
    <w:rsid w:val="00341E3E"/>
    <w:rsid w:val="00342539"/>
    <w:rsid w:val="00346AF8"/>
    <w:rsid w:val="00347E5F"/>
    <w:rsid w:val="003506F9"/>
    <w:rsid w:val="00350E4B"/>
    <w:rsid w:val="00354A60"/>
    <w:rsid w:val="003561C9"/>
    <w:rsid w:val="00357144"/>
    <w:rsid w:val="00360660"/>
    <w:rsid w:val="00362C4C"/>
    <w:rsid w:val="0036424B"/>
    <w:rsid w:val="0036594A"/>
    <w:rsid w:val="00371D5F"/>
    <w:rsid w:val="0037282D"/>
    <w:rsid w:val="00374294"/>
    <w:rsid w:val="00375A8B"/>
    <w:rsid w:val="003771C8"/>
    <w:rsid w:val="00384586"/>
    <w:rsid w:val="00385335"/>
    <w:rsid w:val="0038668A"/>
    <w:rsid w:val="003873A0"/>
    <w:rsid w:val="0038741E"/>
    <w:rsid w:val="00391F75"/>
    <w:rsid w:val="003940BD"/>
    <w:rsid w:val="003A0CB6"/>
    <w:rsid w:val="003A1045"/>
    <w:rsid w:val="003A268F"/>
    <w:rsid w:val="003A2BBB"/>
    <w:rsid w:val="003A3748"/>
    <w:rsid w:val="003A6A07"/>
    <w:rsid w:val="003B08FA"/>
    <w:rsid w:val="003B0CEA"/>
    <w:rsid w:val="003B2D8A"/>
    <w:rsid w:val="003B3345"/>
    <w:rsid w:val="003B4B08"/>
    <w:rsid w:val="003B5738"/>
    <w:rsid w:val="003B6E3F"/>
    <w:rsid w:val="003B7875"/>
    <w:rsid w:val="003C1C8E"/>
    <w:rsid w:val="003C1E8E"/>
    <w:rsid w:val="003C23A2"/>
    <w:rsid w:val="003C3434"/>
    <w:rsid w:val="003C78A7"/>
    <w:rsid w:val="003C7FCA"/>
    <w:rsid w:val="003D088B"/>
    <w:rsid w:val="003D40FF"/>
    <w:rsid w:val="003D420B"/>
    <w:rsid w:val="003D42A0"/>
    <w:rsid w:val="003D5ACA"/>
    <w:rsid w:val="003D6615"/>
    <w:rsid w:val="003E058D"/>
    <w:rsid w:val="003E1610"/>
    <w:rsid w:val="003E4E19"/>
    <w:rsid w:val="003E4FF6"/>
    <w:rsid w:val="003E526F"/>
    <w:rsid w:val="003E569D"/>
    <w:rsid w:val="003E618B"/>
    <w:rsid w:val="003E6A68"/>
    <w:rsid w:val="003F1226"/>
    <w:rsid w:val="003F2DFB"/>
    <w:rsid w:val="003F3217"/>
    <w:rsid w:val="003F6A9E"/>
    <w:rsid w:val="003F6E02"/>
    <w:rsid w:val="003F7B97"/>
    <w:rsid w:val="004002FB"/>
    <w:rsid w:val="0040223A"/>
    <w:rsid w:val="00405B38"/>
    <w:rsid w:val="00406378"/>
    <w:rsid w:val="00410E52"/>
    <w:rsid w:val="00411A46"/>
    <w:rsid w:val="00411C59"/>
    <w:rsid w:val="00412682"/>
    <w:rsid w:val="004143E9"/>
    <w:rsid w:val="0041488B"/>
    <w:rsid w:val="00414E26"/>
    <w:rsid w:val="0041545F"/>
    <w:rsid w:val="00415679"/>
    <w:rsid w:val="00415AE9"/>
    <w:rsid w:val="004178CD"/>
    <w:rsid w:val="0042026E"/>
    <w:rsid w:val="00420BC1"/>
    <w:rsid w:val="00420E23"/>
    <w:rsid w:val="00421391"/>
    <w:rsid w:val="0042455C"/>
    <w:rsid w:val="00427630"/>
    <w:rsid w:val="00427C49"/>
    <w:rsid w:val="00431FF1"/>
    <w:rsid w:val="004348F0"/>
    <w:rsid w:val="00436450"/>
    <w:rsid w:val="0043709E"/>
    <w:rsid w:val="00437501"/>
    <w:rsid w:val="004377CE"/>
    <w:rsid w:val="00441B2E"/>
    <w:rsid w:val="00441EEE"/>
    <w:rsid w:val="004444A6"/>
    <w:rsid w:val="00444F53"/>
    <w:rsid w:val="004459BA"/>
    <w:rsid w:val="00445C80"/>
    <w:rsid w:val="00447C42"/>
    <w:rsid w:val="004506CC"/>
    <w:rsid w:val="0045168A"/>
    <w:rsid w:val="00451BE5"/>
    <w:rsid w:val="00452151"/>
    <w:rsid w:val="00453DA4"/>
    <w:rsid w:val="0046215C"/>
    <w:rsid w:val="00462310"/>
    <w:rsid w:val="00466FFE"/>
    <w:rsid w:val="00470824"/>
    <w:rsid w:val="00470AF8"/>
    <w:rsid w:val="00473521"/>
    <w:rsid w:val="00474501"/>
    <w:rsid w:val="004746AD"/>
    <w:rsid w:val="00474B9F"/>
    <w:rsid w:val="00474E5F"/>
    <w:rsid w:val="00475788"/>
    <w:rsid w:val="00476EE8"/>
    <w:rsid w:val="00477850"/>
    <w:rsid w:val="00477A99"/>
    <w:rsid w:val="00480777"/>
    <w:rsid w:val="00480813"/>
    <w:rsid w:val="00483644"/>
    <w:rsid w:val="00484096"/>
    <w:rsid w:val="00484D2A"/>
    <w:rsid w:val="00485E6B"/>
    <w:rsid w:val="00486368"/>
    <w:rsid w:val="00486C7A"/>
    <w:rsid w:val="00491560"/>
    <w:rsid w:val="004943AE"/>
    <w:rsid w:val="00494BBB"/>
    <w:rsid w:val="0049710C"/>
    <w:rsid w:val="004A00CC"/>
    <w:rsid w:val="004A0318"/>
    <w:rsid w:val="004A0537"/>
    <w:rsid w:val="004A1B03"/>
    <w:rsid w:val="004A2662"/>
    <w:rsid w:val="004A2684"/>
    <w:rsid w:val="004B0596"/>
    <w:rsid w:val="004B11B4"/>
    <w:rsid w:val="004B2778"/>
    <w:rsid w:val="004B2A4F"/>
    <w:rsid w:val="004B324A"/>
    <w:rsid w:val="004B64F8"/>
    <w:rsid w:val="004B6BBF"/>
    <w:rsid w:val="004C0A77"/>
    <w:rsid w:val="004C1FAA"/>
    <w:rsid w:val="004C226C"/>
    <w:rsid w:val="004C2A43"/>
    <w:rsid w:val="004C6726"/>
    <w:rsid w:val="004D018C"/>
    <w:rsid w:val="004D1295"/>
    <w:rsid w:val="004D1730"/>
    <w:rsid w:val="004D2004"/>
    <w:rsid w:val="004D3E05"/>
    <w:rsid w:val="004D441C"/>
    <w:rsid w:val="004D6CDA"/>
    <w:rsid w:val="004D7B0F"/>
    <w:rsid w:val="004E0F5E"/>
    <w:rsid w:val="004E13E1"/>
    <w:rsid w:val="004E18C7"/>
    <w:rsid w:val="004E2647"/>
    <w:rsid w:val="004E27BF"/>
    <w:rsid w:val="004E3D4D"/>
    <w:rsid w:val="004E5E88"/>
    <w:rsid w:val="004E7A70"/>
    <w:rsid w:val="004F113C"/>
    <w:rsid w:val="004F155F"/>
    <w:rsid w:val="004F1742"/>
    <w:rsid w:val="004F1E10"/>
    <w:rsid w:val="004F2D17"/>
    <w:rsid w:val="004F6FC4"/>
    <w:rsid w:val="0050008B"/>
    <w:rsid w:val="00500FFA"/>
    <w:rsid w:val="00504351"/>
    <w:rsid w:val="005049D6"/>
    <w:rsid w:val="00504BAD"/>
    <w:rsid w:val="00505604"/>
    <w:rsid w:val="005111C8"/>
    <w:rsid w:val="00512140"/>
    <w:rsid w:val="0051281D"/>
    <w:rsid w:val="00512C4C"/>
    <w:rsid w:val="00520C14"/>
    <w:rsid w:val="00525E02"/>
    <w:rsid w:val="00526B07"/>
    <w:rsid w:val="005274B3"/>
    <w:rsid w:val="00531567"/>
    <w:rsid w:val="00534681"/>
    <w:rsid w:val="00534AC9"/>
    <w:rsid w:val="00541665"/>
    <w:rsid w:val="00541E1B"/>
    <w:rsid w:val="00541F3C"/>
    <w:rsid w:val="00547C39"/>
    <w:rsid w:val="005513D8"/>
    <w:rsid w:val="005574B7"/>
    <w:rsid w:val="00557B9D"/>
    <w:rsid w:val="00560713"/>
    <w:rsid w:val="0056360A"/>
    <w:rsid w:val="00563639"/>
    <w:rsid w:val="0056739C"/>
    <w:rsid w:val="005707D9"/>
    <w:rsid w:val="00570DA0"/>
    <w:rsid w:val="00570FDF"/>
    <w:rsid w:val="00572065"/>
    <w:rsid w:val="005735F1"/>
    <w:rsid w:val="0057445A"/>
    <w:rsid w:val="005768A3"/>
    <w:rsid w:val="00576993"/>
    <w:rsid w:val="00576CE6"/>
    <w:rsid w:val="00581EF0"/>
    <w:rsid w:val="00583F62"/>
    <w:rsid w:val="00584F62"/>
    <w:rsid w:val="00585772"/>
    <w:rsid w:val="00585E0B"/>
    <w:rsid w:val="00594666"/>
    <w:rsid w:val="00594BF5"/>
    <w:rsid w:val="005A1106"/>
    <w:rsid w:val="005A14B6"/>
    <w:rsid w:val="005A223E"/>
    <w:rsid w:val="005A28E7"/>
    <w:rsid w:val="005A5206"/>
    <w:rsid w:val="005A6322"/>
    <w:rsid w:val="005A6602"/>
    <w:rsid w:val="005A6FC7"/>
    <w:rsid w:val="005A7AE3"/>
    <w:rsid w:val="005B2EC6"/>
    <w:rsid w:val="005B3681"/>
    <w:rsid w:val="005B6CC0"/>
    <w:rsid w:val="005B7F34"/>
    <w:rsid w:val="005C0C4B"/>
    <w:rsid w:val="005C17EE"/>
    <w:rsid w:val="005C3C2D"/>
    <w:rsid w:val="005C650C"/>
    <w:rsid w:val="005C691B"/>
    <w:rsid w:val="005D0A2C"/>
    <w:rsid w:val="005D2A3D"/>
    <w:rsid w:val="005D48E4"/>
    <w:rsid w:val="005D6468"/>
    <w:rsid w:val="005D6924"/>
    <w:rsid w:val="005D71FF"/>
    <w:rsid w:val="005E001E"/>
    <w:rsid w:val="005E0073"/>
    <w:rsid w:val="005E2726"/>
    <w:rsid w:val="005E3CE5"/>
    <w:rsid w:val="005E4FF9"/>
    <w:rsid w:val="005E527F"/>
    <w:rsid w:val="005E5777"/>
    <w:rsid w:val="005E7624"/>
    <w:rsid w:val="005F10EF"/>
    <w:rsid w:val="005F2589"/>
    <w:rsid w:val="005F41CA"/>
    <w:rsid w:val="005F4617"/>
    <w:rsid w:val="005F4B5F"/>
    <w:rsid w:val="005F55B1"/>
    <w:rsid w:val="005F5625"/>
    <w:rsid w:val="005F7EC0"/>
    <w:rsid w:val="00600A86"/>
    <w:rsid w:val="00601C1F"/>
    <w:rsid w:val="0060373B"/>
    <w:rsid w:val="00603AEB"/>
    <w:rsid w:val="006043D3"/>
    <w:rsid w:val="0060457E"/>
    <w:rsid w:val="0060468D"/>
    <w:rsid w:val="00604CD1"/>
    <w:rsid w:val="00604EBC"/>
    <w:rsid w:val="00605C2C"/>
    <w:rsid w:val="00606863"/>
    <w:rsid w:val="00610D0B"/>
    <w:rsid w:val="0061184F"/>
    <w:rsid w:val="0061207A"/>
    <w:rsid w:val="00612863"/>
    <w:rsid w:val="0061402F"/>
    <w:rsid w:val="0061407D"/>
    <w:rsid w:val="0061756B"/>
    <w:rsid w:val="0062350E"/>
    <w:rsid w:val="006252F7"/>
    <w:rsid w:val="0063122E"/>
    <w:rsid w:val="0063370C"/>
    <w:rsid w:val="00636347"/>
    <w:rsid w:val="006412DC"/>
    <w:rsid w:val="00642612"/>
    <w:rsid w:val="00643004"/>
    <w:rsid w:val="006446DC"/>
    <w:rsid w:val="00644C94"/>
    <w:rsid w:val="006457B0"/>
    <w:rsid w:val="00647088"/>
    <w:rsid w:val="0065034F"/>
    <w:rsid w:val="006531FA"/>
    <w:rsid w:val="00654430"/>
    <w:rsid w:val="00661567"/>
    <w:rsid w:val="006625EA"/>
    <w:rsid w:val="00663736"/>
    <w:rsid w:val="006641AA"/>
    <w:rsid w:val="00664610"/>
    <w:rsid w:val="00664E0D"/>
    <w:rsid w:val="00665BA9"/>
    <w:rsid w:val="00665D22"/>
    <w:rsid w:val="00666327"/>
    <w:rsid w:val="00667562"/>
    <w:rsid w:val="00667A99"/>
    <w:rsid w:val="0067048F"/>
    <w:rsid w:val="00670C07"/>
    <w:rsid w:val="006731AC"/>
    <w:rsid w:val="0067419B"/>
    <w:rsid w:val="0067580D"/>
    <w:rsid w:val="00677116"/>
    <w:rsid w:val="0068030E"/>
    <w:rsid w:val="00681A0A"/>
    <w:rsid w:val="0068384E"/>
    <w:rsid w:val="006875EA"/>
    <w:rsid w:val="00687E7B"/>
    <w:rsid w:val="006900AD"/>
    <w:rsid w:val="00690A9F"/>
    <w:rsid w:val="0069297A"/>
    <w:rsid w:val="00692C68"/>
    <w:rsid w:val="00693414"/>
    <w:rsid w:val="0069438A"/>
    <w:rsid w:val="00694B30"/>
    <w:rsid w:val="00695BE9"/>
    <w:rsid w:val="00696F0F"/>
    <w:rsid w:val="006A085C"/>
    <w:rsid w:val="006A0D35"/>
    <w:rsid w:val="006A1234"/>
    <w:rsid w:val="006A1444"/>
    <w:rsid w:val="006A2F7B"/>
    <w:rsid w:val="006A5DFC"/>
    <w:rsid w:val="006A6FEB"/>
    <w:rsid w:val="006A73A6"/>
    <w:rsid w:val="006B095F"/>
    <w:rsid w:val="006B0E5C"/>
    <w:rsid w:val="006B1522"/>
    <w:rsid w:val="006B17AE"/>
    <w:rsid w:val="006B1F04"/>
    <w:rsid w:val="006B2EA2"/>
    <w:rsid w:val="006B34C5"/>
    <w:rsid w:val="006B377A"/>
    <w:rsid w:val="006B4BE8"/>
    <w:rsid w:val="006B5132"/>
    <w:rsid w:val="006B636C"/>
    <w:rsid w:val="006B6432"/>
    <w:rsid w:val="006B6CB4"/>
    <w:rsid w:val="006C05ED"/>
    <w:rsid w:val="006C61E3"/>
    <w:rsid w:val="006C666C"/>
    <w:rsid w:val="006C6941"/>
    <w:rsid w:val="006D1FE1"/>
    <w:rsid w:val="006D6895"/>
    <w:rsid w:val="006D7E70"/>
    <w:rsid w:val="006E1178"/>
    <w:rsid w:val="006E11F6"/>
    <w:rsid w:val="006E235A"/>
    <w:rsid w:val="006E5B2B"/>
    <w:rsid w:val="006E6A4D"/>
    <w:rsid w:val="006E7D66"/>
    <w:rsid w:val="006E7E48"/>
    <w:rsid w:val="006F14C6"/>
    <w:rsid w:val="006F15BC"/>
    <w:rsid w:val="006F6F42"/>
    <w:rsid w:val="006F700C"/>
    <w:rsid w:val="0070006B"/>
    <w:rsid w:val="00700ABA"/>
    <w:rsid w:val="00700DB5"/>
    <w:rsid w:val="007021AA"/>
    <w:rsid w:val="007049D0"/>
    <w:rsid w:val="00705D0E"/>
    <w:rsid w:val="00710EB5"/>
    <w:rsid w:val="00711D3B"/>
    <w:rsid w:val="00712223"/>
    <w:rsid w:val="007124FD"/>
    <w:rsid w:val="0071253A"/>
    <w:rsid w:val="007128A8"/>
    <w:rsid w:val="00715E60"/>
    <w:rsid w:val="00716D06"/>
    <w:rsid w:val="00721195"/>
    <w:rsid w:val="00721F00"/>
    <w:rsid w:val="007223E1"/>
    <w:rsid w:val="007228FA"/>
    <w:rsid w:val="007243BA"/>
    <w:rsid w:val="0072498B"/>
    <w:rsid w:val="007251CF"/>
    <w:rsid w:val="007265FB"/>
    <w:rsid w:val="00726843"/>
    <w:rsid w:val="007309B3"/>
    <w:rsid w:val="00731544"/>
    <w:rsid w:val="0073289B"/>
    <w:rsid w:val="00733D0D"/>
    <w:rsid w:val="007344A0"/>
    <w:rsid w:val="0073533D"/>
    <w:rsid w:val="0073598C"/>
    <w:rsid w:val="00735E94"/>
    <w:rsid w:val="007373CA"/>
    <w:rsid w:val="00740872"/>
    <w:rsid w:val="00740981"/>
    <w:rsid w:val="00740F85"/>
    <w:rsid w:val="007415B3"/>
    <w:rsid w:val="00750806"/>
    <w:rsid w:val="0075318A"/>
    <w:rsid w:val="00753782"/>
    <w:rsid w:val="00761248"/>
    <w:rsid w:val="00761F29"/>
    <w:rsid w:val="007659D0"/>
    <w:rsid w:val="007668A1"/>
    <w:rsid w:val="00767AC1"/>
    <w:rsid w:val="007707C2"/>
    <w:rsid w:val="0077082C"/>
    <w:rsid w:val="00772B8E"/>
    <w:rsid w:val="00774BBF"/>
    <w:rsid w:val="00775D73"/>
    <w:rsid w:val="007825DD"/>
    <w:rsid w:val="00783FE9"/>
    <w:rsid w:val="00784709"/>
    <w:rsid w:val="00784C0A"/>
    <w:rsid w:val="007869A4"/>
    <w:rsid w:val="0079031E"/>
    <w:rsid w:val="00790401"/>
    <w:rsid w:val="00790EAB"/>
    <w:rsid w:val="00793579"/>
    <w:rsid w:val="0079445D"/>
    <w:rsid w:val="00796478"/>
    <w:rsid w:val="007A000D"/>
    <w:rsid w:val="007A04CD"/>
    <w:rsid w:val="007A055A"/>
    <w:rsid w:val="007A326D"/>
    <w:rsid w:val="007A3CB3"/>
    <w:rsid w:val="007A45B7"/>
    <w:rsid w:val="007B54AF"/>
    <w:rsid w:val="007C23DB"/>
    <w:rsid w:val="007C39FE"/>
    <w:rsid w:val="007C3EAA"/>
    <w:rsid w:val="007C7AF0"/>
    <w:rsid w:val="007D04A1"/>
    <w:rsid w:val="007D0522"/>
    <w:rsid w:val="007D2F4F"/>
    <w:rsid w:val="007D36CB"/>
    <w:rsid w:val="007D3812"/>
    <w:rsid w:val="007D49E2"/>
    <w:rsid w:val="007D6E02"/>
    <w:rsid w:val="007D7474"/>
    <w:rsid w:val="007E05CB"/>
    <w:rsid w:val="007E18E4"/>
    <w:rsid w:val="007E2ABB"/>
    <w:rsid w:val="007E3BD7"/>
    <w:rsid w:val="007E64A1"/>
    <w:rsid w:val="007F30C3"/>
    <w:rsid w:val="007F36A1"/>
    <w:rsid w:val="007F4640"/>
    <w:rsid w:val="007F5C5F"/>
    <w:rsid w:val="007F665E"/>
    <w:rsid w:val="007F66D1"/>
    <w:rsid w:val="007F72A0"/>
    <w:rsid w:val="007F7FD1"/>
    <w:rsid w:val="00801309"/>
    <w:rsid w:val="008022FC"/>
    <w:rsid w:val="008024FA"/>
    <w:rsid w:val="00802583"/>
    <w:rsid w:val="00803D2C"/>
    <w:rsid w:val="008069D9"/>
    <w:rsid w:val="00806FA9"/>
    <w:rsid w:val="008121D5"/>
    <w:rsid w:val="00814B09"/>
    <w:rsid w:val="008150F7"/>
    <w:rsid w:val="00820787"/>
    <w:rsid w:val="00820859"/>
    <w:rsid w:val="008208E6"/>
    <w:rsid w:val="008215A6"/>
    <w:rsid w:val="00822F7D"/>
    <w:rsid w:val="008304EA"/>
    <w:rsid w:val="0083458A"/>
    <w:rsid w:val="008355E5"/>
    <w:rsid w:val="00835F11"/>
    <w:rsid w:val="00836EB5"/>
    <w:rsid w:val="0083724C"/>
    <w:rsid w:val="008378DF"/>
    <w:rsid w:val="00837D16"/>
    <w:rsid w:val="00842212"/>
    <w:rsid w:val="00842A1B"/>
    <w:rsid w:val="008445B6"/>
    <w:rsid w:val="0084705A"/>
    <w:rsid w:val="00850805"/>
    <w:rsid w:val="00853556"/>
    <w:rsid w:val="00855602"/>
    <w:rsid w:val="00856B08"/>
    <w:rsid w:val="00860160"/>
    <w:rsid w:val="008618A9"/>
    <w:rsid w:val="008626CB"/>
    <w:rsid w:val="008636AB"/>
    <w:rsid w:val="00866269"/>
    <w:rsid w:val="008716A9"/>
    <w:rsid w:val="00873397"/>
    <w:rsid w:val="00873CE2"/>
    <w:rsid w:val="008747F7"/>
    <w:rsid w:val="00874B30"/>
    <w:rsid w:val="008765FC"/>
    <w:rsid w:val="008773E1"/>
    <w:rsid w:val="00877BEE"/>
    <w:rsid w:val="00877F06"/>
    <w:rsid w:val="00881569"/>
    <w:rsid w:val="00882A4D"/>
    <w:rsid w:val="00883C9F"/>
    <w:rsid w:val="00883E28"/>
    <w:rsid w:val="00886B5E"/>
    <w:rsid w:val="00887CCC"/>
    <w:rsid w:val="0089004C"/>
    <w:rsid w:val="0089163A"/>
    <w:rsid w:val="0089173D"/>
    <w:rsid w:val="0089429B"/>
    <w:rsid w:val="00895DD1"/>
    <w:rsid w:val="008A0E5B"/>
    <w:rsid w:val="008A4552"/>
    <w:rsid w:val="008A7157"/>
    <w:rsid w:val="008B10E2"/>
    <w:rsid w:val="008B40A4"/>
    <w:rsid w:val="008B682B"/>
    <w:rsid w:val="008B6DAC"/>
    <w:rsid w:val="008C0CA9"/>
    <w:rsid w:val="008C12B8"/>
    <w:rsid w:val="008C2704"/>
    <w:rsid w:val="008C7541"/>
    <w:rsid w:val="008D17E3"/>
    <w:rsid w:val="008D1A7F"/>
    <w:rsid w:val="008D1CFF"/>
    <w:rsid w:val="008D2738"/>
    <w:rsid w:val="008D37B1"/>
    <w:rsid w:val="008D4CC6"/>
    <w:rsid w:val="008D5BB8"/>
    <w:rsid w:val="008D6A9E"/>
    <w:rsid w:val="008E0A05"/>
    <w:rsid w:val="008E1CFA"/>
    <w:rsid w:val="008E66FB"/>
    <w:rsid w:val="008E7BA8"/>
    <w:rsid w:val="008F030F"/>
    <w:rsid w:val="008F257E"/>
    <w:rsid w:val="008F39E0"/>
    <w:rsid w:val="008F4A85"/>
    <w:rsid w:val="008F59D9"/>
    <w:rsid w:val="008F6F48"/>
    <w:rsid w:val="00901AC6"/>
    <w:rsid w:val="009020E5"/>
    <w:rsid w:val="00902275"/>
    <w:rsid w:val="00902533"/>
    <w:rsid w:val="00904B9D"/>
    <w:rsid w:val="009051BD"/>
    <w:rsid w:val="009061AA"/>
    <w:rsid w:val="009062D8"/>
    <w:rsid w:val="00910BDE"/>
    <w:rsid w:val="00911820"/>
    <w:rsid w:val="00912541"/>
    <w:rsid w:val="009127DC"/>
    <w:rsid w:val="00912999"/>
    <w:rsid w:val="00914928"/>
    <w:rsid w:val="00923BB8"/>
    <w:rsid w:val="009241E8"/>
    <w:rsid w:val="00926142"/>
    <w:rsid w:val="00926450"/>
    <w:rsid w:val="00934D2B"/>
    <w:rsid w:val="00936B20"/>
    <w:rsid w:val="00936DC0"/>
    <w:rsid w:val="009371FC"/>
    <w:rsid w:val="009378EF"/>
    <w:rsid w:val="00940D1D"/>
    <w:rsid w:val="00940F6F"/>
    <w:rsid w:val="0094202B"/>
    <w:rsid w:val="009434CC"/>
    <w:rsid w:val="00943B65"/>
    <w:rsid w:val="00944BD7"/>
    <w:rsid w:val="00945580"/>
    <w:rsid w:val="00947AF5"/>
    <w:rsid w:val="00950827"/>
    <w:rsid w:val="009519FE"/>
    <w:rsid w:val="00951A52"/>
    <w:rsid w:val="0095398C"/>
    <w:rsid w:val="00954FC9"/>
    <w:rsid w:val="00955F84"/>
    <w:rsid w:val="00961AC7"/>
    <w:rsid w:val="009620ED"/>
    <w:rsid w:val="00962E1B"/>
    <w:rsid w:val="00962ECD"/>
    <w:rsid w:val="009643E6"/>
    <w:rsid w:val="009651C1"/>
    <w:rsid w:val="009652F7"/>
    <w:rsid w:val="00965503"/>
    <w:rsid w:val="00967BE3"/>
    <w:rsid w:val="0097135F"/>
    <w:rsid w:val="00971DF8"/>
    <w:rsid w:val="009810F3"/>
    <w:rsid w:val="00983321"/>
    <w:rsid w:val="009850C6"/>
    <w:rsid w:val="00987512"/>
    <w:rsid w:val="00991DB7"/>
    <w:rsid w:val="009930A1"/>
    <w:rsid w:val="009A1E00"/>
    <w:rsid w:val="009A4DC4"/>
    <w:rsid w:val="009B0628"/>
    <w:rsid w:val="009B0D11"/>
    <w:rsid w:val="009B3009"/>
    <w:rsid w:val="009B3A5A"/>
    <w:rsid w:val="009B5659"/>
    <w:rsid w:val="009B6A50"/>
    <w:rsid w:val="009B7087"/>
    <w:rsid w:val="009B74A9"/>
    <w:rsid w:val="009C0E61"/>
    <w:rsid w:val="009C1E94"/>
    <w:rsid w:val="009C1F6F"/>
    <w:rsid w:val="009C24A0"/>
    <w:rsid w:val="009C4870"/>
    <w:rsid w:val="009C53F4"/>
    <w:rsid w:val="009D0782"/>
    <w:rsid w:val="009D0EFE"/>
    <w:rsid w:val="009D1267"/>
    <w:rsid w:val="009D4479"/>
    <w:rsid w:val="009D4CDD"/>
    <w:rsid w:val="009D50F0"/>
    <w:rsid w:val="009D57FA"/>
    <w:rsid w:val="009D755B"/>
    <w:rsid w:val="009E35FB"/>
    <w:rsid w:val="009E3890"/>
    <w:rsid w:val="009E4479"/>
    <w:rsid w:val="009E710B"/>
    <w:rsid w:val="009E7864"/>
    <w:rsid w:val="009F182E"/>
    <w:rsid w:val="009F216C"/>
    <w:rsid w:val="009F2BBA"/>
    <w:rsid w:val="009F3095"/>
    <w:rsid w:val="009F38A3"/>
    <w:rsid w:val="009F4402"/>
    <w:rsid w:val="009F44AF"/>
    <w:rsid w:val="009F5AF9"/>
    <w:rsid w:val="009F750C"/>
    <w:rsid w:val="009F7DD3"/>
    <w:rsid w:val="00A00694"/>
    <w:rsid w:val="00A01A11"/>
    <w:rsid w:val="00A025D6"/>
    <w:rsid w:val="00A0274F"/>
    <w:rsid w:val="00A02CCB"/>
    <w:rsid w:val="00A046F1"/>
    <w:rsid w:val="00A0532A"/>
    <w:rsid w:val="00A067A1"/>
    <w:rsid w:val="00A068D0"/>
    <w:rsid w:val="00A06AAE"/>
    <w:rsid w:val="00A11E82"/>
    <w:rsid w:val="00A13AB5"/>
    <w:rsid w:val="00A15C0B"/>
    <w:rsid w:val="00A17720"/>
    <w:rsid w:val="00A21288"/>
    <w:rsid w:val="00A23187"/>
    <w:rsid w:val="00A2457C"/>
    <w:rsid w:val="00A30C2F"/>
    <w:rsid w:val="00A31626"/>
    <w:rsid w:val="00A33BD9"/>
    <w:rsid w:val="00A34B18"/>
    <w:rsid w:val="00A34CD5"/>
    <w:rsid w:val="00A377C6"/>
    <w:rsid w:val="00A40059"/>
    <w:rsid w:val="00A41BAA"/>
    <w:rsid w:val="00A421B4"/>
    <w:rsid w:val="00A434AA"/>
    <w:rsid w:val="00A450CD"/>
    <w:rsid w:val="00A45630"/>
    <w:rsid w:val="00A468DF"/>
    <w:rsid w:val="00A4752C"/>
    <w:rsid w:val="00A5214A"/>
    <w:rsid w:val="00A52981"/>
    <w:rsid w:val="00A54CC0"/>
    <w:rsid w:val="00A55094"/>
    <w:rsid w:val="00A5546E"/>
    <w:rsid w:val="00A6069B"/>
    <w:rsid w:val="00A609BC"/>
    <w:rsid w:val="00A61C4E"/>
    <w:rsid w:val="00A6366E"/>
    <w:rsid w:val="00A66818"/>
    <w:rsid w:val="00A67592"/>
    <w:rsid w:val="00A71A46"/>
    <w:rsid w:val="00A77850"/>
    <w:rsid w:val="00A80653"/>
    <w:rsid w:val="00A83487"/>
    <w:rsid w:val="00A859E2"/>
    <w:rsid w:val="00A862A6"/>
    <w:rsid w:val="00A86C91"/>
    <w:rsid w:val="00A922B0"/>
    <w:rsid w:val="00A94966"/>
    <w:rsid w:val="00A94D35"/>
    <w:rsid w:val="00AA030C"/>
    <w:rsid w:val="00AA1E28"/>
    <w:rsid w:val="00AA26EC"/>
    <w:rsid w:val="00AA2CE1"/>
    <w:rsid w:val="00AA2E29"/>
    <w:rsid w:val="00AA3874"/>
    <w:rsid w:val="00AA4FA6"/>
    <w:rsid w:val="00AA5B79"/>
    <w:rsid w:val="00AA7452"/>
    <w:rsid w:val="00AB158C"/>
    <w:rsid w:val="00AB3541"/>
    <w:rsid w:val="00AB3DCF"/>
    <w:rsid w:val="00AB4419"/>
    <w:rsid w:val="00AB64ED"/>
    <w:rsid w:val="00AB65A4"/>
    <w:rsid w:val="00AC105D"/>
    <w:rsid w:val="00AC16F2"/>
    <w:rsid w:val="00AC2367"/>
    <w:rsid w:val="00AC27D4"/>
    <w:rsid w:val="00AC3539"/>
    <w:rsid w:val="00AC4E77"/>
    <w:rsid w:val="00AC6DEA"/>
    <w:rsid w:val="00AC71CE"/>
    <w:rsid w:val="00AC738E"/>
    <w:rsid w:val="00AC7851"/>
    <w:rsid w:val="00AD2026"/>
    <w:rsid w:val="00AD41CB"/>
    <w:rsid w:val="00AD4E22"/>
    <w:rsid w:val="00AD5A4F"/>
    <w:rsid w:val="00AE001B"/>
    <w:rsid w:val="00AE1199"/>
    <w:rsid w:val="00AE27A4"/>
    <w:rsid w:val="00AE64B8"/>
    <w:rsid w:val="00AF079D"/>
    <w:rsid w:val="00AF2629"/>
    <w:rsid w:val="00AF3483"/>
    <w:rsid w:val="00AF42B5"/>
    <w:rsid w:val="00AF5B72"/>
    <w:rsid w:val="00AF78BD"/>
    <w:rsid w:val="00B019C7"/>
    <w:rsid w:val="00B02A96"/>
    <w:rsid w:val="00B03F47"/>
    <w:rsid w:val="00B06EC2"/>
    <w:rsid w:val="00B10952"/>
    <w:rsid w:val="00B11D98"/>
    <w:rsid w:val="00B13959"/>
    <w:rsid w:val="00B153AB"/>
    <w:rsid w:val="00B17670"/>
    <w:rsid w:val="00B17B57"/>
    <w:rsid w:val="00B220DF"/>
    <w:rsid w:val="00B2245C"/>
    <w:rsid w:val="00B23D65"/>
    <w:rsid w:val="00B2401D"/>
    <w:rsid w:val="00B24952"/>
    <w:rsid w:val="00B260D7"/>
    <w:rsid w:val="00B2718A"/>
    <w:rsid w:val="00B31B9C"/>
    <w:rsid w:val="00B321A9"/>
    <w:rsid w:val="00B34309"/>
    <w:rsid w:val="00B40881"/>
    <w:rsid w:val="00B4143E"/>
    <w:rsid w:val="00B433F1"/>
    <w:rsid w:val="00B45B42"/>
    <w:rsid w:val="00B477E7"/>
    <w:rsid w:val="00B47AD3"/>
    <w:rsid w:val="00B53AA1"/>
    <w:rsid w:val="00B54A2E"/>
    <w:rsid w:val="00B556C6"/>
    <w:rsid w:val="00B55C73"/>
    <w:rsid w:val="00B55E11"/>
    <w:rsid w:val="00B56B57"/>
    <w:rsid w:val="00B63D2C"/>
    <w:rsid w:val="00B66538"/>
    <w:rsid w:val="00B66FAE"/>
    <w:rsid w:val="00B6788E"/>
    <w:rsid w:val="00B73F70"/>
    <w:rsid w:val="00B74617"/>
    <w:rsid w:val="00B76430"/>
    <w:rsid w:val="00B775E6"/>
    <w:rsid w:val="00B845E7"/>
    <w:rsid w:val="00B84F02"/>
    <w:rsid w:val="00B85DA3"/>
    <w:rsid w:val="00B86DD6"/>
    <w:rsid w:val="00B874E8"/>
    <w:rsid w:val="00B91293"/>
    <w:rsid w:val="00B92CB9"/>
    <w:rsid w:val="00B93174"/>
    <w:rsid w:val="00B93F81"/>
    <w:rsid w:val="00B95224"/>
    <w:rsid w:val="00B95657"/>
    <w:rsid w:val="00BA0DD7"/>
    <w:rsid w:val="00BA2B13"/>
    <w:rsid w:val="00BA3747"/>
    <w:rsid w:val="00BA6A5F"/>
    <w:rsid w:val="00BB0A3B"/>
    <w:rsid w:val="00BB33FB"/>
    <w:rsid w:val="00BB4173"/>
    <w:rsid w:val="00BC0110"/>
    <w:rsid w:val="00BC0503"/>
    <w:rsid w:val="00BC099D"/>
    <w:rsid w:val="00BC2F08"/>
    <w:rsid w:val="00BC5824"/>
    <w:rsid w:val="00BC5EEA"/>
    <w:rsid w:val="00BC635B"/>
    <w:rsid w:val="00BC7B62"/>
    <w:rsid w:val="00BD494B"/>
    <w:rsid w:val="00BD4D34"/>
    <w:rsid w:val="00BD7808"/>
    <w:rsid w:val="00BE01FF"/>
    <w:rsid w:val="00BE3676"/>
    <w:rsid w:val="00BE4901"/>
    <w:rsid w:val="00BE5454"/>
    <w:rsid w:val="00BE6F19"/>
    <w:rsid w:val="00BE7D2B"/>
    <w:rsid w:val="00BF25A1"/>
    <w:rsid w:val="00BF28B7"/>
    <w:rsid w:val="00BF3005"/>
    <w:rsid w:val="00BF356A"/>
    <w:rsid w:val="00BF3FA7"/>
    <w:rsid w:val="00BF4D5D"/>
    <w:rsid w:val="00BF685C"/>
    <w:rsid w:val="00BF7FC9"/>
    <w:rsid w:val="00C00CDC"/>
    <w:rsid w:val="00C026C0"/>
    <w:rsid w:val="00C04C54"/>
    <w:rsid w:val="00C07F15"/>
    <w:rsid w:val="00C1212B"/>
    <w:rsid w:val="00C1386C"/>
    <w:rsid w:val="00C226E8"/>
    <w:rsid w:val="00C2389E"/>
    <w:rsid w:val="00C24E08"/>
    <w:rsid w:val="00C25FD1"/>
    <w:rsid w:val="00C26751"/>
    <w:rsid w:val="00C309CB"/>
    <w:rsid w:val="00C31C0E"/>
    <w:rsid w:val="00C32489"/>
    <w:rsid w:val="00C324DB"/>
    <w:rsid w:val="00C35301"/>
    <w:rsid w:val="00C366A0"/>
    <w:rsid w:val="00C42E0B"/>
    <w:rsid w:val="00C50BBB"/>
    <w:rsid w:val="00C50CDC"/>
    <w:rsid w:val="00C52849"/>
    <w:rsid w:val="00C53675"/>
    <w:rsid w:val="00C62C2A"/>
    <w:rsid w:val="00C65579"/>
    <w:rsid w:val="00C6578F"/>
    <w:rsid w:val="00C6726B"/>
    <w:rsid w:val="00C67373"/>
    <w:rsid w:val="00C70293"/>
    <w:rsid w:val="00C720E7"/>
    <w:rsid w:val="00C74732"/>
    <w:rsid w:val="00C80D7E"/>
    <w:rsid w:val="00C81987"/>
    <w:rsid w:val="00C831A3"/>
    <w:rsid w:val="00C84216"/>
    <w:rsid w:val="00C844EE"/>
    <w:rsid w:val="00C84A6D"/>
    <w:rsid w:val="00C8640C"/>
    <w:rsid w:val="00C90AA6"/>
    <w:rsid w:val="00C90D27"/>
    <w:rsid w:val="00C944DF"/>
    <w:rsid w:val="00C951F9"/>
    <w:rsid w:val="00CA01E1"/>
    <w:rsid w:val="00CA0696"/>
    <w:rsid w:val="00CA13B4"/>
    <w:rsid w:val="00CA3354"/>
    <w:rsid w:val="00CA39DF"/>
    <w:rsid w:val="00CA4327"/>
    <w:rsid w:val="00CA530A"/>
    <w:rsid w:val="00CB0EE0"/>
    <w:rsid w:val="00CB190A"/>
    <w:rsid w:val="00CB3DA1"/>
    <w:rsid w:val="00CB4BBF"/>
    <w:rsid w:val="00CB7EE5"/>
    <w:rsid w:val="00CC031C"/>
    <w:rsid w:val="00CC2C60"/>
    <w:rsid w:val="00CC3D12"/>
    <w:rsid w:val="00CC404A"/>
    <w:rsid w:val="00CC4FD9"/>
    <w:rsid w:val="00CC7387"/>
    <w:rsid w:val="00CD2A31"/>
    <w:rsid w:val="00CD3CB7"/>
    <w:rsid w:val="00CD51D7"/>
    <w:rsid w:val="00CD72CE"/>
    <w:rsid w:val="00CD7BC8"/>
    <w:rsid w:val="00CE09C2"/>
    <w:rsid w:val="00CE14C7"/>
    <w:rsid w:val="00CE1841"/>
    <w:rsid w:val="00CE2A7F"/>
    <w:rsid w:val="00CE324B"/>
    <w:rsid w:val="00CE3BC0"/>
    <w:rsid w:val="00CE48F1"/>
    <w:rsid w:val="00CE4B0B"/>
    <w:rsid w:val="00CE789B"/>
    <w:rsid w:val="00CF42DB"/>
    <w:rsid w:val="00CF4AE1"/>
    <w:rsid w:val="00CF7F35"/>
    <w:rsid w:val="00CF7F3A"/>
    <w:rsid w:val="00D03494"/>
    <w:rsid w:val="00D0462F"/>
    <w:rsid w:val="00D0654C"/>
    <w:rsid w:val="00D10208"/>
    <w:rsid w:val="00D12208"/>
    <w:rsid w:val="00D12E86"/>
    <w:rsid w:val="00D144F2"/>
    <w:rsid w:val="00D14EDB"/>
    <w:rsid w:val="00D17B4D"/>
    <w:rsid w:val="00D20620"/>
    <w:rsid w:val="00D24E1C"/>
    <w:rsid w:val="00D2721F"/>
    <w:rsid w:val="00D30197"/>
    <w:rsid w:val="00D301C1"/>
    <w:rsid w:val="00D31E19"/>
    <w:rsid w:val="00D324BA"/>
    <w:rsid w:val="00D328D0"/>
    <w:rsid w:val="00D33B32"/>
    <w:rsid w:val="00D34952"/>
    <w:rsid w:val="00D35C74"/>
    <w:rsid w:val="00D35D18"/>
    <w:rsid w:val="00D36130"/>
    <w:rsid w:val="00D36DA5"/>
    <w:rsid w:val="00D37AF6"/>
    <w:rsid w:val="00D37D49"/>
    <w:rsid w:val="00D40760"/>
    <w:rsid w:val="00D408FE"/>
    <w:rsid w:val="00D43928"/>
    <w:rsid w:val="00D45FF8"/>
    <w:rsid w:val="00D46027"/>
    <w:rsid w:val="00D46514"/>
    <w:rsid w:val="00D475D5"/>
    <w:rsid w:val="00D50816"/>
    <w:rsid w:val="00D52694"/>
    <w:rsid w:val="00D53AC4"/>
    <w:rsid w:val="00D5410A"/>
    <w:rsid w:val="00D5612B"/>
    <w:rsid w:val="00D5796A"/>
    <w:rsid w:val="00D61930"/>
    <w:rsid w:val="00D61D90"/>
    <w:rsid w:val="00D631E4"/>
    <w:rsid w:val="00D64259"/>
    <w:rsid w:val="00D64A58"/>
    <w:rsid w:val="00D652EA"/>
    <w:rsid w:val="00D658D8"/>
    <w:rsid w:val="00D65D7C"/>
    <w:rsid w:val="00D676AF"/>
    <w:rsid w:val="00D70832"/>
    <w:rsid w:val="00D720D3"/>
    <w:rsid w:val="00D75477"/>
    <w:rsid w:val="00D761A4"/>
    <w:rsid w:val="00D91CBC"/>
    <w:rsid w:val="00D93FD3"/>
    <w:rsid w:val="00D9563A"/>
    <w:rsid w:val="00D9707F"/>
    <w:rsid w:val="00D97233"/>
    <w:rsid w:val="00D9758E"/>
    <w:rsid w:val="00DA0425"/>
    <w:rsid w:val="00DA056C"/>
    <w:rsid w:val="00DA13AC"/>
    <w:rsid w:val="00DA2F4B"/>
    <w:rsid w:val="00DA355A"/>
    <w:rsid w:val="00DA657B"/>
    <w:rsid w:val="00DA7AD1"/>
    <w:rsid w:val="00DB4267"/>
    <w:rsid w:val="00DB4537"/>
    <w:rsid w:val="00DB4E6F"/>
    <w:rsid w:val="00DB4F13"/>
    <w:rsid w:val="00DB56D8"/>
    <w:rsid w:val="00DB5D49"/>
    <w:rsid w:val="00DB6C01"/>
    <w:rsid w:val="00DB7100"/>
    <w:rsid w:val="00DC1447"/>
    <w:rsid w:val="00DC1A3B"/>
    <w:rsid w:val="00DC1BBE"/>
    <w:rsid w:val="00DC30F9"/>
    <w:rsid w:val="00DC4A04"/>
    <w:rsid w:val="00DC7E71"/>
    <w:rsid w:val="00DD2607"/>
    <w:rsid w:val="00DD2E74"/>
    <w:rsid w:val="00DD4C98"/>
    <w:rsid w:val="00DD5AB4"/>
    <w:rsid w:val="00DD6CCC"/>
    <w:rsid w:val="00DE1BA1"/>
    <w:rsid w:val="00DE1BAD"/>
    <w:rsid w:val="00DE6EFE"/>
    <w:rsid w:val="00DE7337"/>
    <w:rsid w:val="00DF0393"/>
    <w:rsid w:val="00DF0843"/>
    <w:rsid w:val="00DF0FE1"/>
    <w:rsid w:val="00DF1761"/>
    <w:rsid w:val="00DF2206"/>
    <w:rsid w:val="00E00FEB"/>
    <w:rsid w:val="00E01825"/>
    <w:rsid w:val="00E02186"/>
    <w:rsid w:val="00E02A28"/>
    <w:rsid w:val="00E02AEC"/>
    <w:rsid w:val="00E02CFB"/>
    <w:rsid w:val="00E03A95"/>
    <w:rsid w:val="00E044FE"/>
    <w:rsid w:val="00E05711"/>
    <w:rsid w:val="00E0612F"/>
    <w:rsid w:val="00E06A52"/>
    <w:rsid w:val="00E07AA8"/>
    <w:rsid w:val="00E07EF0"/>
    <w:rsid w:val="00E11B36"/>
    <w:rsid w:val="00E13D16"/>
    <w:rsid w:val="00E14C33"/>
    <w:rsid w:val="00E157CF"/>
    <w:rsid w:val="00E2082A"/>
    <w:rsid w:val="00E21881"/>
    <w:rsid w:val="00E250A3"/>
    <w:rsid w:val="00E252A4"/>
    <w:rsid w:val="00E25EFA"/>
    <w:rsid w:val="00E27438"/>
    <w:rsid w:val="00E27B57"/>
    <w:rsid w:val="00E27E63"/>
    <w:rsid w:val="00E30E2D"/>
    <w:rsid w:val="00E35B96"/>
    <w:rsid w:val="00E36E5E"/>
    <w:rsid w:val="00E46071"/>
    <w:rsid w:val="00E46DE2"/>
    <w:rsid w:val="00E5388C"/>
    <w:rsid w:val="00E61949"/>
    <w:rsid w:val="00E63C1C"/>
    <w:rsid w:val="00E63EF5"/>
    <w:rsid w:val="00E66E9A"/>
    <w:rsid w:val="00E73964"/>
    <w:rsid w:val="00E74034"/>
    <w:rsid w:val="00E82BEE"/>
    <w:rsid w:val="00E82C44"/>
    <w:rsid w:val="00E84730"/>
    <w:rsid w:val="00E85523"/>
    <w:rsid w:val="00E87DE4"/>
    <w:rsid w:val="00E92632"/>
    <w:rsid w:val="00E94001"/>
    <w:rsid w:val="00E95ADB"/>
    <w:rsid w:val="00E95CB1"/>
    <w:rsid w:val="00EA25B1"/>
    <w:rsid w:val="00EB1712"/>
    <w:rsid w:val="00EB6186"/>
    <w:rsid w:val="00EB68E6"/>
    <w:rsid w:val="00EB7CC8"/>
    <w:rsid w:val="00EB7CF6"/>
    <w:rsid w:val="00EC2C42"/>
    <w:rsid w:val="00EC3CF0"/>
    <w:rsid w:val="00EC43AC"/>
    <w:rsid w:val="00EC5167"/>
    <w:rsid w:val="00EC5953"/>
    <w:rsid w:val="00EC5F0C"/>
    <w:rsid w:val="00EC7060"/>
    <w:rsid w:val="00ED0B17"/>
    <w:rsid w:val="00ED2872"/>
    <w:rsid w:val="00ED550C"/>
    <w:rsid w:val="00ED5BC7"/>
    <w:rsid w:val="00ED6E1A"/>
    <w:rsid w:val="00ED6FB6"/>
    <w:rsid w:val="00ED75AB"/>
    <w:rsid w:val="00ED7E7B"/>
    <w:rsid w:val="00EE303D"/>
    <w:rsid w:val="00EE4089"/>
    <w:rsid w:val="00EE4C0E"/>
    <w:rsid w:val="00EE4F0F"/>
    <w:rsid w:val="00EE5F42"/>
    <w:rsid w:val="00EF14A9"/>
    <w:rsid w:val="00EF183D"/>
    <w:rsid w:val="00EF2496"/>
    <w:rsid w:val="00EF303F"/>
    <w:rsid w:val="00EF4496"/>
    <w:rsid w:val="00EF44C2"/>
    <w:rsid w:val="00F002BC"/>
    <w:rsid w:val="00F00C35"/>
    <w:rsid w:val="00F011A0"/>
    <w:rsid w:val="00F02E30"/>
    <w:rsid w:val="00F02EB5"/>
    <w:rsid w:val="00F05285"/>
    <w:rsid w:val="00F11136"/>
    <w:rsid w:val="00F12820"/>
    <w:rsid w:val="00F149E2"/>
    <w:rsid w:val="00F149E9"/>
    <w:rsid w:val="00F1522C"/>
    <w:rsid w:val="00F16E21"/>
    <w:rsid w:val="00F16E5A"/>
    <w:rsid w:val="00F16FA7"/>
    <w:rsid w:val="00F17BFA"/>
    <w:rsid w:val="00F221B0"/>
    <w:rsid w:val="00F248E2"/>
    <w:rsid w:val="00F26944"/>
    <w:rsid w:val="00F26A21"/>
    <w:rsid w:val="00F26EBB"/>
    <w:rsid w:val="00F27910"/>
    <w:rsid w:val="00F3033B"/>
    <w:rsid w:val="00F30B88"/>
    <w:rsid w:val="00F3339C"/>
    <w:rsid w:val="00F33D93"/>
    <w:rsid w:val="00F405E5"/>
    <w:rsid w:val="00F4094A"/>
    <w:rsid w:val="00F418F9"/>
    <w:rsid w:val="00F41DE5"/>
    <w:rsid w:val="00F44D48"/>
    <w:rsid w:val="00F45A9E"/>
    <w:rsid w:val="00F4661D"/>
    <w:rsid w:val="00F477A6"/>
    <w:rsid w:val="00F5091A"/>
    <w:rsid w:val="00F511F6"/>
    <w:rsid w:val="00F53DA3"/>
    <w:rsid w:val="00F56BE6"/>
    <w:rsid w:val="00F62BD4"/>
    <w:rsid w:val="00F6476A"/>
    <w:rsid w:val="00F74644"/>
    <w:rsid w:val="00F83DC0"/>
    <w:rsid w:val="00F9008F"/>
    <w:rsid w:val="00F935CF"/>
    <w:rsid w:val="00F9459A"/>
    <w:rsid w:val="00F9655A"/>
    <w:rsid w:val="00FA13A8"/>
    <w:rsid w:val="00FA1A34"/>
    <w:rsid w:val="00FA726B"/>
    <w:rsid w:val="00FA7274"/>
    <w:rsid w:val="00FA791F"/>
    <w:rsid w:val="00FB24A1"/>
    <w:rsid w:val="00FB34E3"/>
    <w:rsid w:val="00FB55D4"/>
    <w:rsid w:val="00FC0975"/>
    <w:rsid w:val="00FC2140"/>
    <w:rsid w:val="00FC2A9F"/>
    <w:rsid w:val="00FC548A"/>
    <w:rsid w:val="00FC58A5"/>
    <w:rsid w:val="00FC5E87"/>
    <w:rsid w:val="00FC6E2D"/>
    <w:rsid w:val="00FD09D1"/>
    <w:rsid w:val="00FD0E49"/>
    <w:rsid w:val="00FD1382"/>
    <w:rsid w:val="00FD1A72"/>
    <w:rsid w:val="00FD400C"/>
    <w:rsid w:val="00FD40EE"/>
    <w:rsid w:val="00FD7B00"/>
    <w:rsid w:val="00FE49B5"/>
    <w:rsid w:val="00FE4E53"/>
    <w:rsid w:val="00FE58ED"/>
    <w:rsid w:val="00FE61C2"/>
    <w:rsid w:val="00FE7003"/>
    <w:rsid w:val="00FF0B4B"/>
    <w:rsid w:val="00FF0FB1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0595"/>
  <w15:docId w15:val="{20369194-C3EE-4865-86FA-FA98C4EC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2F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915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1560"/>
  </w:style>
  <w:style w:type="paragraph" w:styleId="Stopka">
    <w:name w:val="footer"/>
    <w:basedOn w:val="Normalny"/>
    <w:link w:val="StopkaZnak"/>
    <w:uiPriority w:val="99"/>
    <w:unhideWhenUsed/>
    <w:rsid w:val="004915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1560"/>
  </w:style>
  <w:style w:type="paragraph" w:styleId="Tekstdymka">
    <w:name w:val="Balloon Text"/>
    <w:basedOn w:val="Normalny"/>
    <w:link w:val="TekstdymkaZnak"/>
    <w:uiPriority w:val="99"/>
    <w:semiHidden/>
    <w:unhideWhenUsed/>
    <w:rsid w:val="005D2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2A3D"/>
    <w:rPr>
      <w:rFonts w:ascii="Segoe UI" w:hAnsi="Segoe UI" w:cs="Segoe UI"/>
      <w:sz w:val="18"/>
      <w:szCs w:val="18"/>
    </w:rPr>
  </w:style>
  <w:style w:type="paragraph" w:styleId="Poprawka">
    <w:name w:val="Revision"/>
    <w:hidden/>
    <w:uiPriority w:val="99"/>
    <w:semiHidden/>
    <w:rsid w:val="00243D79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A1772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qFormat/>
    <w:rsid w:val="00A1772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qFormat/>
    <w:rsid w:val="00A1772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1772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17720"/>
    <w:rPr>
      <w:b/>
      <w:bCs/>
      <w:sz w:val="20"/>
      <w:szCs w:val="20"/>
    </w:rPr>
  </w:style>
  <w:style w:type="paragraph" w:styleId="Akapitzlist">
    <w:name w:val="List Paragraph"/>
    <w:aliases w:val="Styl moj,Akapit z listą11,podpunkt ankietyy,Table Legend,Bullet1,List Paragraph1,List Paragraph,aotm_załączniki,Akapit z listą1,BulletPoints,5 - W tabeli,Dot pt,F5 List Paragraph,No Spacing1,List Paragraph Char Char Char,Indicator Text"/>
    <w:basedOn w:val="Normalny"/>
    <w:link w:val="AkapitzlistZnak"/>
    <w:uiPriority w:val="99"/>
    <w:qFormat/>
    <w:rsid w:val="001A18DE"/>
    <w:pPr>
      <w:ind w:left="720"/>
      <w:contextualSpacing/>
    </w:pPr>
  </w:style>
  <w:style w:type="paragraph" w:customStyle="1" w:styleId="Default">
    <w:name w:val="Default"/>
    <w:rsid w:val="00961A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ksttreci">
    <w:name w:val="Tekst treści_"/>
    <w:basedOn w:val="Domylnaczcionkaakapitu"/>
    <w:link w:val="Teksttreci0"/>
    <w:locked/>
    <w:rsid w:val="00C8640C"/>
    <w:rPr>
      <w:sz w:val="18"/>
      <w:szCs w:val="18"/>
      <w:shd w:val="clear" w:color="auto" w:fill="FFFFFF"/>
    </w:rPr>
  </w:style>
  <w:style w:type="paragraph" w:customStyle="1" w:styleId="Teksttreci0">
    <w:name w:val="Tekst treści"/>
    <w:basedOn w:val="Normalny"/>
    <w:link w:val="Teksttreci"/>
    <w:rsid w:val="00C8640C"/>
    <w:pPr>
      <w:widowControl w:val="0"/>
      <w:shd w:val="clear" w:color="auto" w:fill="FFFFFF"/>
      <w:spacing w:after="60" w:line="248" w:lineRule="exact"/>
      <w:ind w:hanging="480"/>
    </w:pPr>
    <w:rPr>
      <w:sz w:val="18"/>
      <w:szCs w:val="18"/>
    </w:rPr>
  </w:style>
  <w:style w:type="paragraph" w:customStyle="1" w:styleId="TableParagraph">
    <w:name w:val="Table Paragraph"/>
    <w:basedOn w:val="Normalny"/>
    <w:uiPriority w:val="1"/>
    <w:qFormat/>
    <w:rsid w:val="00CA0696"/>
    <w:pPr>
      <w:widowControl w:val="0"/>
      <w:autoSpaceDE w:val="0"/>
      <w:autoSpaceDN w:val="0"/>
      <w:spacing w:after="0" w:line="240" w:lineRule="auto"/>
      <w:ind w:left="467"/>
    </w:pPr>
    <w:rPr>
      <w:rFonts w:ascii="Times New Roman" w:eastAsia="Times New Roman" w:hAnsi="Times New Roman" w:cs="Times New Roman"/>
      <w:lang w:val="en-US"/>
    </w:rPr>
  </w:style>
  <w:style w:type="character" w:customStyle="1" w:styleId="AkapitzlistZnak">
    <w:name w:val="Akapit z listą Znak"/>
    <w:aliases w:val="Styl moj Znak,Akapit z listą11 Znak,podpunkt ankietyy Znak,Table Legend Znak,Bullet1 Znak,List Paragraph1 Znak,List Paragraph Znak,aotm_załączniki Znak,Akapit z listą1 Znak,BulletPoints Znak,5 - W tabeli Znak,Dot pt Znak"/>
    <w:link w:val="Akapitzlist"/>
    <w:uiPriority w:val="99"/>
    <w:qFormat/>
    <w:locked/>
    <w:rsid w:val="002E4F9E"/>
  </w:style>
  <w:style w:type="character" w:customStyle="1" w:styleId="TeksttreciPogrubienie">
    <w:name w:val="Tekst treści + Pogrubienie"/>
    <w:basedOn w:val="Teksttreci"/>
    <w:rsid w:val="007A000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pl-PL" w:eastAsia="pl-PL" w:bidi="pl-PL"/>
    </w:rPr>
  </w:style>
  <w:style w:type="character" w:customStyle="1" w:styleId="identifier">
    <w:name w:val="identifier"/>
    <w:basedOn w:val="Domylnaczcionkaakapitu"/>
    <w:qFormat/>
    <w:rsid w:val="00CC4FD9"/>
  </w:style>
  <w:style w:type="paragraph" w:styleId="NormalnyWeb">
    <w:name w:val="Normal (Web)"/>
    <w:basedOn w:val="Normalny"/>
    <w:uiPriority w:val="99"/>
    <w:unhideWhenUsed/>
    <w:rsid w:val="00CC4FD9"/>
    <w:pPr>
      <w:spacing w:after="0" w:line="240" w:lineRule="auto"/>
    </w:pPr>
    <w:rPr>
      <w:rFonts w:ascii="Calibri" w:hAnsi="Calibri" w:cs="Calibri"/>
      <w:lang w:eastAsia="pl-PL"/>
    </w:rPr>
  </w:style>
  <w:style w:type="paragraph" w:styleId="Tekstpodstawowywcity">
    <w:name w:val="Body Text Indent"/>
    <w:basedOn w:val="Normalny"/>
    <w:link w:val="TekstpodstawowywcityZnak"/>
    <w:rsid w:val="000F2B9B"/>
    <w:pPr>
      <w:spacing w:after="0" w:line="240" w:lineRule="auto"/>
      <w:ind w:firstLine="426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0F2B9B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12638D"/>
    <w:pPr>
      <w:spacing w:after="0" w:line="240" w:lineRule="auto"/>
    </w:pPr>
    <w:rPr>
      <w:rFonts w:ascii="Calibri" w:hAnsi="Calibri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12638D"/>
    <w:rPr>
      <w:rFonts w:ascii="Calibri" w:hAnsi="Calibri"/>
      <w:szCs w:val="21"/>
    </w:rPr>
  </w:style>
  <w:style w:type="character" w:customStyle="1" w:styleId="cf01">
    <w:name w:val="cf01"/>
    <w:basedOn w:val="Domylnaczcionkaakapitu"/>
    <w:rsid w:val="002B3AD8"/>
    <w:rPr>
      <w:rFonts w:ascii="Segoe UI" w:hAnsi="Segoe UI" w:cs="Segoe UI" w:hint="default"/>
      <w:sz w:val="18"/>
      <w:szCs w:val="18"/>
      <w:shd w:val="clear" w:color="auto" w:fill="00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7054A-3103-4852-8B7F-80EEFD8D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2560</Words>
  <Characters>15366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Buras Magda</dc:creator>
  <cp:keywords/>
  <dc:description/>
  <cp:lastModifiedBy>Wilk Justyna</cp:lastModifiedBy>
  <cp:revision>3</cp:revision>
  <cp:lastPrinted>2023-02-05T13:50:00Z</cp:lastPrinted>
  <dcterms:created xsi:type="dcterms:W3CDTF">2025-03-10T10:45:00Z</dcterms:created>
  <dcterms:modified xsi:type="dcterms:W3CDTF">2025-03-12T06:48:00Z</dcterms:modified>
</cp:coreProperties>
</file>