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55EF" w14:textId="3EB4554B" w:rsidR="00AC363C" w:rsidRPr="003201D7" w:rsidRDefault="00AC363C" w:rsidP="00E662D0">
      <w:pPr>
        <w:pStyle w:val="Nagwek1"/>
        <w:rPr>
          <w:rFonts w:ascii="Times New Roman" w:eastAsia="Times New Roman" w:hAnsi="Times New Roman" w:cs="Times New Roman"/>
          <w:szCs w:val="24"/>
          <w:lang w:eastAsia="pl-PL"/>
        </w:rPr>
      </w:pPr>
      <w:r w:rsidRPr="003201D7">
        <w:rPr>
          <w:rFonts w:ascii="Times New Roman" w:eastAsia="Times New Roman" w:hAnsi="Times New Roman" w:cs="Times New Roman"/>
          <w:szCs w:val="24"/>
          <w:lang w:eastAsia="pl-PL"/>
        </w:rPr>
        <w:t>Załącznik</w:t>
      </w:r>
      <w:r w:rsidR="00982847" w:rsidRPr="003201D7"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Pr="003201D7">
        <w:rPr>
          <w:rFonts w:ascii="Times New Roman" w:eastAsia="Times New Roman" w:hAnsi="Times New Roman" w:cs="Times New Roman"/>
          <w:szCs w:val="24"/>
          <w:lang w:eastAsia="pl-PL"/>
        </w:rPr>
        <w:t>B.70.</w:t>
      </w:r>
    </w:p>
    <w:p w14:paraId="75AE5ACF" w14:textId="77777777" w:rsidR="00AC363C" w:rsidRPr="003201D7" w:rsidRDefault="00AC363C" w:rsidP="00E662D0">
      <w:pPr>
        <w:pStyle w:val="Nagwek1"/>
        <w:rPr>
          <w:rFonts w:ascii="Times New Roman" w:eastAsia="Times New Roman" w:hAnsi="Times New Roman" w:cs="Times New Roman"/>
          <w:szCs w:val="24"/>
          <w:lang w:eastAsia="pl-PL"/>
        </w:rPr>
      </w:pPr>
    </w:p>
    <w:p w14:paraId="3CDE9EC0" w14:textId="16412B95" w:rsidR="00AC363C" w:rsidRPr="003201D7" w:rsidRDefault="00AC363C" w:rsidP="00AC363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LECZENIE</w:t>
      </w:r>
      <w:r w:rsidR="00982847"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PACJENTÓW</w:t>
      </w:r>
      <w:r w:rsidR="00982847"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</w:t>
      </w:r>
      <w:r w:rsidR="00982847"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CHOROBAMI</w:t>
      </w:r>
      <w:r w:rsidR="00982847"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SIATKÓWKI</w:t>
      </w:r>
      <w:r w:rsidR="00982847"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(ICD-10:</w:t>
      </w:r>
      <w:r w:rsidR="00982847"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B40803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H34, </w:t>
      </w:r>
      <w:r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H35.3,</w:t>
      </w:r>
      <w:r w:rsidR="00982847"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Pr="003201D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H36.0)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3201D7" w:rsidRPr="003201D7" w14:paraId="147FB8CC" w14:textId="77777777" w:rsidTr="00D859FF">
        <w:trPr>
          <w:trHeight w:hRule="exact" w:val="567"/>
        </w:trPr>
        <w:tc>
          <w:tcPr>
            <w:tcW w:w="1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B61A" w14:textId="0204D3A2" w:rsidR="006A6913" w:rsidRPr="003201D7" w:rsidRDefault="006A6913" w:rsidP="006676BB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val="en-US" w:eastAsia="zh-TW"/>
                <w14:ligatures w14:val="none"/>
              </w:rPr>
            </w:pP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val="en-US" w:eastAsia="zh-TW"/>
                <w14:ligatures w14:val="none"/>
              </w:rPr>
              <w:t>ZAKRES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val="en-US" w:eastAsia="zh-TW"/>
                <w14:ligatures w14:val="none"/>
              </w:rPr>
              <w:t xml:space="preserve"> </w:t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val="en-US" w:eastAsia="zh-TW"/>
                <w14:ligatures w14:val="none"/>
              </w:rPr>
              <w:t>ŚWIADCZENIA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val="en-US" w:eastAsia="zh-TW"/>
                <w14:ligatures w14:val="none"/>
              </w:rPr>
              <w:t xml:space="preserve"> </w:t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val="en-US" w:eastAsia="zh-TW"/>
                <w14:ligatures w14:val="none"/>
              </w:rPr>
              <w:t>GWARANTOWANEGO</w:t>
            </w:r>
          </w:p>
        </w:tc>
      </w:tr>
      <w:tr w:rsidR="003201D7" w:rsidRPr="003201D7" w14:paraId="16D7B509" w14:textId="77777777" w:rsidTr="00982847">
        <w:trPr>
          <w:trHeight w:hRule="exact" w:val="567"/>
        </w:trPr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2A2E" w14:textId="1A73BCCB" w:rsidR="006A6913" w:rsidRPr="003201D7" w:rsidRDefault="006A6913" w:rsidP="006676BB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val="en-US" w:eastAsia="zh-TW"/>
                <w14:ligatures w14:val="none"/>
              </w:rPr>
            </w:pP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val="en-US" w:eastAsia="zh-TW"/>
                <w14:ligatures w14:val="none"/>
              </w:rPr>
              <w:t>ŚWIADCZENIOBIORCY</w:t>
            </w:r>
          </w:p>
        </w:tc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D671" w14:textId="148F621A" w:rsidR="006A6913" w:rsidRPr="003201D7" w:rsidRDefault="006A6913" w:rsidP="006676BB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</w:pP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SCHEMAT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 xml:space="preserve"> </w:t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DAWKOWANIA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 xml:space="preserve"> </w:t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LEKÓW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 xml:space="preserve"> 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br/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W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 xml:space="preserve"> </w:t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PROGRAMIE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7B94" w14:textId="49DF3F62" w:rsidR="006A6913" w:rsidRPr="003201D7" w:rsidRDefault="006A6913" w:rsidP="006676BB">
            <w:pPr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</w:pP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BADANIA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 xml:space="preserve"> </w:t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DIAGNOSTYCZNE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 xml:space="preserve"> </w:t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WYKONYWANE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 xml:space="preserve"> 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br/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W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 xml:space="preserve"> </w:t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RAMACH</w:t>
            </w:r>
            <w:r w:rsidR="00982847"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 xml:space="preserve"> </w:t>
            </w:r>
            <w:r w:rsidRPr="003201D7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:lang w:eastAsia="zh-TW"/>
                <w14:ligatures w14:val="none"/>
              </w:rPr>
              <w:t>PROGRAMU</w:t>
            </w:r>
          </w:p>
        </w:tc>
      </w:tr>
      <w:tr w:rsidR="003201D7" w:rsidRPr="003201D7" w14:paraId="2EDA8EE8" w14:textId="77777777" w:rsidTr="00D859FF">
        <w:trPr>
          <w:trHeight w:hRule="exact" w:val="567"/>
        </w:trPr>
        <w:tc>
          <w:tcPr>
            <w:tcW w:w="1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E98C" w14:textId="469999E5" w:rsidR="002F533C" w:rsidRPr="003201D7" w:rsidRDefault="002F533C" w:rsidP="00D6087F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LECZENIE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PACJENTÓW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WYSIĘKOWYM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ZWYRODNIENIEM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PLAMKI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ZWIĄZANYM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WIEKIEM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(</w:t>
            </w:r>
            <w:proofErr w:type="spellStart"/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nAMD</w:t>
            </w:r>
            <w:proofErr w:type="spellEnd"/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)</w:t>
            </w:r>
          </w:p>
        </w:tc>
      </w:tr>
      <w:tr w:rsidR="003201D7" w:rsidRPr="003201D7" w14:paraId="2E97157E" w14:textId="77777777" w:rsidTr="00982847"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FD9A" w14:textId="19DE5F7A" w:rsidR="00EA7951" w:rsidRPr="003201D7" w:rsidRDefault="00EA7951" w:rsidP="00BC5F49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świadczeniobiorców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przeprowadzana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ds.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Siatkówki,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powoływany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Prezesa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6B4E" w:rsidRPr="003201D7">
              <w:rPr>
                <w:rFonts w:ascii="Times New Roman" w:hAnsi="Times New Roman" w:cs="Times New Roman"/>
                <w:sz w:val="20"/>
                <w:szCs w:val="20"/>
              </w:rPr>
              <w:t>(dalej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6B4E" w:rsidRPr="003201D7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6B4E" w:rsidRPr="003201D7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6B4E" w:rsidRPr="003201D7">
              <w:rPr>
                <w:rFonts w:ascii="Times New Roman" w:hAnsi="Times New Roman" w:cs="Times New Roman"/>
                <w:sz w:val="20"/>
                <w:szCs w:val="20"/>
              </w:rPr>
              <w:t>Koordynacyjny)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594DA87" w14:textId="4D721D88" w:rsidR="00EA7951" w:rsidRPr="003201D7" w:rsidRDefault="00EA7951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weryfikacja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odbywa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klinicznego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efektywności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zastosowanej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05825" w:rsidRPr="003201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A906839" w14:textId="39F7B857" w:rsidR="00EA7951" w:rsidRPr="004A15CE" w:rsidRDefault="00EA7951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wysiękowego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zwyrodnienia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plamki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związanego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wiekiem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substancjami:</w:t>
            </w:r>
          </w:p>
          <w:p w14:paraId="40C4256D" w14:textId="3B41697F" w:rsidR="006A6913" w:rsidRPr="004A15CE" w:rsidRDefault="005641CF" w:rsidP="004A15CE">
            <w:pPr>
              <w:pStyle w:val="Akapitzlist"/>
              <w:numPr>
                <w:ilvl w:val="3"/>
                <w:numId w:val="6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a</w:t>
            </w:r>
            <w:r w:rsidR="00EA7951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flibercept</w:t>
            </w:r>
            <w:proofErr w:type="spellEnd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mg;</w:t>
            </w:r>
          </w:p>
          <w:p w14:paraId="1C11D2D1" w14:textId="18745901" w:rsidR="005641CF" w:rsidRPr="004A15CE" w:rsidRDefault="005641CF" w:rsidP="004A15CE">
            <w:pPr>
              <w:pStyle w:val="Akapitzlist"/>
              <w:numPr>
                <w:ilvl w:val="3"/>
                <w:numId w:val="6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8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mg;</w:t>
            </w:r>
          </w:p>
          <w:p w14:paraId="14CAFA31" w14:textId="77777777" w:rsidR="000F5E36" w:rsidRPr="004A15CE" w:rsidRDefault="000F5E36" w:rsidP="004A15CE">
            <w:pPr>
              <w:pStyle w:val="Akapitzlist"/>
              <w:numPr>
                <w:ilvl w:val="3"/>
                <w:numId w:val="6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brolucizumab</w:t>
            </w:r>
            <w:proofErr w:type="spellEnd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49ECE5AB" w14:textId="5426CDF2" w:rsidR="000F5E36" w:rsidRPr="003201D7" w:rsidRDefault="000F5E36" w:rsidP="004A15CE">
            <w:pPr>
              <w:pStyle w:val="Akapitzlist"/>
              <w:numPr>
                <w:ilvl w:val="3"/>
                <w:numId w:val="6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farycymab</w:t>
            </w:r>
            <w:proofErr w:type="spellEnd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4B150073" w14:textId="7393B128" w:rsidR="00EA7951" w:rsidRPr="003201D7" w:rsidRDefault="00EA7951" w:rsidP="004A15CE">
            <w:pPr>
              <w:pStyle w:val="Akapitzlist"/>
              <w:numPr>
                <w:ilvl w:val="3"/>
                <w:numId w:val="6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ranibizumab</w:t>
            </w:r>
            <w:proofErr w:type="spellEnd"/>
            <w:r w:rsidR="000F5E36"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F215889" w14:textId="77777777" w:rsidR="002F5F56" w:rsidRPr="003201D7" w:rsidRDefault="002F5F56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599423" w14:textId="78FF338D" w:rsidR="00EA7951" w:rsidRPr="003201D7" w:rsidRDefault="00EA7951" w:rsidP="004A15CE">
            <w:pPr>
              <w:pStyle w:val="Akapitzlist"/>
              <w:numPr>
                <w:ilvl w:val="0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41D49A3F" w14:textId="3C15DE00" w:rsidR="00EA7951" w:rsidRPr="003201D7" w:rsidRDefault="00EA7951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obecność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aktywnej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(pierwotnej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wtórnej),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klasycznej,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ukrytej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mieszanej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neowaskularyzacji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podsiatkówkowej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(CNV)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zajmującej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ponad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50%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zmiany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przebiegu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AMD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potwierdzona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(optycznej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koherentnej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tomografii)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angiografii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fluoresceinowej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badaniu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angio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-OCT;</w:t>
            </w:r>
          </w:p>
          <w:p w14:paraId="142E2AE5" w14:textId="060C1A6F" w:rsidR="00EA7951" w:rsidRPr="003201D7" w:rsidRDefault="00EA7951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wiek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45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4EE0" w:rsidRPr="003201D7">
              <w:rPr>
                <w:rFonts w:ascii="Times New Roman" w:hAnsi="Times New Roman"/>
                <w:sz w:val="20"/>
                <w:szCs w:val="20"/>
              </w:rPr>
              <w:t>lat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4EE0"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4EE0" w:rsidRPr="003201D7">
              <w:rPr>
                <w:rFonts w:ascii="Times New Roman" w:hAnsi="Times New Roman"/>
                <w:sz w:val="20"/>
                <w:szCs w:val="20"/>
              </w:rPr>
              <w:t>powyżej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A305C05" w14:textId="63428376" w:rsidR="00EA7951" w:rsidRPr="003201D7" w:rsidRDefault="00EA7951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wielkość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zmiany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mniejsza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12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(12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powierzchni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tarczy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nerwu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wzrokowego);</w:t>
            </w:r>
          </w:p>
          <w:p w14:paraId="3C471AF0" w14:textId="092619DB" w:rsidR="00EA7951" w:rsidRPr="003201D7" w:rsidRDefault="00EA7951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najlepsza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skorygowana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ostrość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(BCVA)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leczonym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0,2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0,8,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określona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tablicy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Snellena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odpowiednio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ekwiwalent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ETDRS);</w:t>
            </w:r>
          </w:p>
          <w:p w14:paraId="0EE12AFA" w14:textId="3EF56C34" w:rsidR="00EA7951" w:rsidRPr="003201D7" w:rsidRDefault="00EA7951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zgoda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iniekcji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doszklistkowych;</w:t>
            </w:r>
          </w:p>
          <w:p w14:paraId="5D32091E" w14:textId="5AC8CB15" w:rsidR="00BC5F49" w:rsidRPr="003201D7" w:rsidRDefault="00BC5F49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dominującego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zaniku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geograficznego;</w:t>
            </w:r>
          </w:p>
          <w:p w14:paraId="6394A89A" w14:textId="62385862" w:rsidR="00BC5F49" w:rsidRPr="003201D7" w:rsidRDefault="00BC5F49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dominującego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wylewu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krwi;</w:t>
            </w:r>
          </w:p>
          <w:p w14:paraId="5914FA94" w14:textId="3F74AF9E" w:rsidR="00BC5F49" w:rsidRPr="003201D7" w:rsidRDefault="00BC5F49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przed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istotnego,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trwałego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uszkodzenia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struktury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dołka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(istotne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uszkodzenie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struktury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jest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zdefiniowane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jako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obecne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zwłóknienie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atrofia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dołku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albo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istotna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przewlekła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tarczowata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blizna);</w:t>
            </w:r>
          </w:p>
          <w:p w14:paraId="4B0ED72A" w14:textId="3ABA3760" w:rsidR="003E457B" w:rsidRPr="003201D7" w:rsidRDefault="003E457B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przeciwwskazań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stwierdzonych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Koordynacyjny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oparciu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ChPL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wiedzę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medyczną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F7C54E6" w14:textId="3B155847" w:rsidR="00094AF0" w:rsidRPr="003201D7" w:rsidRDefault="002A61EC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zgoda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antykoncepcji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ChPL.</w:t>
            </w:r>
          </w:p>
          <w:p w14:paraId="3FE08512" w14:textId="0A3F2062" w:rsidR="00B6705B" w:rsidRPr="003201D7" w:rsidRDefault="004F31D3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Powyższe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AB6ED4" w:rsidRPr="003201D7">
              <w:rPr>
                <w:rFonts w:ascii="Times New Roman" w:hAnsi="Times New Roman" w:cs="Times New Roman"/>
                <w:sz w:val="20"/>
                <w:szCs w:val="20"/>
              </w:rPr>
              <w:t>ryteria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6ED4" w:rsidRPr="003201D7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6ED4" w:rsidRPr="003201D7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6ED4" w:rsidRPr="003201D7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6ED4" w:rsidRPr="003201D7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6ED4" w:rsidRPr="003201D7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</w:p>
          <w:p w14:paraId="227953A4" w14:textId="77777777" w:rsidR="00F35590" w:rsidRPr="003201D7" w:rsidRDefault="00F3559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4134E6" w14:textId="5D1EE6CE" w:rsidR="00B6705B" w:rsidRPr="003201D7" w:rsidRDefault="001C6EFE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wyłączeni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niego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49F5" w:rsidRPr="003201D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CE9" w:rsidRPr="003201D7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wprowadzeniem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rozpoczęli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wysiękowej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postaci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AMD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4A15CE">
              <w:rPr>
                <w:rFonts w:ascii="Times New Roman" w:hAnsi="Times New Roman" w:cs="Times New Roman"/>
                <w:sz w:val="20"/>
                <w:szCs w:val="20"/>
              </w:rPr>
              <w:t>iniekcjami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6705B" w:rsidRPr="004A15CE">
              <w:rPr>
                <w:rFonts w:ascii="Times New Roman" w:hAnsi="Times New Roman" w:cs="Times New Roman"/>
                <w:sz w:val="20"/>
                <w:szCs w:val="20"/>
              </w:rPr>
              <w:t>doszklistkowymi</w:t>
            </w:r>
            <w:proofErr w:type="spellEnd"/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56EE5" w:rsidRPr="004A15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afliberceptu</w:t>
            </w:r>
            <w:proofErr w:type="spellEnd"/>
            <w:r w:rsidR="005641CF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="00291E06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641CF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mg, </w:t>
            </w:r>
            <w:proofErr w:type="spellStart"/>
            <w:r w:rsidR="005641CF" w:rsidRPr="004A15CE">
              <w:rPr>
                <w:rFonts w:ascii="Times New Roman" w:hAnsi="Times New Roman" w:cs="Times New Roman"/>
                <w:sz w:val="20"/>
                <w:szCs w:val="20"/>
              </w:rPr>
              <w:t>afliberceptu</w:t>
            </w:r>
            <w:proofErr w:type="spellEnd"/>
            <w:r w:rsidR="005641CF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="00291E06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641CF" w:rsidRPr="004A15CE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456EE5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456EE5" w:rsidRPr="004A15CE">
              <w:rPr>
                <w:rFonts w:ascii="Times New Roman" w:hAnsi="Times New Roman" w:cs="Times New Roman"/>
                <w:sz w:val="20"/>
                <w:szCs w:val="20"/>
              </w:rPr>
              <w:t>brolucizumabu</w:t>
            </w:r>
            <w:proofErr w:type="spellEnd"/>
            <w:r w:rsidR="00456EE5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456EE5" w:rsidRPr="004A15CE">
              <w:rPr>
                <w:rFonts w:ascii="Times New Roman" w:hAnsi="Times New Roman" w:cs="Times New Roman"/>
                <w:sz w:val="20"/>
                <w:szCs w:val="20"/>
              </w:rPr>
              <w:t>farycymabu</w:t>
            </w:r>
            <w:proofErr w:type="spellEnd"/>
            <w:r w:rsidR="00456EE5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456EE5" w:rsidRPr="004A15CE">
              <w:rPr>
                <w:rFonts w:ascii="Times New Roman" w:hAnsi="Times New Roman" w:cs="Times New Roman"/>
                <w:sz w:val="20"/>
                <w:szCs w:val="20"/>
              </w:rPr>
              <w:t>ranibizumabu</w:t>
            </w:r>
            <w:proofErr w:type="spellEnd"/>
            <w:r w:rsidR="00B6705B" w:rsidRPr="004A15C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99714E0" w14:textId="6BCE61C3" w:rsidR="00B6705B" w:rsidRPr="003201D7" w:rsidRDefault="00B6705B" w:rsidP="004A15CE">
            <w:pPr>
              <w:pStyle w:val="Akapitzlist"/>
              <w:numPr>
                <w:ilvl w:val="4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ramach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świadczeń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gwarantowanych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rozliczanych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491E" w:rsidRPr="003201D7">
              <w:rPr>
                <w:rFonts w:ascii="Times New Roman" w:hAnsi="Times New Roman"/>
                <w:sz w:val="20"/>
                <w:szCs w:val="20"/>
              </w:rPr>
              <w:t>JGP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B84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-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małe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zabiegi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witreoretinalne</w:t>
            </w:r>
            <w:proofErr w:type="spellEnd"/>
          </w:p>
          <w:p w14:paraId="7408AD7D" w14:textId="6868F7ED" w:rsidR="00B6705B" w:rsidRPr="003201D7" w:rsidRDefault="00B6705B" w:rsidP="004A15CE">
            <w:pPr>
              <w:pStyle w:val="Akapitzlist"/>
              <w:spacing w:before="0" w:after="60" w:line="276" w:lineRule="auto"/>
              <w:ind w:left="454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BF485A1" w14:textId="3C481636" w:rsidR="00B6705B" w:rsidRPr="003201D7" w:rsidRDefault="00B6705B" w:rsidP="004A15CE">
            <w:pPr>
              <w:pStyle w:val="Akapitzlist"/>
              <w:numPr>
                <w:ilvl w:val="4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świadczeniodawców,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którzy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posiadali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umowy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udzielanie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świadczeń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opieki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zdrowotnej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finansowanych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środków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publicznych</w:t>
            </w:r>
          </w:p>
          <w:p w14:paraId="5FA738F7" w14:textId="218ACC7C" w:rsidR="00B6705B" w:rsidRPr="003201D7" w:rsidRDefault="00C9292F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włączenia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programu.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wykazano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czasie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wtedy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terapia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powinna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kontynuowana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05B" w:rsidRPr="003201D7">
              <w:rPr>
                <w:rFonts w:ascii="Times New Roman" w:hAnsi="Times New Roman" w:cs="Times New Roman"/>
                <w:sz w:val="20"/>
                <w:szCs w:val="20"/>
              </w:rPr>
              <w:t>programu.</w:t>
            </w:r>
          </w:p>
          <w:p w14:paraId="224822A2" w14:textId="77777777" w:rsidR="00F35590" w:rsidRPr="003201D7" w:rsidRDefault="00F3559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40ADC6" w14:textId="36DDFFC4" w:rsidR="00B6705B" w:rsidRPr="003201D7" w:rsidRDefault="00B6705B" w:rsidP="004A15CE">
            <w:pPr>
              <w:pStyle w:val="Akapitzlist"/>
              <w:numPr>
                <w:ilvl w:val="0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Określenie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czasu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  <w:p w14:paraId="4FAC664B" w14:textId="57ACDE65" w:rsidR="00B6705B" w:rsidRPr="003201D7" w:rsidRDefault="00B6705B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wyłączenia.</w:t>
            </w:r>
          </w:p>
          <w:p w14:paraId="4FD08C44" w14:textId="77777777" w:rsidR="00554503" w:rsidRPr="003201D7" w:rsidRDefault="00554503" w:rsidP="004A15CE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01D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Ponownego włączenia do leczenia dokonuje lekarz prowadzący na podstawie kryteriów włączenia.</w:t>
            </w:r>
          </w:p>
          <w:p w14:paraId="347EB2F2" w14:textId="77777777" w:rsidR="00F35590" w:rsidRPr="003201D7" w:rsidRDefault="00F3559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064BF2" w14:textId="68D14148" w:rsidR="00B6705B" w:rsidRPr="003201D7" w:rsidRDefault="00B6705B" w:rsidP="004A15CE">
            <w:pPr>
              <w:pStyle w:val="Akapitzlist"/>
              <w:numPr>
                <w:ilvl w:val="0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wyłączenia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4E0A2AED" w14:textId="68C65F98" w:rsidR="00B6705B" w:rsidRPr="003201D7" w:rsidRDefault="00B6705B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udokumentowana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progresja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trakcie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stosowania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definiowana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jako:</w:t>
            </w:r>
          </w:p>
          <w:p w14:paraId="771D9705" w14:textId="59103617" w:rsidR="00B6705B" w:rsidRPr="003201D7" w:rsidRDefault="00B6705B" w:rsidP="004A15CE">
            <w:pPr>
              <w:pStyle w:val="Akapitzlist"/>
              <w:numPr>
                <w:ilvl w:val="4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pogorszenie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najlepszej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skorygowanej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(BCVA)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wartości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&lt;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0,2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określonej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tablicy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Snellena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odpowiednio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ekwiwalent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ETDRS)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utrzymujące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dłużej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miesiące</w:t>
            </w:r>
          </w:p>
          <w:p w14:paraId="45379241" w14:textId="77777777" w:rsidR="00B6705B" w:rsidRPr="003201D7" w:rsidRDefault="00B6705B" w:rsidP="004A15CE">
            <w:pPr>
              <w:pStyle w:val="Akapitzlist"/>
              <w:spacing w:before="0" w:after="60" w:line="276" w:lineRule="auto"/>
              <w:ind w:left="454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7FF28FC4" w14:textId="319948A6" w:rsidR="00B6705B" w:rsidRPr="003201D7" w:rsidRDefault="00B6705B" w:rsidP="004A15CE">
            <w:pPr>
              <w:pStyle w:val="Akapitzlist"/>
              <w:numPr>
                <w:ilvl w:val="4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obecność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trwałego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uszkodzenia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struktury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dołka,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uniemożliwia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uzyskanie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stabilizacji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poprawy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czynnościowej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(istotne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uszkodzenie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struktury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jest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zdefiniowane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jako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obecne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zwłóknienie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atrofia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dołku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albo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istotna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przewlekła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tarczowata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blizna);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83C1940" w14:textId="78F45142" w:rsidR="0000026F" w:rsidRPr="003201D7" w:rsidRDefault="0000026F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nadwrażliwości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którąkolwiek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czynną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pomocniczą;</w:t>
            </w:r>
          </w:p>
          <w:p w14:paraId="631658D6" w14:textId="0BC357AD" w:rsidR="0000026F" w:rsidRPr="003201D7" w:rsidRDefault="0000026F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działań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niepożądanych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związanych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lekiem,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opinii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Koordynacyjnego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uniemożliwiają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dalsze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71B1F410" w14:textId="7FD25687" w:rsidR="00BC5F49" w:rsidRPr="003201D7" w:rsidRDefault="00BC5F49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czynne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zakażenie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okolic;</w:t>
            </w:r>
          </w:p>
          <w:p w14:paraId="52ECF87B" w14:textId="176761D5" w:rsidR="00BC5F49" w:rsidRPr="003201D7" w:rsidRDefault="00BC5F49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czynne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ciężkie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zapalenie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wnętrza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gałki;</w:t>
            </w:r>
          </w:p>
          <w:p w14:paraId="68056B76" w14:textId="555F59D9" w:rsidR="00BC5F49" w:rsidRPr="003201D7" w:rsidRDefault="00BC5F49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przedarciowe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odwarstwienie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otwór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plamce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3.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4.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stopnia;</w:t>
            </w:r>
          </w:p>
          <w:p w14:paraId="7D2A56E7" w14:textId="1E756FCC" w:rsidR="00B6705B" w:rsidRPr="003201D7" w:rsidRDefault="00B6705B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C5F49" w:rsidRPr="003201D7">
              <w:rPr>
                <w:rFonts w:ascii="Times New Roman" w:hAnsi="Times New Roman"/>
                <w:sz w:val="20"/>
                <w:szCs w:val="20"/>
              </w:rPr>
              <w:t>innych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stanów,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opinii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Koordynacyjnego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uniemożliwiają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dalsze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0B443CC9" w14:textId="255FF9D0" w:rsidR="00B6705B" w:rsidRPr="003201D7" w:rsidRDefault="00B6705B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toksyczności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wymagającej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zakończenia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opinii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Koordynacyjnego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aktualnie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obowiązującą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ChPL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wiedzą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medyczną</w:t>
            </w:r>
            <w:r w:rsidR="00A849F5"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A20BEBD" w14:textId="76D85BBB" w:rsidR="00B6705B" w:rsidRPr="004A15CE" w:rsidRDefault="00B6705B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okres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ciąży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karmienia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piersią;</w:t>
            </w:r>
          </w:p>
          <w:p w14:paraId="1EDD5E1A" w14:textId="11676338" w:rsidR="00410457" w:rsidRPr="004A15CE" w:rsidRDefault="00B6705B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4A15CE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aktywnego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postaci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podawania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iniekcji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afliberceptu</w:t>
            </w:r>
            <w:proofErr w:type="spellEnd"/>
            <w:r w:rsidR="008C745B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8C745B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="00805825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lub </w:t>
            </w:r>
            <w:proofErr w:type="spellStart"/>
            <w:r w:rsidR="00805825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afliberceptu</w:t>
            </w:r>
            <w:proofErr w:type="spellEnd"/>
            <w:r w:rsidR="00805825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8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805825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="008C745B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0F5E3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brolucizumabu</w:t>
            </w:r>
            <w:proofErr w:type="spellEnd"/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5E36" w:rsidRPr="004A15CE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0F5E3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farycymabu</w:t>
            </w:r>
            <w:proofErr w:type="spellEnd"/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5E36" w:rsidRPr="004A15CE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ranibizumabu</w:t>
            </w:r>
            <w:proofErr w:type="spellEnd"/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10457" w:rsidRPr="004A15CE">
              <w:rPr>
                <w:rFonts w:ascii="Times New Roman" w:hAnsi="Times New Roman"/>
                <w:sz w:val="20"/>
                <w:szCs w:val="20"/>
              </w:rPr>
              <w:t xml:space="preserve">w okresie </w:t>
            </w:r>
            <w:r w:rsidR="00805825" w:rsidRPr="004A15CE">
              <w:rPr>
                <w:rFonts w:ascii="Times New Roman" w:hAnsi="Times New Roman"/>
                <w:sz w:val="20"/>
                <w:szCs w:val="20"/>
              </w:rPr>
              <w:t xml:space="preserve">5 </w:t>
            </w:r>
            <w:r w:rsidR="00410457" w:rsidRPr="004A15CE">
              <w:rPr>
                <w:rFonts w:ascii="Times New Roman" w:hAnsi="Times New Roman"/>
                <w:sz w:val="20"/>
                <w:szCs w:val="20"/>
              </w:rPr>
              <w:t>miesięcy od podania ostatniej dawki leku</w:t>
            </w:r>
            <w:r w:rsidR="00291E06" w:rsidRPr="004A15CE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9C4D01F" w14:textId="0318A857" w:rsidR="00B6705B" w:rsidRPr="003201D7" w:rsidRDefault="00B6705B" w:rsidP="004A15CE">
            <w:pPr>
              <w:pStyle w:val="Akapitzlist"/>
              <w:numPr>
                <w:ilvl w:val="3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4A15CE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współpracy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chorego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lekarzem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prowadzącym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D24B53E" w14:textId="11BE63CA" w:rsidR="00B6705B" w:rsidRPr="003201D7" w:rsidRDefault="00B6705B" w:rsidP="004A15CE">
            <w:pPr>
              <w:pStyle w:val="Akapitzlist"/>
              <w:numPr>
                <w:ilvl w:val="4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niestosowanie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zaleceń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(uchylanie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wykonywania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laboratoryjnych)</w:t>
            </w:r>
            <w:r w:rsidR="00C9292F" w:rsidRPr="003201D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317B6EE" w14:textId="0C2E4AE6" w:rsidR="00207D07" w:rsidRPr="003201D7" w:rsidRDefault="00207D07" w:rsidP="004A15CE">
            <w:pPr>
              <w:pStyle w:val="Akapitzlist"/>
              <w:numPr>
                <w:ilvl w:val="4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nieregularne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przyjmowanie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(pominięcie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kolejnych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dawek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leku)</w:t>
            </w:r>
            <w:r w:rsidR="00C9292F" w:rsidRPr="003201D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ED2C113" w14:textId="38AF17E8" w:rsidR="00EA7951" w:rsidRPr="003201D7" w:rsidRDefault="00B6705B" w:rsidP="004A15CE">
            <w:pPr>
              <w:pStyle w:val="Akapitzlist"/>
              <w:numPr>
                <w:ilvl w:val="4"/>
                <w:numId w:val="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współpracy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monitorowaniu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(niezgłaszanie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powodów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nieuzasadnionych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określone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kolejne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punkty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kontrolne</w:t>
            </w:r>
            <w:r w:rsidR="00207D07" w:rsidRPr="003201D7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6C48CCB2" w14:textId="0E200B6C" w:rsidR="00F35590" w:rsidRPr="003201D7" w:rsidRDefault="00F35590" w:rsidP="00BC5F4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7C5E" w14:textId="77777777" w:rsidR="006A6913" w:rsidRPr="003201D7" w:rsidRDefault="00207D07" w:rsidP="00273287">
            <w:pPr>
              <w:pStyle w:val="Akapitzlist"/>
              <w:numPr>
                <w:ilvl w:val="0"/>
                <w:numId w:val="8"/>
              </w:numPr>
              <w:spacing w:before="12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37E24BE2" w14:textId="1AC4516E" w:rsidR="00981CE9" w:rsidRPr="004A15CE" w:rsidRDefault="00981CE9" w:rsidP="004A15CE">
            <w:pPr>
              <w:pStyle w:val="Akapitzlist"/>
              <w:numPr>
                <w:ilvl w:val="1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Zalecane</w:t>
            </w:r>
            <w:r w:rsidR="0098284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dawki</w:t>
            </w:r>
            <w:r w:rsidR="0098284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na</w:t>
            </w:r>
            <w:r w:rsidR="0098284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jedno</w:t>
            </w:r>
            <w:r w:rsidR="0098284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wstrzyknię</w:t>
            </w:r>
            <w:r w:rsidR="005641CF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c</w:t>
            </w: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ie</w:t>
            </w:r>
            <w:r w:rsidR="0098284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doszklistkowe</w:t>
            </w:r>
            <w:r w:rsidR="0098284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0F5E36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to</w:t>
            </w:r>
            <w:r w:rsidR="005641CF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: </w:t>
            </w:r>
          </w:p>
          <w:p w14:paraId="7F85ED7F" w14:textId="3EE5F48B" w:rsidR="00981CE9" w:rsidRPr="004A15CE" w:rsidRDefault="00981CE9" w:rsidP="004A15CE">
            <w:pPr>
              <w:pStyle w:val="Akapitzlist"/>
              <w:numPr>
                <w:ilvl w:val="3"/>
                <w:numId w:val="1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mg</w:t>
            </w:r>
            <w:r w:rsidR="000F5E36" w:rsidRPr="004A15CE">
              <w:rPr>
                <w:rFonts w:ascii="Times New Roman" w:hAnsi="Times New Roman"/>
                <w:sz w:val="20"/>
                <w:szCs w:val="20"/>
              </w:rPr>
              <w:t>;</w:t>
            </w:r>
            <w:r w:rsidR="005641CF" w:rsidRPr="004A15CE">
              <w:rPr>
                <w:rFonts w:ascii="Times New Roman" w:hAnsi="Times New Roman"/>
                <w:sz w:val="20"/>
                <w:szCs w:val="20"/>
              </w:rPr>
              <w:t xml:space="preserve"> co odpowiada 50 µl roztworu (0,05 ml);</w:t>
            </w:r>
          </w:p>
          <w:p w14:paraId="16E33FFB" w14:textId="21871FB3" w:rsidR="005641CF" w:rsidRPr="004A15CE" w:rsidRDefault="005641CF" w:rsidP="004A15CE">
            <w:pPr>
              <w:pStyle w:val="Akapitzlist"/>
              <w:numPr>
                <w:ilvl w:val="3"/>
                <w:numId w:val="1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sz w:val="20"/>
                <w:szCs w:val="20"/>
              </w:rPr>
              <w:t>aflibercept</w:t>
            </w:r>
            <w:proofErr w:type="spellEnd"/>
            <w:r w:rsidRPr="004A15CE">
              <w:rPr>
                <w:rFonts w:ascii="Times New Roman" w:hAnsi="Times New Roman"/>
                <w:sz w:val="20"/>
                <w:szCs w:val="20"/>
              </w:rPr>
              <w:t xml:space="preserve"> 8</w:t>
            </w:r>
            <w:r w:rsidR="003201D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mg; co odpowiada 70 µl roztworu (0,07ml);</w:t>
            </w:r>
          </w:p>
          <w:p w14:paraId="4B667BCC" w14:textId="77777777" w:rsidR="005641CF" w:rsidRPr="004A15CE" w:rsidRDefault="000F5E36" w:rsidP="004A15CE">
            <w:pPr>
              <w:pStyle w:val="Akapitzlist"/>
              <w:numPr>
                <w:ilvl w:val="3"/>
                <w:numId w:val="1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brolucizumab</w:t>
            </w:r>
            <w:proofErr w:type="spellEnd"/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6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mg;</w:t>
            </w:r>
            <w:r w:rsidR="005641CF" w:rsidRPr="004A15CE">
              <w:rPr>
                <w:rFonts w:ascii="Times New Roman" w:hAnsi="Times New Roman"/>
                <w:sz w:val="20"/>
                <w:szCs w:val="20"/>
              </w:rPr>
              <w:t xml:space="preserve"> co odpowiada 50 µl roztworu (0,05 ml);</w:t>
            </w:r>
          </w:p>
          <w:p w14:paraId="6EB9055E" w14:textId="77777777" w:rsidR="005641CF" w:rsidRPr="004A15CE" w:rsidRDefault="000F5E36" w:rsidP="004A15CE">
            <w:pPr>
              <w:pStyle w:val="Akapitzlist"/>
              <w:numPr>
                <w:ilvl w:val="3"/>
                <w:numId w:val="1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farycymab</w:t>
            </w:r>
            <w:proofErr w:type="spellEnd"/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6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mg;</w:t>
            </w:r>
            <w:r w:rsidR="005641CF" w:rsidRPr="004A15CE">
              <w:rPr>
                <w:rFonts w:ascii="Times New Roman" w:hAnsi="Times New Roman"/>
                <w:sz w:val="20"/>
                <w:szCs w:val="20"/>
              </w:rPr>
              <w:t xml:space="preserve"> co odpowiada 50 µl roztworu (0,05 ml);</w:t>
            </w:r>
          </w:p>
          <w:p w14:paraId="4FF51D84" w14:textId="47AAF886" w:rsidR="00981CE9" w:rsidRPr="004A15CE" w:rsidRDefault="00981CE9" w:rsidP="004A15CE">
            <w:pPr>
              <w:pStyle w:val="Akapitzlist"/>
              <w:numPr>
                <w:ilvl w:val="3"/>
                <w:numId w:val="1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ranibizumab</w:t>
            </w:r>
            <w:proofErr w:type="spellEnd"/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0,5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mg</w:t>
            </w:r>
            <w:r w:rsidR="005641CF" w:rsidRPr="004A15CE">
              <w:rPr>
                <w:rFonts w:ascii="Times New Roman" w:hAnsi="Times New Roman"/>
                <w:sz w:val="20"/>
                <w:szCs w:val="20"/>
              </w:rPr>
              <w:t>, co odpowiada 50 µl roztworu (0,05 ml);</w:t>
            </w:r>
          </w:p>
          <w:p w14:paraId="4C7B4287" w14:textId="77777777" w:rsidR="00F35590" w:rsidRPr="003201D7" w:rsidRDefault="00F3559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339FE8" w14:textId="1092290A" w:rsidR="00981CE9" w:rsidRPr="003201D7" w:rsidRDefault="00981CE9" w:rsidP="004A15CE">
            <w:pPr>
              <w:pStyle w:val="Akapitzlist"/>
              <w:numPr>
                <w:ilvl w:val="1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Rozpoczęcie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faza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nasycająca</w:t>
            </w:r>
          </w:p>
          <w:p w14:paraId="3B8A6252" w14:textId="468A2DBE" w:rsidR="00981CE9" w:rsidRPr="004A15CE" w:rsidRDefault="00D6087F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Jedna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CE9" w:rsidRPr="004A15CE">
              <w:rPr>
                <w:rFonts w:ascii="Times New Roman" w:hAnsi="Times New Roman" w:cs="Times New Roman"/>
                <w:sz w:val="20"/>
                <w:szCs w:val="20"/>
              </w:rPr>
              <w:t>iniekcja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CE9" w:rsidRPr="004A15C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CE9" w:rsidRPr="004A15CE">
              <w:rPr>
                <w:rFonts w:ascii="Times New Roman" w:hAnsi="Times New Roman" w:cs="Times New Roman"/>
                <w:sz w:val="20"/>
                <w:szCs w:val="20"/>
              </w:rPr>
              <w:t>odstępach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CE9" w:rsidRPr="004A15CE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CE9" w:rsidRPr="004A15C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CE9" w:rsidRPr="004A15CE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CE9" w:rsidRPr="004A15CE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1CE9" w:rsidRPr="004A15CE">
              <w:rPr>
                <w:rFonts w:ascii="Times New Roman" w:hAnsi="Times New Roman" w:cs="Times New Roman"/>
                <w:sz w:val="20"/>
                <w:szCs w:val="20"/>
              </w:rPr>
              <w:t>przez:</w:t>
            </w:r>
          </w:p>
          <w:p w14:paraId="46EAB1DD" w14:textId="60D73118" w:rsidR="00981CE9" w:rsidRPr="004A15CE" w:rsidRDefault="00981CE9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4A15CE">
              <w:rPr>
                <w:rFonts w:ascii="Times New Roman" w:hAnsi="Times New Roman"/>
                <w:sz w:val="20"/>
                <w:szCs w:val="20"/>
              </w:rPr>
              <w:t>3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kolejne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miesiące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="005641CF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5641CF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mg, </w:t>
            </w:r>
            <w:proofErr w:type="spellStart"/>
            <w:r w:rsidR="005641CF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="005641CF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8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5641CF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,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brolucizumab</w:t>
            </w:r>
            <w:proofErr w:type="spellEnd"/>
            <w:r w:rsidR="002D11A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="002D11A6">
              <w:rPr>
                <w:rFonts w:ascii="Times New Roman" w:hAnsi="Times New Roman"/>
                <w:i/>
                <w:iCs/>
                <w:sz w:val="20"/>
                <w:szCs w:val="20"/>
              </w:rPr>
              <w:t>farycymab</w:t>
            </w:r>
            <w:proofErr w:type="spellEnd"/>
            <w:r w:rsidR="002D11A6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78273B10" w14:textId="1153A6E0" w:rsidR="00FB7843" w:rsidRPr="003201D7" w:rsidRDefault="00981CE9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czasu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uzyskania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maksymalnej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braku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cech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tj.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braku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zmian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ostrości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oraz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przedmiotowych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podczas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kontynuowania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ranibizumab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11D4313" w14:textId="77777777" w:rsidR="00F35590" w:rsidRPr="003201D7" w:rsidRDefault="00F35590" w:rsidP="004A15CE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CE87E8" w14:textId="0F35A809" w:rsidR="00981CE9" w:rsidRPr="003201D7" w:rsidRDefault="00981CE9" w:rsidP="004A15CE">
            <w:pPr>
              <w:pStyle w:val="Akapitzlist"/>
              <w:numPr>
                <w:ilvl w:val="1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Faza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podtrzymująca</w:t>
            </w:r>
          </w:p>
          <w:p w14:paraId="0440D136" w14:textId="41CA83FA" w:rsidR="00981CE9" w:rsidRPr="004A15CE" w:rsidRDefault="00981CE9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Schemat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dawkowania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ustalany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5590" w:rsidRPr="003201D7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indywidualnie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prowadzącego,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zasadą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„</w:t>
            </w:r>
            <w:proofErr w:type="spellStart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treat</w:t>
            </w:r>
            <w:proofErr w:type="spellEnd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-and-</w:t>
            </w:r>
            <w:proofErr w:type="spellStart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extend</w:t>
            </w:r>
            <w:proofErr w:type="spellEnd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Odstępy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między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podaniami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mogą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skracane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wydłużane,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tak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aby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podtrzymać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parametrów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wzrokowych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anatomicznych,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poniższymi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zapisami:</w:t>
            </w:r>
          </w:p>
          <w:p w14:paraId="34A0157E" w14:textId="1394E7B8" w:rsidR="00FE7ED7" w:rsidRPr="004A15CE" w:rsidRDefault="00981CE9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="00982847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5641CF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2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5641CF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iniekcje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odstępach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0066B" w:rsidRPr="004A15CE">
              <w:rPr>
                <w:rFonts w:ascii="Times New Roman" w:hAnsi="Times New Roman"/>
                <w:sz w:val="20"/>
                <w:szCs w:val="20"/>
              </w:rPr>
              <w:t>co 8 tygodni, ale nie później niż 7 dni po upływie tego terminu,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jednorazowo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odstęp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można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wydłużyć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0066B" w:rsidRPr="004A15CE">
              <w:rPr>
                <w:rFonts w:ascii="Times New Roman" w:hAnsi="Times New Roman"/>
                <w:sz w:val="20"/>
                <w:szCs w:val="20"/>
              </w:rPr>
              <w:t xml:space="preserve">lub skrócić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o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4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tygodnie</w:t>
            </w:r>
            <w:r w:rsidR="00C9292F" w:rsidRPr="004A15CE">
              <w:rPr>
                <w:rFonts w:ascii="Times New Roman" w:hAnsi="Times New Roman"/>
                <w:sz w:val="20"/>
                <w:szCs w:val="20"/>
              </w:rPr>
              <w:t>;</w:t>
            </w:r>
            <w:r w:rsidR="0000066B" w:rsidRPr="004A15CE">
              <w:rPr>
                <w:rFonts w:ascii="Times New Roman" w:hAnsi="Times New Roman"/>
                <w:sz w:val="20"/>
                <w:szCs w:val="20"/>
              </w:rPr>
              <w:t xml:space="preserve"> minimalny odstęp między iniekcjami wynosi 4 tygodnie, a maksymalny 16 tygodni;</w:t>
            </w:r>
          </w:p>
          <w:p w14:paraId="1F0D2636" w14:textId="3B9B185F" w:rsidR="005641CF" w:rsidRPr="004A15CE" w:rsidRDefault="005641CF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8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="00291E06"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291E06" w:rsidRPr="004A15CE">
              <w:rPr>
                <w:rFonts w:ascii="Times New Roman" w:hAnsi="Times New Roman"/>
                <w:sz w:val="20"/>
                <w:szCs w:val="20"/>
              </w:rPr>
              <w:t xml:space="preserve">–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 xml:space="preserve">iniekcje wykonuje się w odstępach minimum co 8 tygodni </w:t>
            </w:r>
            <w:r w:rsidR="00805825" w:rsidRPr="004A15CE">
              <w:rPr>
                <w:rFonts w:ascii="Times New Roman" w:hAnsi="Times New Roman"/>
                <w:sz w:val="20"/>
                <w:szCs w:val="20"/>
              </w:rPr>
              <w:t>z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 xml:space="preserve"> maks</w:t>
            </w:r>
            <w:r w:rsidR="00805825" w:rsidRPr="004A15CE">
              <w:rPr>
                <w:rFonts w:ascii="Times New Roman" w:hAnsi="Times New Roman"/>
                <w:sz w:val="20"/>
                <w:szCs w:val="20"/>
              </w:rPr>
              <w:t>ymalnym wydłużeniem do 20 tygodni u pacjentów bez aktywności choroby</w:t>
            </w:r>
            <w:r w:rsidR="00291E06" w:rsidRPr="004A15CE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8C1029E" w14:textId="5C3D9133" w:rsidR="000F5E36" w:rsidRPr="003201D7" w:rsidRDefault="000F5E36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A15CE">
              <w:rPr>
                <w:rFonts w:ascii="Times New Roman" w:hAnsi="Times New Roman"/>
                <w:i/>
                <w:iCs/>
                <w:sz w:val="20"/>
                <w:szCs w:val="20"/>
              </w:rPr>
              <w:t>brolucizumab</w:t>
            </w:r>
            <w:proofErr w:type="spellEnd"/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iniekcje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odstępach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73287" w:rsidRPr="004A15CE">
              <w:rPr>
                <w:rFonts w:ascii="Times New Roman" w:hAnsi="Times New Roman"/>
                <w:sz w:val="20"/>
                <w:szCs w:val="20"/>
              </w:rPr>
              <w:t xml:space="preserve">minimum co 8 tygodni i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maksimum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12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tygodni,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ale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nie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później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niż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7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dni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po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upływie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terminu;</w:t>
            </w:r>
          </w:p>
          <w:p w14:paraId="0F8E2A2A" w14:textId="05ED0388" w:rsidR="000F5E36" w:rsidRPr="003201D7" w:rsidRDefault="00273287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farycymab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 xml:space="preserve"> – iniekcje wykonuje się co 16 tygodni (u pacjentów bez aktywności choroby) lub 8 lub 12 tygodni (u pacjentów z aktywnością choroby), jednorazowo odstęp między dawkami można zwiększać do maksymalnie 16 tygodni i skracać minimalnie do 8 tygodni</w:t>
            </w:r>
            <w:r w:rsidR="000F5E36"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7C34476" w14:textId="1692261B" w:rsidR="00981CE9" w:rsidRPr="003201D7" w:rsidRDefault="00981CE9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lastRenderedPageBreak/>
              <w:t>ranibizumab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iniekcje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odstępach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4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tygodnie,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jednorazowo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odstęp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można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wydłużyć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4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tygodnie</w:t>
            </w:r>
            <w:r w:rsidR="000F5E36"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FCF757B" w14:textId="77777777" w:rsidR="00BC5F49" w:rsidRPr="003201D7" w:rsidRDefault="00BC5F49" w:rsidP="004A15CE">
            <w:pPr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541E955" w14:textId="375A55CF" w:rsidR="00C9292F" w:rsidRPr="003201D7" w:rsidRDefault="00C9292F" w:rsidP="004A15CE">
            <w:pPr>
              <w:pStyle w:val="Akapitzlist"/>
              <w:numPr>
                <w:ilvl w:val="1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Kontynuacja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4C491E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terapii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rozpoczętej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2A6CE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poza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2A6CE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programem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30A68DFB" w14:textId="13634181" w:rsidR="00981CE9" w:rsidRPr="003201D7" w:rsidRDefault="00981CE9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zakwalifikowanych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rozpoczęli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źródła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finansowania,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schemat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dawkowania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dostosować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etapu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jakim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znajduje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pacjent.</w:t>
            </w:r>
          </w:p>
          <w:p w14:paraId="715C5663" w14:textId="77777777" w:rsidR="00F35590" w:rsidRPr="003201D7" w:rsidRDefault="00F3559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C09C8" w14:textId="38895601" w:rsidR="009357CD" w:rsidRPr="003201D7" w:rsidRDefault="009357CD" w:rsidP="004A15CE">
            <w:pPr>
              <w:pStyle w:val="Akapitzlist"/>
              <w:numPr>
                <w:ilvl w:val="1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Wstrzymanie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podawania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leku</w:t>
            </w:r>
          </w:p>
          <w:p w14:paraId="632FFACC" w14:textId="1BAA40E7" w:rsidR="009357CD" w:rsidRPr="003201D7" w:rsidRDefault="009357CD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Podawanie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odroczyć,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wystąpi:</w:t>
            </w:r>
          </w:p>
          <w:p w14:paraId="42B54657" w14:textId="68FC710B" w:rsidR="009357CD" w:rsidRPr="003201D7" w:rsidRDefault="009357CD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ciśnienie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śródgałkowe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≥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30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mmHg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(utrzymujące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pomimo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leczenia);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F585677" w14:textId="3487CCEC" w:rsidR="009357CD" w:rsidRPr="003201D7" w:rsidRDefault="009357CD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rozerwanie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siatkówki;</w:t>
            </w:r>
          </w:p>
          <w:p w14:paraId="3AF9EB6C" w14:textId="7AE29DB6" w:rsidR="009357CD" w:rsidRPr="003201D7" w:rsidRDefault="009357CD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wylew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podsiatkówkowy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obejmujący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centrum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dołka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jeśli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wielkość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wylewu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wynosi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≥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50%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całkowitej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powierzchni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zmiany;</w:t>
            </w:r>
          </w:p>
          <w:p w14:paraId="20C9600F" w14:textId="4741B2D7" w:rsidR="009357CD" w:rsidRPr="003201D7" w:rsidRDefault="009357CD" w:rsidP="004A15CE">
            <w:pPr>
              <w:pStyle w:val="Akapitzlist"/>
              <w:numPr>
                <w:ilvl w:val="3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przeprowadzenie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planowanie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operacji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wewnątrzgałkowej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długości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okresu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wstrzymania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podawania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operacją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decyduje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prowadzący);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AFF6C5A" w14:textId="339DA6A2" w:rsidR="009357CD" w:rsidRPr="003201D7" w:rsidRDefault="00F3559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terminie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kolejnej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odroczeniu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decyduje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lekarz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prowadzący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zastrzeżeniem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57CD" w:rsidRPr="003201D7">
              <w:rPr>
                <w:rFonts w:ascii="Times New Roman" w:hAnsi="Times New Roman" w:cs="Times New Roman"/>
                <w:sz w:val="20"/>
                <w:szCs w:val="20"/>
              </w:rPr>
              <w:t>programu.</w:t>
            </w:r>
          </w:p>
          <w:p w14:paraId="4C8ECE9C" w14:textId="77777777" w:rsidR="00645165" w:rsidRPr="003201D7" w:rsidRDefault="00645165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476320" w14:textId="4C166CED" w:rsidR="009357CD" w:rsidRPr="004A15CE" w:rsidRDefault="009357CD" w:rsidP="004A15CE">
            <w:pPr>
              <w:pStyle w:val="Akapitzlist"/>
              <w:numPr>
                <w:ilvl w:val="1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Zmiana</w:t>
            </w:r>
            <w:r w:rsidR="0098284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03D0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leku</w:t>
            </w:r>
            <w:r w:rsidR="008C745B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lub </w:t>
            </w:r>
            <w:r w:rsidR="00503D0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dawki leku</w:t>
            </w:r>
            <w:r w:rsidR="0098284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982847"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  <w:p w14:paraId="16B29799" w14:textId="06EE5C1F" w:rsidR="009357CD" w:rsidRPr="003201D7" w:rsidRDefault="009357CD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braku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dotychczasowej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982847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745B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lub celem zwiększenia odstępu pomiędzy iniekcjami </w:t>
            </w: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lekarz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prowadzący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zmienić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dotychczas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podawany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(pod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warunkiem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niespełnienia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programu)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inną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substancją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czynną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finansowaną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jednak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iniekcjach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samego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leku:</w:t>
            </w:r>
          </w:p>
          <w:p w14:paraId="5C6E7B4F" w14:textId="4E5EC332" w:rsidR="009357CD" w:rsidRPr="003201D7" w:rsidRDefault="009357CD" w:rsidP="004A15CE">
            <w:pPr>
              <w:pStyle w:val="Akapitzlist"/>
              <w:numPr>
                <w:ilvl w:val="4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podanych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ramach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lekowego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nowych,</w:t>
            </w:r>
          </w:p>
          <w:p w14:paraId="59D1045E" w14:textId="4802BD0B" w:rsidR="009D1511" w:rsidRPr="004A15CE" w:rsidRDefault="009357CD" w:rsidP="004A15CE">
            <w:pPr>
              <w:pStyle w:val="Akapitzlist"/>
              <w:numPr>
                <w:ilvl w:val="4"/>
                <w:numId w:val="8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łącznie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292F" w:rsidRPr="003201D7">
              <w:rPr>
                <w:rFonts w:ascii="Times New Roman" w:hAnsi="Times New Roman"/>
                <w:sz w:val="20"/>
                <w:szCs w:val="20"/>
              </w:rPr>
              <w:t>od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292F" w:rsidRPr="003201D7">
              <w:rPr>
                <w:rFonts w:ascii="Times New Roman" w:hAnsi="Times New Roman"/>
                <w:sz w:val="20"/>
                <w:szCs w:val="20"/>
              </w:rPr>
              <w:t>początku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9292F" w:rsidRPr="003201D7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zakwalifikowanych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włączenia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leczonych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uprzednio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ramach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jednorodnych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grup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świadczeniodawców,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którzy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posiadali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umowy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udzielanie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świadczeń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opieki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zdrowotnej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finansowanych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ze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środków</w:t>
            </w:r>
            <w:r w:rsidR="00982847" w:rsidRPr="004A15C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15CE">
              <w:rPr>
                <w:rFonts w:ascii="Times New Roman" w:hAnsi="Times New Roman"/>
                <w:sz w:val="20"/>
                <w:szCs w:val="20"/>
              </w:rPr>
              <w:t>publicznych.</w:t>
            </w:r>
          </w:p>
          <w:p w14:paraId="5E5333D0" w14:textId="5E64B6F0" w:rsidR="00291E06" w:rsidRPr="004A15CE" w:rsidRDefault="00645165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C745B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przypadku </w:t>
            </w:r>
            <w:proofErr w:type="spellStart"/>
            <w:r w:rsidR="00287BF9" w:rsidRPr="004A15CE">
              <w:rPr>
                <w:rFonts w:ascii="Times New Roman" w:hAnsi="Times New Roman" w:cs="Times New Roman"/>
                <w:sz w:val="20"/>
                <w:szCs w:val="20"/>
              </w:rPr>
              <w:t>afliberceptu</w:t>
            </w:r>
            <w:proofErr w:type="spellEnd"/>
            <w:r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6A63" w:rsidRPr="004A15CE">
              <w:rPr>
                <w:rFonts w:ascii="Times New Roman" w:hAnsi="Times New Roman" w:cs="Times New Roman"/>
                <w:sz w:val="20"/>
                <w:szCs w:val="20"/>
              </w:rPr>
              <w:t>występującego w dwóch dawkach terapeutycznych lekarz prowadzący może podjąć samodzielnie decyzję o zmianie dawk</w:t>
            </w:r>
            <w:r w:rsidR="00291E06" w:rsidRPr="004A15C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F6A63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na wyższ</w:t>
            </w:r>
            <w:r w:rsidR="00291E06" w:rsidRPr="004A15CE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1F6A63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po zakończeniu fazy nasycenia dawką 2 mg</w:t>
            </w:r>
            <w:r w:rsidR="00291E06" w:rsidRPr="004A15C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F6A63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od które</w:t>
            </w:r>
            <w:r w:rsidR="00291E06" w:rsidRPr="004A15CE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1F6A63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rozpoczęto leczenie</w:t>
            </w:r>
            <w:r w:rsidR="00291E06" w:rsidRPr="004A15C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F6A63"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z dostosowaniem schematu dawkowania w dalszym prowadzeniu pacjenta.</w:t>
            </w:r>
          </w:p>
          <w:p w14:paraId="18914FAE" w14:textId="1267C293" w:rsidR="001F6A63" w:rsidRPr="003201D7" w:rsidRDefault="003504F0" w:rsidP="004A15CE">
            <w:pPr>
              <w:spacing w:after="60" w:line="276" w:lineRule="auto"/>
              <w:jc w:val="both"/>
            </w:pPr>
            <w:r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W przypadku braku skuteczności leczenia dawką </w:t>
            </w:r>
            <w:proofErr w:type="spellStart"/>
            <w:r w:rsidRPr="004A15CE">
              <w:rPr>
                <w:rFonts w:ascii="Times New Roman" w:hAnsi="Times New Roman" w:cs="Times New Roman"/>
                <w:sz w:val="20"/>
                <w:szCs w:val="20"/>
              </w:rPr>
              <w:t>afliberceptu</w:t>
            </w:r>
            <w:proofErr w:type="spellEnd"/>
            <w:r w:rsidRPr="004A15CE">
              <w:rPr>
                <w:rFonts w:ascii="Times New Roman" w:hAnsi="Times New Roman" w:cs="Times New Roman"/>
                <w:sz w:val="20"/>
                <w:szCs w:val="20"/>
              </w:rPr>
              <w:t xml:space="preserve"> 8 mg nie można dokonać zmiany leku na dawkę 2 mg.</w:t>
            </w:r>
          </w:p>
          <w:p w14:paraId="556AE3F1" w14:textId="77777777" w:rsidR="009357CD" w:rsidRPr="003201D7" w:rsidRDefault="009357CD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9BE4C0" w14:textId="1B182E71" w:rsidR="009357CD" w:rsidRPr="003201D7" w:rsidRDefault="009357CD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uznać:</w:t>
            </w:r>
          </w:p>
          <w:p w14:paraId="48A33DDE" w14:textId="36A598FD" w:rsidR="009357CD" w:rsidRPr="003201D7" w:rsidRDefault="009357CD" w:rsidP="004A15CE">
            <w:pPr>
              <w:pStyle w:val="Akapitzlist"/>
              <w:numPr>
                <w:ilvl w:val="4"/>
                <w:numId w:val="29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pogorszenie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stosunku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wartości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braku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spełnienia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kryterium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wyłączenia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programu</w:t>
            </w:r>
          </w:p>
          <w:p w14:paraId="39893641" w14:textId="77777777" w:rsidR="009357CD" w:rsidRPr="003201D7" w:rsidRDefault="009357CD" w:rsidP="004A15CE">
            <w:pPr>
              <w:pStyle w:val="Akapitzlist"/>
              <w:spacing w:before="0" w:after="60" w:line="276" w:lineRule="auto"/>
              <w:ind w:left="454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5FF335D3" w14:textId="2549075D" w:rsidR="009357CD" w:rsidRPr="003201D7" w:rsidRDefault="009357CD" w:rsidP="004A15CE">
            <w:pPr>
              <w:pStyle w:val="Akapitzlist"/>
              <w:numPr>
                <w:ilvl w:val="4"/>
                <w:numId w:val="29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utrzymującą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cyklicznie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nawracającą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aktywność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tj.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płyn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podsiatkówkowy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obrzęk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braku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spełnienia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kryterium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wyłączenia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gdy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doszło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nieodwracalnych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zmian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plamce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postaci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dominującego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bliznowacenia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zaniku.</w:t>
            </w:r>
          </w:p>
          <w:p w14:paraId="3FE1ABDF" w14:textId="365F986C" w:rsidR="009357CD" w:rsidRPr="003201D7" w:rsidRDefault="009357CD" w:rsidP="00BC5F4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3932" w14:textId="7E8C784A" w:rsidR="006A6913" w:rsidRPr="003201D7" w:rsidRDefault="00C92368" w:rsidP="0001027A">
            <w:pPr>
              <w:pStyle w:val="Akapitzlist"/>
              <w:numPr>
                <w:ilvl w:val="0"/>
                <w:numId w:val="10"/>
              </w:numPr>
              <w:spacing w:before="12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Badania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przy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19518AFB" w14:textId="369E32CD" w:rsidR="00C92368" w:rsidRPr="003201D7" w:rsidRDefault="00C92368" w:rsidP="0001027A">
            <w:pPr>
              <w:pStyle w:val="Akapitzlist"/>
              <w:numPr>
                <w:ilvl w:val="3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okulistyczne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oceną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tablicach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Snellena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ETDRS;</w:t>
            </w:r>
          </w:p>
          <w:p w14:paraId="684D85C4" w14:textId="4F54A99F" w:rsidR="00C92368" w:rsidRPr="003201D7" w:rsidRDefault="00C92368" w:rsidP="0001027A">
            <w:pPr>
              <w:pStyle w:val="Akapitzlist"/>
              <w:numPr>
                <w:ilvl w:val="3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(optyczna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koherentna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tomografia);</w:t>
            </w:r>
          </w:p>
          <w:p w14:paraId="01118E18" w14:textId="6A435990" w:rsidR="00C92368" w:rsidRPr="003201D7" w:rsidRDefault="00C92368" w:rsidP="0001027A">
            <w:pPr>
              <w:pStyle w:val="Akapitzlist"/>
              <w:numPr>
                <w:ilvl w:val="3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fotografia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oka;</w:t>
            </w:r>
          </w:p>
          <w:p w14:paraId="1984D2B0" w14:textId="788C56A8" w:rsidR="00C92368" w:rsidRPr="003201D7" w:rsidRDefault="00C92368" w:rsidP="0001027A">
            <w:pPr>
              <w:pStyle w:val="Akapitzlist"/>
              <w:numPr>
                <w:ilvl w:val="3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angiografia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fluoresceinowa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angio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-OCT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trudnych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diagnostycznego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punktu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widzenia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-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angiografia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indocyjaninowa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uczulenia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barwnik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stosowany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angiografii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razie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jednoznacznych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przeciwwskazań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można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odstąpić.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Fakt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odstąpienia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opisać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przekazać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Koordynacyjnego</w:t>
            </w:r>
            <w:r w:rsidR="00C9292F"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A244A9D" w14:textId="249A71B7" w:rsidR="00C92368" w:rsidRPr="003201D7" w:rsidRDefault="00FB7843" w:rsidP="00BC5F4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powodu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przedłużającego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obserwacji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92F" w:rsidRPr="003201D7">
              <w:rPr>
                <w:rFonts w:ascii="Times New Roman" w:hAnsi="Times New Roman" w:cs="Times New Roman"/>
                <w:sz w:val="20"/>
                <w:szCs w:val="20"/>
              </w:rPr>
              <w:t>(pkt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92F" w:rsidRPr="003201D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92F" w:rsidRPr="003201D7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92F" w:rsidRPr="003201D7">
              <w:rPr>
                <w:rFonts w:ascii="Times New Roman" w:hAnsi="Times New Roman" w:cs="Times New Roman"/>
                <w:sz w:val="20"/>
                <w:szCs w:val="20"/>
              </w:rPr>
              <w:t>wyłączenia),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kwalifikację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opierać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pkt.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przypadkach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wątpliwych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ekspert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Koordynacyjnego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poprosić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F5E36" w:rsidRPr="003201D7">
              <w:rPr>
                <w:rFonts w:ascii="Times New Roman" w:hAnsi="Times New Roman" w:cs="Times New Roman"/>
                <w:sz w:val="20"/>
                <w:szCs w:val="20"/>
              </w:rPr>
              <w:t>rozszerzenie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pełnego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368" w:rsidRPr="003201D7">
              <w:rPr>
                <w:rFonts w:ascii="Times New Roman" w:hAnsi="Times New Roman" w:cs="Times New Roman"/>
                <w:sz w:val="20"/>
                <w:szCs w:val="20"/>
              </w:rPr>
              <w:t>zakresu.</w:t>
            </w:r>
          </w:p>
          <w:p w14:paraId="14286064" w14:textId="77777777" w:rsidR="00FF0956" w:rsidRPr="003201D7" w:rsidRDefault="00FF0956" w:rsidP="00BC5F4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B7EEFA" w14:textId="04108B00" w:rsidR="00C92368" w:rsidRPr="003201D7" w:rsidRDefault="00C92368" w:rsidP="0001027A">
            <w:pPr>
              <w:pStyle w:val="Akapitzlist"/>
              <w:numPr>
                <w:ilvl w:val="0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Monitorowanie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7632967B" w14:textId="2E3348D9" w:rsidR="00C92368" w:rsidRPr="003201D7" w:rsidRDefault="00C92368" w:rsidP="0001027A">
            <w:pPr>
              <w:pStyle w:val="Akapitzlist"/>
              <w:numPr>
                <w:ilvl w:val="3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okulistyczne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oceną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tablicach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Snellena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ETDRS;</w:t>
            </w:r>
          </w:p>
          <w:p w14:paraId="0DC3E745" w14:textId="03BDBE6D" w:rsidR="00C92368" w:rsidRPr="003201D7" w:rsidRDefault="00C92368" w:rsidP="0001027A">
            <w:pPr>
              <w:pStyle w:val="Akapitzlist"/>
              <w:numPr>
                <w:ilvl w:val="3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(optyczna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koherentna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tomografia);</w:t>
            </w:r>
          </w:p>
          <w:p w14:paraId="468EFAA6" w14:textId="1AE61BAA" w:rsidR="00C92368" w:rsidRPr="003201D7" w:rsidRDefault="00B5324B" w:rsidP="0001027A">
            <w:pPr>
              <w:pStyle w:val="Akapitzlist"/>
              <w:numPr>
                <w:ilvl w:val="3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opcjonalnie</w:t>
            </w:r>
            <w:r w:rsidR="00C92368" w:rsidRPr="003201D7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31BA7F1" w14:textId="5B7323D1" w:rsidR="00C92368" w:rsidRPr="003201D7" w:rsidRDefault="00C92368" w:rsidP="0001027A">
            <w:pPr>
              <w:pStyle w:val="Akapitzlist"/>
              <w:numPr>
                <w:ilvl w:val="4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fotografia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oka</w:t>
            </w:r>
            <w:r w:rsidR="002A6CE7" w:rsidRPr="003201D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1957D04" w14:textId="6500DA17" w:rsidR="00C92368" w:rsidRPr="003201D7" w:rsidRDefault="00C92368" w:rsidP="0001027A">
            <w:pPr>
              <w:pStyle w:val="Akapitzlist"/>
              <w:numPr>
                <w:ilvl w:val="4"/>
                <w:numId w:val="1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angiografia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fluoresceinowa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angio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-OCT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trudnych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diagnostycznego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punktu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widzenia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-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angiografia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indocyjaninowa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)</w:t>
            </w:r>
            <w:r w:rsidR="00FB7843"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F77DF27" w14:textId="711EBA66" w:rsidR="00C92368" w:rsidRPr="003201D7" w:rsidRDefault="00C92368" w:rsidP="00BC5F4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przeprowadza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leku,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dniu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terminie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podaniem,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harmonogramem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dawkowania.</w:t>
            </w:r>
          </w:p>
          <w:p w14:paraId="4DC60EB1" w14:textId="0015E9B4" w:rsidR="00C92368" w:rsidRPr="003201D7" w:rsidRDefault="00C92368" w:rsidP="00BC5F4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wymogu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pomiędzy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wstrzyknięciami.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harmonogram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częstszy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harmonogram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wstrzyknięć.</w:t>
            </w:r>
          </w:p>
          <w:p w14:paraId="422E88F3" w14:textId="600EE586" w:rsidR="00C92368" w:rsidRPr="003201D7" w:rsidRDefault="00C92368" w:rsidP="00BC5F4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ww.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określa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wskaźniki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tym:</w:t>
            </w:r>
          </w:p>
          <w:p w14:paraId="0E48AB4C" w14:textId="216FC8FF" w:rsidR="00C92368" w:rsidRPr="003201D7" w:rsidRDefault="00C92368" w:rsidP="004A15CE">
            <w:pPr>
              <w:pStyle w:val="Akapitzlist"/>
              <w:numPr>
                <w:ilvl w:val="4"/>
                <w:numId w:val="3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uzyskanie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poprawy,</w:t>
            </w:r>
          </w:p>
          <w:p w14:paraId="14E02DFF" w14:textId="0CFFB9F5" w:rsidR="00C92368" w:rsidRPr="003201D7" w:rsidRDefault="00C92368" w:rsidP="004A15CE">
            <w:pPr>
              <w:pStyle w:val="Akapitzlist"/>
              <w:numPr>
                <w:ilvl w:val="4"/>
                <w:numId w:val="3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stabilizację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choroby,</w:t>
            </w:r>
          </w:p>
          <w:p w14:paraId="775149A1" w14:textId="4D079151" w:rsidR="00C92368" w:rsidRPr="003201D7" w:rsidRDefault="00C92368" w:rsidP="004A15CE">
            <w:pPr>
              <w:pStyle w:val="Akapitzlist"/>
              <w:numPr>
                <w:ilvl w:val="4"/>
                <w:numId w:val="3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progresję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choroby.</w:t>
            </w:r>
          </w:p>
          <w:p w14:paraId="2DEB8C1E" w14:textId="10559F55" w:rsidR="00B71B38" w:rsidRPr="003201D7" w:rsidRDefault="00C92368" w:rsidP="00BC5F4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Dane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gromadzone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66BA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systemie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analizowane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Koordynacyjny,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podsumowuje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wyniki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koniec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roku.</w:t>
            </w:r>
          </w:p>
          <w:p w14:paraId="5AD7A4C9" w14:textId="77777777" w:rsidR="00FF0956" w:rsidRPr="003201D7" w:rsidRDefault="00FF0956" w:rsidP="00BC5F4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40C07F" w14:textId="12160225" w:rsidR="00C92368" w:rsidRPr="003201D7" w:rsidRDefault="00C92368" w:rsidP="004A15CE">
            <w:pPr>
              <w:pStyle w:val="Akapitzlist"/>
              <w:numPr>
                <w:ilvl w:val="0"/>
                <w:numId w:val="3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5125B17C" w14:textId="5986746C" w:rsidR="00C92368" w:rsidRPr="003201D7" w:rsidRDefault="00C92368" w:rsidP="004A15CE">
            <w:pPr>
              <w:pStyle w:val="Akapitzlist"/>
              <w:numPr>
                <w:ilvl w:val="3"/>
                <w:numId w:val="3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NFZ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zakresu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sprawozdawczo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rozliczeniowych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elektronicznej,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Narodowy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Fundusz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Zdrowia;</w:t>
            </w:r>
          </w:p>
          <w:p w14:paraId="2E16CAB9" w14:textId="64E857FA" w:rsidR="00C92368" w:rsidRPr="003201D7" w:rsidRDefault="00C92368" w:rsidP="004A15CE">
            <w:pPr>
              <w:pStyle w:val="Akapitzlist"/>
              <w:numPr>
                <w:ilvl w:val="3"/>
                <w:numId w:val="3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uzupełnianie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elektronicznym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66BA" w:rsidRPr="003201D7">
              <w:rPr>
                <w:rFonts w:ascii="Times New Roman" w:hAnsi="Times New Roman"/>
                <w:sz w:val="20"/>
                <w:szCs w:val="20"/>
              </w:rPr>
              <w:t xml:space="preserve">systemie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lekowych,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wskaźników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3201D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3201D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pkt.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3201D7">
              <w:rPr>
                <w:rFonts w:ascii="Times New Roman" w:hAnsi="Times New Roman"/>
                <w:sz w:val="20"/>
                <w:szCs w:val="20"/>
              </w:rPr>
              <w:t>Monitorowanie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NFZ,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opisem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oraz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4F8B505E" w14:textId="476227C7" w:rsidR="00C92368" w:rsidRPr="003201D7" w:rsidRDefault="00C92368" w:rsidP="004A15CE">
            <w:pPr>
              <w:pStyle w:val="Akapitzlist"/>
              <w:numPr>
                <w:ilvl w:val="3"/>
                <w:numId w:val="3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dane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dotyczące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gromadzić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każdorazowo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przedstawiać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kontrolerom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NFZ.</w:t>
            </w:r>
          </w:p>
        </w:tc>
      </w:tr>
      <w:tr w:rsidR="003201D7" w:rsidRPr="003201D7" w14:paraId="2E041FD2" w14:textId="77777777" w:rsidTr="00D859FF">
        <w:trPr>
          <w:trHeight w:hRule="exact" w:val="567"/>
        </w:trPr>
        <w:tc>
          <w:tcPr>
            <w:tcW w:w="1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6E2A" w14:textId="095F0407" w:rsidR="00997525" w:rsidRPr="003201D7" w:rsidRDefault="00BD1C35" w:rsidP="00D6087F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lastRenderedPageBreak/>
              <w:t>LECZENIE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PACJENTÓW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CUKRZYCOWYM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OBRZĘKIEM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PLAMKI</w:t>
            </w:r>
            <w:r w:rsidR="00982847"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(DME)</w:t>
            </w:r>
          </w:p>
        </w:tc>
      </w:tr>
      <w:tr w:rsidR="004C5660" w:rsidRPr="003201D7" w14:paraId="5AA6DDB1" w14:textId="77777777" w:rsidTr="00982847"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DE61" w14:textId="2F7FAA13" w:rsidR="004C5660" w:rsidRPr="003201D7" w:rsidRDefault="004C5660" w:rsidP="00D859FF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świadczeniobiorców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pierwszorazowych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leczonych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nieskutecznie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przeprowadzana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prowadzącego.</w:t>
            </w:r>
          </w:p>
          <w:p w14:paraId="4FB0544A" w14:textId="324CC543" w:rsidR="00970B40" w:rsidRPr="003201D7" w:rsidRDefault="004C566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świadczeniobiorców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wymagających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zmiany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leczonych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wcześniej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źródeł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przeprowadzana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ds.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Siatkówki,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powoływany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Prezesa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6B4E" w:rsidRPr="003201D7">
              <w:rPr>
                <w:rFonts w:ascii="Times New Roman" w:hAnsi="Times New Roman" w:cs="Times New Roman"/>
                <w:sz w:val="20"/>
                <w:szCs w:val="20"/>
              </w:rPr>
              <w:t>(dalej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6B4E" w:rsidRPr="003201D7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6B4E" w:rsidRPr="003201D7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6B4E" w:rsidRPr="003201D7">
              <w:rPr>
                <w:rFonts w:ascii="Times New Roman" w:hAnsi="Times New Roman" w:cs="Times New Roman"/>
                <w:sz w:val="20"/>
                <w:szCs w:val="20"/>
              </w:rPr>
              <w:t>Koordynacyjny)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wniosek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prowadzącego,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udokumentowaniu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otrzymania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iniekcji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anty-VEGF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poprzednim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etapie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leczenia.</w:t>
            </w:r>
          </w:p>
          <w:p w14:paraId="77B783F4" w14:textId="5205E8D2" w:rsidR="008C745B" w:rsidRPr="003201D7" w:rsidRDefault="004C566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weryfikacja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odbywa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klinicznego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FE77D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oraz</w:t>
            </w:r>
            <w:r w:rsidR="008C745B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efektywności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zastosowanej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805825" w:rsidRPr="003201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33BE006" w14:textId="564E1FF9" w:rsidR="004C5660" w:rsidRPr="003201D7" w:rsidRDefault="004C566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0E2E1A" w14:textId="4AB5EF06" w:rsidR="004C5660" w:rsidRPr="003201D7" w:rsidRDefault="004C5660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cukrzycowego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obrzęku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plamki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substancjami:</w:t>
            </w:r>
          </w:p>
          <w:p w14:paraId="738E03EA" w14:textId="5BFBD482" w:rsidR="000F5E36" w:rsidRPr="00452FE6" w:rsidRDefault="00FE77D7" w:rsidP="004A15CE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lastRenderedPageBreak/>
              <w:t>a</w:t>
            </w:r>
            <w:r w:rsidR="000F5E36"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>flibercept</w:t>
            </w:r>
            <w:proofErr w:type="spellEnd"/>
            <w:r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</w:t>
            </w:r>
            <w:r w:rsidR="00291E06"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="000F5E36" w:rsidRPr="00452FE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0F8B6B0" w14:textId="3E71ED09" w:rsidR="00FE77D7" w:rsidRPr="00452FE6" w:rsidRDefault="00FE77D7" w:rsidP="004A15CE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8</w:t>
            </w:r>
            <w:r w:rsidR="00291E06"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="00291E06"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1A0B992D" w14:textId="536F9F64" w:rsidR="004C5660" w:rsidRPr="003201D7" w:rsidRDefault="00970B40" w:rsidP="004A15CE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52FE6">
              <w:rPr>
                <w:rFonts w:ascii="Times New Roman" w:hAnsi="Times New Roman"/>
                <w:i/>
                <w:iCs/>
                <w:sz w:val="20"/>
                <w:szCs w:val="20"/>
              </w:rPr>
              <w:t>bewacyzumab</w:t>
            </w:r>
            <w:proofErr w:type="spellEnd"/>
            <w:r w:rsidRPr="00452FE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BC5DFE3" w14:textId="77777777" w:rsidR="000F5E36" w:rsidRPr="003201D7" w:rsidRDefault="000F5E36" w:rsidP="004A15CE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brolucizumab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B2B096E" w14:textId="701F6382" w:rsidR="000F5E36" w:rsidRPr="003201D7" w:rsidRDefault="000F5E36" w:rsidP="004A15CE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deksametazon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postaci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implantu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doszklistkowego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9656C0C" w14:textId="77777777" w:rsidR="000F5E36" w:rsidRPr="003201D7" w:rsidRDefault="000F5E36" w:rsidP="004A15CE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farycymab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2A76990" w14:textId="307FF506" w:rsidR="004C5660" w:rsidRPr="003201D7" w:rsidRDefault="00970B40" w:rsidP="004A15CE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ranibizumab</w:t>
            </w:r>
            <w:proofErr w:type="spellEnd"/>
            <w:r w:rsidR="000F5E36"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6D2D940" w14:textId="77777777" w:rsidR="00791B6E" w:rsidRPr="003201D7" w:rsidRDefault="00791B6E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8669DF" w14:textId="669754FE" w:rsidR="004C5660" w:rsidRPr="003201D7" w:rsidRDefault="004C5660" w:rsidP="004A15CE">
            <w:pPr>
              <w:pStyle w:val="Akapitzlist"/>
              <w:numPr>
                <w:ilvl w:val="0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2379AEAE" w14:textId="43A52DF4" w:rsidR="004C5660" w:rsidRPr="003201D7" w:rsidRDefault="004C5660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obecność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rozlanego,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znamiennego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obrzęku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plamki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(DME)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zajęciem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dołka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przebiegu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cukrzycy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(DRT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postać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gąbczasta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(rozlana),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CME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859FF"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postać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torbielowata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SRD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(postać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surowicza);</w:t>
            </w:r>
          </w:p>
          <w:p w14:paraId="0E2F14E4" w14:textId="21E33CCD" w:rsidR="004C5660" w:rsidRPr="003201D7" w:rsidRDefault="004C5660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wiek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18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4EE0" w:rsidRPr="003201D7">
              <w:rPr>
                <w:rFonts w:ascii="Times New Roman" w:hAnsi="Times New Roman"/>
                <w:sz w:val="20"/>
                <w:szCs w:val="20"/>
              </w:rPr>
              <w:t>lat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4EE0"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4EE0" w:rsidRPr="003201D7">
              <w:rPr>
                <w:rFonts w:ascii="Times New Roman" w:hAnsi="Times New Roman"/>
                <w:sz w:val="20"/>
                <w:szCs w:val="20"/>
              </w:rPr>
              <w:t>powyżej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F4133D6" w14:textId="6CCE5DEE" w:rsidR="004C5660" w:rsidRPr="003201D7" w:rsidRDefault="004C5660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najlepsza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skorygowana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ostrość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(BCVA)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leczonym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0,2-0,8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określona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tablicy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Snellena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odpowiednio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ekwiwalent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ETDRS);</w:t>
            </w:r>
          </w:p>
          <w:p w14:paraId="436E7DBF" w14:textId="3442210A" w:rsidR="004C5660" w:rsidRPr="003201D7" w:rsidRDefault="004C5660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zgoda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iniekcji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doszklistkowych;</w:t>
            </w:r>
          </w:p>
          <w:p w14:paraId="4835E4EC" w14:textId="0941983A" w:rsidR="00142FFA" w:rsidRPr="003201D7" w:rsidRDefault="00142FFA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HbAIc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95A75D1" w14:textId="1D6C33BB" w:rsidR="004C5660" w:rsidRPr="003201D7" w:rsidRDefault="00142FFA" w:rsidP="004A15CE">
            <w:pPr>
              <w:pStyle w:val="Akapitzlist"/>
              <w:numPr>
                <w:ilvl w:val="4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0F7B07"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bewacyzumabem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: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rozpocząć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terapię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bez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względu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poziom,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jeżeli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5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dawkach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poziom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4C5660" w:rsidRPr="003201D7">
              <w:rPr>
                <w:rFonts w:ascii="Times New Roman" w:hAnsi="Times New Roman"/>
                <w:sz w:val="20"/>
                <w:szCs w:val="20"/>
              </w:rPr>
              <w:t>HbAIc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&gt;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9%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kontynuować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tym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samym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lekiem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momentu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osiągnięcia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4C5660" w:rsidRPr="003201D7">
              <w:rPr>
                <w:rFonts w:ascii="Times New Roman" w:hAnsi="Times New Roman"/>
                <w:sz w:val="20"/>
                <w:szCs w:val="20"/>
              </w:rPr>
              <w:t>HbAIc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≤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9%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kiedy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9255A" w:rsidRPr="003201D7">
              <w:rPr>
                <w:rFonts w:ascii="Times New Roman" w:hAnsi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9255A" w:rsidRPr="003201D7">
              <w:rPr>
                <w:rFonts w:ascii="Times New Roman" w:hAnsi="Times New Roman"/>
                <w:sz w:val="20"/>
                <w:szCs w:val="20"/>
              </w:rPr>
              <w:t>Koordynacyjny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9255A" w:rsidRPr="003201D7">
              <w:rPr>
                <w:rFonts w:ascii="Times New Roman" w:hAnsi="Times New Roman"/>
                <w:sz w:val="20"/>
                <w:szCs w:val="20"/>
              </w:rPr>
              <w:t>może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9255A" w:rsidRPr="003201D7">
              <w:rPr>
                <w:rFonts w:ascii="Times New Roman" w:hAnsi="Times New Roman"/>
                <w:sz w:val="20"/>
                <w:szCs w:val="20"/>
              </w:rPr>
              <w:t>podjąć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9255A" w:rsidRPr="003201D7">
              <w:rPr>
                <w:rFonts w:ascii="Times New Roman" w:hAnsi="Times New Roman"/>
                <w:sz w:val="20"/>
                <w:szCs w:val="20"/>
              </w:rPr>
              <w:t>decyzję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9255A" w:rsidRPr="003201D7">
              <w:rPr>
                <w:rFonts w:ascii="Times New Roman" w:hAnsi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9255A" w:rsidRPr="003201D7">
              <w:rPr>
                <w:rFonts w:ascii="Times New Roman" w:hAnsi="Times New Roman"/>
                <w:sz w:val="20"/>
                <w:szCs w:val="20"/>
              </w:rPr>
              <w:t>zmianie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9255A" w:rsidRPr="003201D7">
              <w:rPr>
                <w:rFonts w:ascii="Times New Roman" w:hAnsi="Times New Roman"/>
                <w:sz w:val="20"/>
                <w:szCs w:val="20"/>
              </w:rPr>
              <w:t>leku;</w:t>
            </w:r>
          </w:p>
          <w:p w14:paraId="00DADC89" w14:textId="7D9F5E51" w:rsidR="004C5660" w:rsidRPr="003201D7" w:rsidRDefault="00E04855" w:rsidP="004A15CE">
            <w:pPr>
              <w:pStyle w:val="Akapitzlist"/>
              <w:numPr>
                <w:ilvl w:val="4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na inny lek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42FFA" w:rsidRPr="003201D7">
              <w:rPr>
                <w:rFonts w:ascii="Times New Roman" w:hAnsi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142FFA"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bewacyzuma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, gdy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stężenie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4C5660" w:rsidRPr="003201D7">
              <w:rPr>
                <w:rFonts w:ascii="Times New Roman" w:hAnsi="Times New Roman"/>
                <w:sz w:val="20"/>
                <w:szCs w:val="20"/>
              </w:rPr>
              <w:t>HbAIc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≤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5660" w:rsidRPr="003201D7">
              <w:rPr>
                <w:rFonts w:ascii="Times New Roman" w:hAnsi="Times New Roman"/>
                <w:sz w:val="20"/>
                <w:szCs w:val="20"/>
              </w:rPr>
              <w:t>9%;</w:t>
            </w:r>
          </w:p>
          <w:p w14:paraId="24A89F2E" w14:textId="33581777" w:rsidR="00D859FF" w:rsidRPr="003201D7" w:rsidRDefault="00D859F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dominującej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błony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przedsiatkówkowej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3EF606E" w14:textId="598C496D" w:rsidR="00D859FF" w:rsidRPr="003201D7" w:rsidRDefault="00D859F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aktywnych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włóknisto-naczyniowych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trakcji,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obkurczenie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mogłoby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wpłynąć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odwarstwienie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miało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rokowniczo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niekorzystny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wpływ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programie;</w:t>
            </w:r>
          </w:p>
          <w:p w14:paraId="4153490F" w14:textId="089C0C3B" w:rsidR="00D859FF" w:rsidRPr="003201D7" w:rsidRDefault="00D859F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odwarstwienia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przebiegu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retinopatii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cukrzycowej;</w:t>
            </w:r>
          </w:p>
          <w:p w14:paraId="332689E9" w14:textId="0ECC4E26" w:rsidR="00D859FF" w:rsidRPr="003201D7" w:rsidRDefault="00D859F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krwotoku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ciała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szklistego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wymagającego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operacyjnego;</w:t>
            </w:r>
          </w:p>
          <w:p w14:paraId="688571BB" w14:textId="7BFCE8ED" w:rsidR="00D859FF" w:rsidRPr="003201D7" w:rsidRDefault="00D859F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neowaskularyzacji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tęczówki;</w:t>
            </w:r>
          </w:p>
          <w:p w14:paraId="6268F4B7" w14:textId="40FC0F3E" w:rsidR="00D859FF" w:rsidRPr="003201D7" w:rsidRDefault="00D859F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jaskry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neowaskularnej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F80EBE4" w14:textId="4CA24F92" w:rsidR="00D859FF" w:rsidRPr="003201D7" w:rsidRDefault="00D859F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uregulowane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ciśnienie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wewnątrzgałkowe;</w:t>
            </w:r>
          </w:p>
          <w:p w14:paraId="3FE67ABF" w14:textId="56A5702E" w:rsidR="00D859FF" w:rsidRPr="003201D7" w:rsidRDefault="00D859F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zaćmy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mającej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wpływ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monitorowanie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skuteczności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programie;</w:t>
            </w:r>
          </w:p>
          <w:p w14:paraId="07FFC10A" w14:textId="47F0B0D1" w:rsidR="00D859FF" w:rsidRPr="003201D7" w:rsidRDefault="00D859F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istotnych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trwałych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zaburzeń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plamce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nierokujących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poprawy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anty-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VEGF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takich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jak:</w:t>
            </w:r>
          </w:p>
          <w:p w14:paraId="799D5354" w14:textId="0E75AB5E" w:rsidR="00D859FF" w:rsidRPr="003201D7" w:rsidRDefault="00D859FF" w:rsidP="004A15CE">
            <w:pPr>
              <w:pStyle w:val="Akapitzlist"/>
              <w:numPr>
                <w:ilvl w:val="4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rozległy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zanik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fotoreceptorów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zanik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warstw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zewnętrznych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siatkówki),</w:t>
            </w:r>
          </w:p>
          <w:p w14:paraId="2392AE49" w14:textId="71E65768" w:rsidR="00D859FF" w:rsidRPr="003201D7" w:rsidRDefault="00D859FF" w:rsidP="004A15CE">
            <w:pPr>
              <w:pStyle w:val="Akapitzlist"/>
              <w:numPr>
                <w:ilvl w:val="4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DRIL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obszarze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poddołkowym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D34E83B" w14:textId="15FC19FD" w:rsidR="00D859FF" w:rsidRPr="003201D7" w:rsidRDefault="00D859FF" w:rsidP="004A15CE">
            <w:pPr>
              <w:pStyle w:val="Akapitzlist"/>
              <w:numPr>
                <w:ilvl w:val="4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makulopatia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niedokrwienna;</w:t>
            </w:r>
          </w:p>
          <w:p w14:paraId="19A9B496" w14:textId="2F818B50" w:rsidR="00270DE0" w:rsidRPr="003201D7" w:rsidRDefault="00270DE0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859FF" w:rsidRPr="003201D7">
              <w:rPr>
                <w:rFonts w:ascii="Times New Roman" w:hAnsi="Times New Roman"/>
                <w:sz w:val="20"/>
                <w:szCs w:val="20"/>
              </w:rPr>
              <w:t>innych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przeciwwskazań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stwierdzonych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Koordynacyjny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oparciu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PL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wiedzę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medyczną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61B0EA1" w14:textId="68D21F4A" w:rsidR="00094AF0" w:rsidRPr="003201D7" w:rsidRDefault="002A61EC" w:rsidP="004A15CE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>zgoda</w:t>
            </w:r>
            <w:r w:rsidR="00982847"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>prowadzenie</w:t>
            </w:r>
            <w:r w:rsidR="00982847"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>antykoncepcji</w:t>
            </w:r>
            <w:r w:rsidR="00982847"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>aktualną</w:t>
            </w:r>
            <w:r w:rsidR="00982847"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bCs/>
                <w:sz w:val="20"/>
                <w:szCs w:val="20"/>
              </w:rPr>
              <w:t>ChPL.</w:t>
            </w:r>
          </w:p>
          <w:p w14:paraId="4CC10215" w14:textId="57CFFE10" w:rsidR="004C5660" w:rsidRPr="003201D7" w:rsidRDefault="00A33E79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Powyższe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</w:p>
          <w:p w14:paraId="4CF00FF9" w14:textId="77777777" w:rsidR="00871CBC" w:rsidRPr="003201D7" w:rsidRDefault="00871CBC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2D923" w14:textId="5504AB64" w:rsidR="00871CBC" w:rsidRPr="003201D7" w:rsidRDefault="00871CBC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wyłączeni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3F5F" w:rsidRPr="003201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3201D7">
              <w:rPr>
                <w:rFonts w:ascii="Times New Roman" w:hAnsi="Times New Roman" w:cs="Times New Roman"/>
                <w:sz w:val="20"/>
                <w:szCs w:val="20"/>
              </w:rPr>
              <w:t>(Kryteria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452FE6">
              <w:rPr>
                <w:rFonts w:ascii="Times New Roman" w:hAnsi="Times New Roman" w:cs="Times New Roman"/>
                <w:sz w:val="20"/>
                <w:szCs w:val="20"/>
              </w:rPr>
              <w:t>przerwania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452FE6">
              <w:rPr>
                <w:rFonts w:ascii="Times New Roman" w:hAnsi="Times New Roman" w:cs="Times New Roman"/>
                <w:sz w:val="20"/>
                <w:szCs w:val="20"/>
              </w:rPr>
              <w:t>terapii)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przyczyna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przerwania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trwała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dłużej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300F" w:rsidRPr="00452FE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miesi</w:t>
            </w:r>
            <w:r w:rsidR="0046300F" w:rsidRPr="00452FE6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46300F" w:rsidRPr="00452FE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przypadku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afliberceptu</w:t>
            </w:r>
            <w:proofErr w:type="spellEnd"/>
            <w:r w:rsidR="00FE77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2</w:t>
            </w:r>
            <w:r w:rsidR="003201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FE77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mg</w:t>
            </w:r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="0046300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6300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afliberceptu</w:t>
            </w:r>
            <w:proofErr w:type="spellEnd"/>
            <w:r w:rsidR="0046300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8</w:t>
            </w:r>
            <w:r w:rsidR="003201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6300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mg,</w:t>
            </w:r>
            <w:r w:rsidR="0098284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bewacyzumabu</w:t>
            </w:r>
            <w:proofErr w:type="spellEnd"/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brolucizumabu</w:t>
            </w:r>
            <w:proofErr w:type="spellEnd"/>
            <w:r w:rsidR="0083526F" w:rsidRPr="00452FE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farycymabu</w:t>
            </w:r>
            <w:proofErr w:type="spellEnd"/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="0098284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ranibizumabu</w:t>
            </w:r>
            <w:proofErr w:type="spellEnd"/>
            <w:r w:rsidR="00FE77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wprowadzeniem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rozpoczęli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cukrzycowego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obrzęku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plamki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iniekcjami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doszklistkowymi</w:t>
            </w:r>
            <w:proofErr w:type="spellEnd"/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afliberceptu</w:t>
            </w:r>
            <w:proofErr w:type="spellEnd"/>
            <w:r w:rsidR="00FE77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2</w:t>
            </w:r>
            <w:r w:rsidR="003201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FE77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mg, </w:t>
            </w:r>
            <w:proofErr w:type="spellStart"/>
            <w:r w:rsidR="00FE77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afliberceptu</w:t>
            </w:r>
            <w:proofErr w:type="spellEnd"/>
            <w:r w:rsidR="00FE77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8</w:t>
            </w:r>
            <w:r w:rsidR="003201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FE77D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mg</w:t>
            </w:r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="0098284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bewacyzumabu</w:t>
            </w:r>
            <w:proofErr w:type="spellEnd"/>
            <w:r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="0098284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brolucizumabu</w:t>
            </w:r>
            <w:proofErr w:type="spellEnd"/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="0098284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farycymabu</w:t>
            </w:r>
            <w:proofErr w:type="spellEnd"/>
            <w:r w:rsidR="0083526F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="00982847"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ranibizumabu</w:t>
            </w:r>
            <w:proofErr w:type="spellEnd"/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52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deksametazonu</w:t>
            </w:r>
            <w:proofErr w:type="spellEnd"/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postaci</w:t>
            </w:r>
            <w:r w:rsidR="00982847" w:rsidRPr="00452F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2FE6">
              <w:rPr>
                <w:rFonts w:ascii="Times New Roman" w:hAnsi="Times New Roman" w:cs="Times New Roman"/>
                <w:sz w:val="20"/>
                <w:szCs w:val="20"/>
              </w:rPr>
              <w:t>implantu:</w:t>
            </w:r>
          </w:p>
          <w:p w14:paraId="70AB230A" w14:textId="374B305D" w:rsidR="00791B6E" w:rsidRPr="003201D7" w:rsidRDefault="00871CBC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świadczeń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gwarantowanych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rozliczanych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JGP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B84</w:t>
            </w:r>
          </w:p>
          <w:p w14:paraId="1F40D6B4" w14:textId="50F8B7AC" w:rsidR="00871CBC" w:rsidRPr="003201D7" w:rsidRDefault="00871CBC" w:rsidP="004A15CE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157979B5" w14:textId="06074630" w:rsidR="00871CBC" w:rsidRPr="003201D7" w:rsidRDefault="00871CBC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świadczeniodawców,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posiadali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umowy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udzielanie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świadczeń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opieki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zdrowotnej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finansowanych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środków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publicznych</w:t>
            </w:r>
          </w:p>
          <w:p w14:paraId="703EBEB6" w14:textId="4D6EC0EE" w:rsidR="00871CBC" w:rsidRPr="003201D7" w:rsidRDefault="00871CBC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włączenia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wykazano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czasie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wtedy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terapia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powinna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kontynuowana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programu.</w:t>
            </w:r>
          </w:p>
          <w:p w14:paraId="50589B6F" w14:textId="77777777" w:rsidR="00791B6E" w:rsidRPr="003201D7" w:rsidRDefault="00791B6E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B1FEE3" w14:textId="3CD26BB7" w:rsidR="004460A0" w:rsidRPr="003201D7" w:rsidRDefault="004460A0" w:rsidP="004A15CE">
            <w:pPr>
              <w:pStyle w:val="Akapitzlist"/>
              <w:numPr>
                <w:ilvl w:val="0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Określenie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czasu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zmiana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3D0DE94D" w14:textId="77777777" w:rsidR="00554503" w:rsidRPr="003201D7" w:rsidRDefault="00554503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 trwa do czasu podjęcia przez Zespół Koordynacyjny lub lekarza prowadzącego decyzji o wyłączeniu świadczeniobiorcy z programu, zgodnie z kryteriami wyłączenia.</w:t>
            </w:r>
          </w:p>
          <w:p w14:paraId="3462B9C1" w14:textId="77777777" w:rsidR="004249F8" w:rsidRPr="003201D7" w:rsidRDefault="004249F8" w:rsidP="004A15CE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0453F294" w14:textId="0D580DE3" w:rsidR="00E254B7" w:rsidRPr="003201D7" w:rsidRDefault="00E254B7" w:rsidP="004A15CE">
            <w:pPr>
              <w:pStyle w:val="Akapitzlist"/>
              <w:numPr>
                <w:ilvl w:val="0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przerwania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terapii</w:t>
            </w:r>
          </w:p>
          <w:p w14:paraId="238DD0F0" w14:textId="28BF5E6A" w:rsidR="00E254B7" w:rsidRPr="003201D7" w:rsidRDefault="00E254B7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czynne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zakażenie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okolic;</w:t>
            </w:r>
          </w:p>
          <w:p w14:paraId="1295515F" w14:textId="2B9686B1" w:rsidR="00E254B7" w:rsidRPr="003201D7" w:rsidRDefault="00E254B7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zapalenie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wnętrza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gałki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ocznej;</w:t>
            </w:r>
          </w:p>
          <w:p w14:paraId="2605859E" w14:textId="7580C2B0" w:rsidR="00B83840" w:rsidRPr="003201D7" w:rsidRDefault="00B83840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ciężkie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zapalenie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błony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naczyniowej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związane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terapią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brolucizumabem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55F563F" w14:textId="3FE353E5" w:rsidR="00E254B7" w:rsidRPr="003201D7" w:rsidRDefault="00E254B7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okres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ciąży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karmienia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piersią;</w:t>
            </w:r>
          </w:p>
          <w:p w14:paraId="357C7339" w14:textId="4C29990A" w:rsidR="00E254B7" w:rsidRPr="003201D7" w:rsidRDefault="00E254B7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przedarciowe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odwarstwienie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siatkówki;</w:t>
            </w:r>
          </w:p>
          <w:p w14:paraId="025D1E5D" w14:textId="2D3905C3" w:rsidR="00E254B7" w:rsidRPr="003201D7" w:rsidRDefault="00E254B7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ogólnoustrojowej</w:t>
            </w:r>
            <w:r w:rsidR="00AF288D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uniemożliwiającej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leczenie;</w:t>
            </w:r>
          </w:p>
          <w:p w14:paraId="4962824B" w14:textId="7D5ED8D8" w:rsidR="00E254B7" w:rsidRPr="003201D7" w:rsidRDefault="00E254B7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trakcie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postępowania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operacyjnego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(witrektomii,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jaskry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operacji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zaćmy):</w:t>
            </w:r>
          </w:p>
          <w:p w14:paraId="632D4D0A" w14:textId="73C54DC0" w:rsidR="00E254B7" w:rsidRPr="003201D7" w:rsidRDefault="00E254B7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dominująca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błona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przedsiatkówkowa</w:t>
            </w:r>
            <w:proofErr w:type="spellEnd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BF168A6" w14:textId="4038AF56" w:rsidR="00E254B7" w:rsidRPr="003201D7" w:rsidRDefault="00E254B7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aktywnych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włóknisto-naczyniowych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trakcji,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obkurczenie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mogłoby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wpłynąć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odwarstwienia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siatkówki,</w:t>
            </w:r>
          </w:p>
          <w:p w14:paraId="57489759" w14:textId="3DE834D5" w:rsidR="00E254B7" w:rsidRPr="003201D7" w:rsidRDefault="00E254B7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odwarstwienie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siatkówki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przebiegu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retinopatii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cukrzycowej,</w:t>
            </w:r>
          </w:p>
          <w:p w14:paraId="16E31284" w14:textId="23B818E2" w:rsidR="00E254B7" w:rsidRPr="003201D7" w:rsidRDefault="00E254B7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krwotok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szklistego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wymagający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operacji,</w:t>
            </w:r>
          </w:p>
          <w:p w14:paraId="204A1BFC" w14:textId="41C26558" w:rsidR="00E254B7" w:rsidRPr="003201D7" w:rsidRDefault="00E254B7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neowaskularyzacja</w:t>
            </w:r>
            <w:proofErr w:type="spellEnd"/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tęczówki,</w:t>
            </w:r>
          </w:p>
          <w:p w14:paraId="562057B4" w14:textId="50AB1A12" w:rsidR="00E254B7" w:rsidRPr="003201D7" w:rsidRDefault="00E254B7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jaskra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neowaskularna</w:t>
            </w:r>
            <w:proofErr w:type="spellEnd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1D18755" w14:textId="6BC3FD2A" w:rsidR="00E254B7" w:rsidRPr="003201D7" w:rsidRDefault="00E254B7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zaćma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mająca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wpływ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monitorowanie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programie.</w:t>
            </w:r>
          </w:p>
          <w:p w14:paraId="4E4193C8" w14:textId="7C6BEB3D" w:rsidR="00E254B7" w:rsidRPr="0057427F" w:rsidRDefault="00E254B7" w:rsidP="004A15CE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201D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82847" w:rsidRPr="003201D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982847" w:rsidRPr="003201D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ustąpienia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zmian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opisanych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pkt</w:t>
            </w:r>
            <w:r w:rsidR="00BE1EF8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</w:t>
            </w:r>
            <w:r w:rsidR="00B83840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prowadzący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(nie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później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300F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miesięcy</w:t>
            </w:r>
            <w:r w:rsidR="00325282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od przerwania wcześniejszego leczenia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włączyć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powrotem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(po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ponownym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spełnieniu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kryteriów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kwalifikacji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programu).</w:t>
            </w:r>
          </w:p>
          <w:p w14:paraId="44CF3992" w14:textId="6C3AA6C4" w:rsidR="00E254B7" w:rsidRPr="003201D7" w:rsidRDefault="00E254B7" w:rsidP="004A15CE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Pacjent,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został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ponownie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zakwalifikowany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ciągu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300F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miesięcy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przerwania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wcześniejszego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zostaje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wyłączony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82847"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7427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programu.</w:t>
            </w:r>
          </w:p>
          <w:p w14:paraId="3E57D137" w14:textId="77777777" w:rsidR="0046300F" w:rsidRPr="003201D7" w:rsidRDefault="0046300F" w:rsidP="004A15CE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2430935" w14:textId="60B0CFD0" w:rsidR="00B83840" w:rsidRPr="003201D7" w:rsidRDefault="00B83840" w:rsidP="004A15CE">
            <w:pPr>
              <w:pStyle w:val="Akapitzlist"/>
              <w:numPr>
                <w:ilvl w:val="0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wyłączenia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50C4F1AC" w14:textId="73CE5D66" w:rsidR="00B83840" w:rsidRPr="003201D7" w:rsidRDefault="00B83840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nadwrażliwości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którąkolwiek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czynną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pomocniczą;</w:t>
            </w:r>
          </w:p>
          <w:p w14:paraId="53ABF81C" w14:textId="44AC093C" w:rsidR="00B83840" w:rsidRPr="003201D7" w:rsidRDefault="00B83840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działań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niepożądanych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związanych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lekiem,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opinii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Koordynacyjnego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uniemożliwiają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dalsze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3DB4A736" w14:textId="1F17242E" w:rsidR="004F31D3" w:rsidRPr="003201D7" w:rsidRDefault="004F31D3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nieakceptowalnej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zagrażającej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życiu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toksyczności,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pomimo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zastosowania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adekwatnego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postępowania;</w:t>
            </w:r>
          </w:p>
          <w:p w14:paraId="67D2E74C" w14:textId="79434861" w:rsidR="0000026F" w:rsidRPr="003201D7" w:rsidRDefault="0000026F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stanów,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które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opinii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Koordynacyjnego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uniemożliwiają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dalsze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075A19C0" w14:textId="79B10063" w:rsidR="00B83840" w:rsidRPr="003201D7" w:rsidRDefault="00773747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</w:t>
            </w:r>
            <w:r w:rsidR="00B83840" w:rsidRPr="003201D7">
              <w:rPr>
                <w:rFonts w:ascii="Times New Roman" w:hAnsi="Times New Roman"/>
                <w:sz w:val="20"/>
                <w:szCs w:val="20"/>
              </w:rPr>
              <w:t>rogresja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83840" w:rsidRPr="003201D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83840" w:rsidRPr="003201D7">
              <w:rPr>
                <w:rFonts w:ascii="Times New Roman" w:hAnsi="Times New Roman"/>
                <w:sz w:val="20"/>
                <w:szCs w:val="20"/>
              </w:rPr>
              <w:t>definiowana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83840" w:rsidRPr="003201D7">
              <w:rPr>
                <w:rFonts w:ascii="Times New Roman" w:hAnsi="Times New Roman"/>
                <w:sz w:val="20"/>
                <w:szCs w:val="20"/>
              </w:rPr>
              <w:t>jako:</w:t>
            </w:r>
          </w:p>
          <w:p w14:paraId="33A00EEB" w14:textId="13887917" w:rsidR="00791B6E" w:rsidRPr="003201D7" w:rsidRDefault="00B83840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pogorszenie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najlepszej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skorygowanej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ostrości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(BCVA)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poziomu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&lt;0,2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określonego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tablicy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Snellena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(lub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odpowiednio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ekwiwalent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ETDRS)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utrzymujące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dłużej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</w:p>
          <w:p w14:paraId="269A8A7B" w14:textId="0AECA5C4" w:rsidR="00B83840" w:rsidRPr="003201D7" w:rsidRDefault="00B83840" w:rsidP="004A15CE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4AC8FE28" w14:textId="6DD367E8" w:rsidR="00791B6E" w:rsidRPr="003201D7" w:rsidRDefault="00B83840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pogorszenie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najlepszej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skorygowanej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ostrości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(BCVA)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tablicach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Snellena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(lub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odpowiednio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ekwiwalent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ETDRS)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utrzymujące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dłużej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porównaniu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ostrością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najlepszej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korekcji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(BCVA)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uzyskanej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momencie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</w:p>
          <w:p w14:paraId="11BF5F36" w14:textId="73FCF828" w:rsidR="00B83840" w:rsidRPr="003201D7" w:rsidRDefault="00B83840" w:rsidP="004A15CE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75134A8" w14:textId="18854C5E" w:rsidR="00791B6E" w:rsidRPr="003201D7" w:rsidRDefault="00B83840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rozległy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zanik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fotoreceptorów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zanik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warstw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zewnętrznych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siatkówki)</w:t>
            </w:r>
          </w:p>
          <w:p w14:paraId="75B45BE0" w14:textId="5B8F6637" w:rsidR="00B83840" w:rsidRPr="003201D7" w:rsidRDefault="00B83840" w:rsidP="004A15CE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116B10ED" w14:textId="6EF0B608" w:rsidR="00791B6E" w:rsidRPr="003201D7" w:rsidRDefault="00B83840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rozwój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przebiegu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DRIL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obszarze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poddołkowym</w:t>
            </w:r>
            <w:proofErr w:type="spellEnd"/>
          </w:p>
          <w:p w14:paraId="2335A899" w14:textId="399B2F1C" w:rsidR="00B83840" w:rsidRPr="003201D7" w:rsidRDefault="00B83840" w:rsidP="004A15CE">
            <w:pPr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3C52F46" w14:textId="08EB0C68" w:rsidR="004C5660" w:rsidRPr="003201D7" w:rsidRDefault="00B83840" w:rsidP="004A15CE">
            <w:pPr>
              <w:numPr>
                <w:ilvl w:val="4"/>
                <w:numId w:val="13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makulopatii</w:t>
            </w:r>
            <w:proofErr w:type="spellEnd"/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niedokrwiennej</w:t>
            </w:r>
            <w:r w:rsidR="004F31D3" w:rsidRPr="003201D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EB37510" w14:textId="623C5EA0" w:rsidR="00AB6ED4" w:rsidRPr="003201D7" w:rsidRDefault="00AB6ED4" w:rsidP="004A15CE">
            <w:pPr>
              <w:pStyle w:val="Akapitzlist"/>
              <w:numPr>
                <w:ilvl w:val="3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współpracy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lekarzem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prowadzącym:</w:t>
            </w:r>
          </w:p>
          <w:p w14:paraId="659E981D" w14:textId="0A9BB7B7" w:rsidR="00AB6ED4" w:rsidRPr="003201D7" w:rsidRDefault="00AB6ED4" w:rsidP="004A15CE">
            <w:pPr>
              <w:pStyle w:val="Akapitzlist"/>
              <w:numPr>
                <w:ilvl w:val="4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niestosowanie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zaleceń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(uchylanie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wykonywania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laboratoryjnych)</w:t>
            </w:r>
            <w:r w:rsidR="00BE1EF8" w:rsidRPr="003201D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03E7E4F" w14:textId="256FFA16" w:rsidR="00AB6ED4" w:rsidRPr="003201D7" w:rsidRDefault="00AB6ED4" w:rsidP="004A15CE">
            <w:pPr>
              <w:pStyle w:val="Akapitzlist"/>
              <w:numPr>
                <w:ilvl w:val="4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nieregularne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przyjmowanie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(pominięcie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kolejnych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dawek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leku)</w:t>
            </w:r>
            <w:r w:rsidR="00BE1EF8" w:rsidRPr="003201D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F5C59C9" w14:textId="21ACF601" w:rsidR="00AB6ED4" w:rsidRPr="003201D7" w:rsidRDefault="00AB6ED4" w:rsidP="004A15CE">
            <w:pPr>
              <w:pStyle w:val="Akapitzlist"/>
              <w:numPr>
                <w:ilvl w:val="4"/>
                <w:numId w:val="1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współpracy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monitorowaniu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(niezgłaszanie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powodów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nieuzasadnionych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określone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kolejne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punkty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kontrolne).</w:t>
            </w:r>
          </w:p>
          <w:p w14:paraId="1183FE8A" w14:textId="06C4D53C" w:rsidR="00791B6E" w:rsidRPr="003201D7" w:rsidRDefault="00791B6E" w:rsidP="00D859F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8E02" w14:textId="0827AEDA" w:rsidR="00773747" w:rsidRPr="003201D7" w:rsidRDefault="00773747" w:rsidP="00B90168">
            <w:pPr>
              <w:numPr>
                <w:ilvl w:val="0"/>
                <w:numId w:val="34"/>
              </w:numPr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3201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982847" w:rsidRPr="003201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201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</w:p>
          <w:p w14:paraId="29DCD770" w14:textId="2FEE12D6" w:rsidR="00572A8E" w:rsidRPr="0057427F" w:rsidRDefault="000F5E36" w:rsidP="00B90168">
            <w:pPr>
              <w:pStyle w:val="Akapitzlist"/>
              <w:numPr>
                <w:ilvl w:val="1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>Zalecane</w:t>
            </w:r>
            <w:r w:rsidR="00982847"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>dawki</w:t>
            </w:r>
            <w:r w:rsidR="00982847"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>na</w:t>
            </w:r>
            <w:r w:rsidR="00982847"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>jedno</w:t>
            </w:r>
            <w:r w:rsidR="00982847"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>podanie</w:t>
            </w:r>
            <w:r w:rsidR="00982847"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>doszklistkowe</w:t>
            </w:r>
            <w:r w:rsidR="00982847"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>to</w:t>
            </w:r>
            <w:r w:rsidR="00D651CE" w:rsidRPr="0057427F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14:paraId="44829672" w14:textId="5117295E" w:rsidR="001F61E3" w:rsidRPr="0057427F" w:rsidRDefault="001F61E3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mg,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odpowiada</w:t>
            </w:r>
            <w:r w:rsidR="006057FA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50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µl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roztworu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(0,05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ml)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09AE207" w14:textId="2A74FB72" w:rsidR="008C745B" w:rsidRPr="0057427F" w:rsidRDefault="008C745B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="00291E06" w:rsidRPr="0057427F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8</w:t>
            </w:r>
            <w:r w:rsidR="00291E06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mg, co odpowiada 70</w:t>
            </w:r>
            <w:r w:rsidR="003201D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µl roztworu (0,07</w:t>
            </w:r>
            <w:r w:rsidR="00291E06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ml)</w:t>
            </w:r>
            <w:r w:rsidR="00291E06" w:rsidRPr="0057427F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0369AFC" w14:textId="0DD29118" w:rsidR="00572A8E" w:rsidRPr="0057427F" w:rsidRDefault="00572A8E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bewacyzumab</w:t>
            </w:r>
            <w:proofErr w:type="spellEnd"/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1,25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mg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,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odpowiada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50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µl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roztworu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(0,05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ml)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BDE381E" w14:textId="07C90D39" w:rsidR="001F61E3" w:rsidRPr="0057427F" w:rsidRDefault="001F61E3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brolucizumab</w:t>
            </w:r>
            <w:proofErr w:type="spellEnd"/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6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mg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,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odpowiada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50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µl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roztworu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(0,05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ml)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F3F93A6" w14:textId="5DFFF908" w:rsidR="00D651CE" w:rsidRPr="0057427F" w:rsidRDefault="00D651CE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deksametazon</w:t>
            </w:r>
            <w:proofErr w:type="spellEnd"/>
            <w:r w:rsidR="00982847"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700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µg,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odpowiada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jednemu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implantowi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7427F">
              <w:rPr>
                <w:rFonts w:ascii="Times New Roman" w:hAnsi="Times New Roman"/>
                <w:sz w:val="20"/>
                <w:szCs w:val="20"/>
              </w:rPr>
              <w:t>doszklistkowemu</w:t>
            </w:r>
            <w:proofErr w:type="spellEnd"/>
            <w:r w:rsidRPr="0057427F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F696EDB" w14:textId="0CB4682B" w:rsidR="001F61E3" w:rsidRPr="0057427F" w:rsidRDefault="001F61E3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farycymab</w:t>
            </w:r>
            <w:proofErr w:type="spellEnd"/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6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mg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,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odpowiada</w:t>
            </w:r>
            <w:r w:rsidR="006057FA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50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µl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roztworu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(0,05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ml)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0D65535" w14:textId="0FF86F5C" w:rsidR="00572A8E" w:rsidRPr="0057427F" w:rsidRDefault="00572A8E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ranibizumab</w:t>
            </w:r>
            <w:proofErr w:type="spellEnd"/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0,5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mg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,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odpowiada</w:t>
            </w:r>
            <w:r w:rsidR="006057FA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50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µl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roztworu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(0,05</w:t>
            </w:r>
            <w:r w:rsidR="00982847"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651CE" w:rsidRPr="0057427F">
              <w:rPr>
                <w:rFonts w:ascii="Times New Roman" w:hAnsi="Times New Roman"/>
                <w:sz w:val="20"/>
                <w:szCs w:val="20"/>
              </w:rPr>
              <w:t>ml)</w:t>
            </w:r>
            <w:r w:rsidR="001F61E3" w:rsidRPr="0057427F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686880B" w14:textId="77777777" w:rsidR="00791B6E" w:rsidRPr="003201D7" w:rsidRDefault="00791B6E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E6396" w14:textId="62D71246" w:rsidR="00C127FC" w:rsidRPr="003201D7" w:rsidRDefault="00C127FC" w:rsidP="00B90168">
            <w:pPr>
              <w:pStyle w:val="Akapitzlist"/>
              <w:numPr>
                <w:ilvl w:val="1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Rozpoczęcie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C040C2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– faza nasycająca</w:t>
            </w:r>
          </w:p>
          <w:p w14:paraId="545252EF" w14:textId="37C0788F" w:rsidR="00215BC6" w:rsidRPr="003201D7" w:rsidRDefault="00215BC6" w:rsidP="004A15CE">
            <w:pPr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Leczenie </w:t>
            </w:r>
            <w:r w:rsidR="00985790" w:rsidRPr="003201D7">
              <w:rPr>
                <w:rFonts w:ascii="Times New Roman" w:hAnsi="Times New Roman"/>
                <w:sz w:val="20"/>
                <w:szCs w:val="20"/>
              </w:rPr>
              <w:t xml:space="preserve">pacjentów pierwszorazowych lub leczonych wcześniej nieskutecznie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 xml:space="preserve">rozpoczyna się </w:t>
            </w:r>
            <w:r w:rsidR="00985790" w:rsidRPr="003201D7">
              <w:rPr>
                <w:rFonts w:ascii="Times New Roman" w:hAnsi="Times New Roman"/>
                <w:sz w:val="20"/>
                <w:szCs w:val="20"/>
              </w:rPr>
              <w:t xml:space="preserve">od 5 dawek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bewacyzumabu</w:t>
            </w:r>
            <w:proofErr w:type="spellEnd"/>
            <w:r w:rsidR="00C040C2" w:rsidRPr="003201D7">
              <w:rPr>
                <w:rFonts w:ascii="Times New Roman" w:hAnsi="Times New Roman"/>
                <w:sz w:val="20"/>
                <w:szCs w:val="20"/>
              </w:rPr>
              <w:t>, podawanych w odstępach 28 – 35 dni.</w:t>
            </w:r>
          </w:p>
          <w:p w14:paraId="303605E9" w14:textId="4CBB0E04" w:rsidR="00C040C2" w:rsidRPr="003201D7" w:rsidRDefault="00C040C2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U pacjentów, u których w ostatnich 6 miesiącach wystąpił incydent sercowo-naczyniowy i istnieje ryzyko zaostrzenia przebiegu stanu ogólnego w przypadku </w:t>
            </w:r>
            <w:r w:rsidR="002E371C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rozpoczęcia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leczenia lekami z grupy anty-VEGF, leczenie należy prowadzić z wykorzystaniem </w:t>
            </w:r>
            <w:proofErr w:type="spellStart"/>
            <w:r w:rsidRPr="003201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deksametazonu</w:t>
            </w:r>
            <w:proofErr w:type="spellEnd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w postaci implantu.</w:t>
            </w:r>
          </w:p>
          <w:p w14:paraId="2A0D1F8B" w14:textId="77777777" w:rsidR="00C040C2" w:rsidRPr="003201D7" w:rsidRDefault="00C040C2" w:rsidP="004A15CE">
            <w:pPr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FA1C74C" w14:textId="5C678753" w:rsidR="00FE77D7" w:rsidRPr="0057427F" w:rsidRDefault="00C040C2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427F">
              <w:rPr>
                <w:rFonts w:ascii="Times New Roman" w:hAnsi="Times New Roman" w:cs="Times New Roman"/>
                <w:sz w:val="20"/>
                <w:szCs w:val="20"/>
              </w:rPr>
              <w:t>Jedna iniekcja w odstępach 28 – 35 dni przez:</w:t>
            </w:r>
          </w:p>
          <w:p w14:paraId="698861CE" w14:textId="345F4DE9" w:rsidR="00FE77D7" w:rsidRPr="0057427F" w:rsidRDefault="00FE77D7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57427F">
              <w:rPr>
                <w:rFonts w:ascii="Times New Roman" w:hAnsi="Times New Roman"/>
                <w:sz w:val="20"/>
                <w:szCs w:val="20"/>
              </w:rPr>
              <w:t xml:space="preserve">3 </w:t>
            </w:r>
            <w:r w:rsidR="00291E06" w:rsidRPr="0057427F">
              <w:rPr>
                <w:rFonts w:ascii="Times New Roman" w:hAnsi="Times New Roman"/>
                <w:sz w:val="20"/>
                <w:szCs w:val="20"/>
              </w:rPr>
              <w:t xml:space="preserve">kolejne miesiące – </w:t>
            </w: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8</w:t>
            </w:r>
            <w:r w:rsidR="00291E06"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="00291E06"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111C3150" w14:textId="2B9E8314" w:rsidR="00C040C2" w:rsidRPr="0057427F" w:rsidRDefault="00C040C2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57427F">
              <w:rPr>
                <w:rFonts w:ascii="Times New Roman" w:hAnsi="Times New Roman"/>
                <w:sz w:val="20"/>
                <w:szCs w:val="20"/>
              </w:rPr>
              <w:t xml:space="preserve">5 kolejnych miesięcy – </w:t>
            </w: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bewacyzumab</w:t>
            </w:r>
            <w:proofErr w:type="spellEnd"/>
            <w:r w:rsidRPr="0057427F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="00FE77D7"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</w:t>
            </w:r>
            <w:r w:rsidR="00291E06"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FE77D7"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19C8F13" w14:textId="28A9FA2F" w:rsidR="00C040C2" w:rsidRPr="0057427F" w:rsidRDefault="002D11A6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 lub </w:t>
            </w:r>
            <w:r w:rsidR="00863001">
              <w:rPr>
                <w:rFonts w:ascii="Times New Roman" w:hAnsi="Times New Roman"/>
                <w:sz w:val="20"/>
                <w:szCs w:val="20"/>
              </w:rPr>
              <w:t>4</w:t>
            </w:r>
            <w:r w:rsidRPr="0057427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0C2" w:rsidRPr="0057427F">
              <w:rPr>
                <w:rFonts w:ascii="Times New Roman" w:hAnsi="Times New Roman"/>
                <w:sz w:val="20"/>
                <w:szCs w:val="20"/>
              </w:rPr>
              <w:t>kolejn</w:t>
            </w:r>
            <w:r>
              <w:rPr>
                <w:rFonts w:ascii="Times New Roman" w:hAnsi="Times New Roman"/>
                <w:sz w:val="20"/>
                <w:szCs w:val="20"/>
              </w:rPr>
              <w:t>ych</w:t>
            </w:r>
            <w:r w:rsidR="00C040C2" w:rsidRPr="0057427F">
              <w:rPr>
                <w:rFonts w:ascii="Times New Roman" w:hAnsi="Times New Roman"/>
                <w:sz w:val="20"/>
                <w:szCs w:val="20"/>
              </w:rPr>
              <w:t xml:space="preserve"> miesi</w:t>
            </w:r>
            <w:r>
              <w:rPr>
                <w:rFonts w:ascii="Times New Roman" w:hAnsi="Times New Roman"/>
                <w:sz w:val="20"/>
                <w:szCs w:val="20"/>
              </w:rPr>
              <w:t>ęcy</w:t>
            </w:r>
            <w:r w:rsidR="00C040C2" w:rsidRPr="0057427F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proofErr w:type="spellStart"/>
            <w:r w:rsidR="00C040C2"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farycymab</w:t>
            </w:r>
            <w:proofErr w:type="spellEnd"/>
            <w:r w:rsidR="00C040C2" w:rsidRPr="0057427F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6E298A8A" w14:textId="77777777" w:rsidR="00C040C2" w:rsidRPr="003201D7" w:rsidRDefault="00C040C2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57427F">
              <w:rPr>
                <w:rFonts w:ascii="Times New Roman" w:hAnsi="Times New Roman"/>
                <w:sz w:val="20"/>
                <w:szCs w:val="20"/>
              </w:rPr>
              <w:t>do czasu uzyskania maksymalnej ostrości wzroku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 xml:space="preserve"> lub braku cech aktywności choroby, tj. braku zmian w ostrości wzroku oraz innych objawów przedmiotowych choroby podczas kontynuowania leczenia –</w:t>
            </w:r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ranibizumab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AB4CAA4" w14:textId="77777777" w:rsidR="00C040C2" w:rsidRPr="003201D7" w:rsidRDefault="00C040C2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Jedna iniekcja co 6 tygodni przez:</w:t>
            </w:r>
          </w:p>
          <w:p w14:paraId="14CEDA5C" w14:textId="77777777" w:rsidR="00C040C2" w:rsidRPr="003201D7" w:rsidRDefault="00C040C2" w:rsidP="0057427F">
            <w:pPr>
              <w:pStyle w:val="Akapitzlist"/>
              <w:spacing w:before="0" w:after="60" w:line="276" w:lineRule="auto"/>
              <w:ind w:left="227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 xml:space="preserve">1) 5 kolejnych dawek - </w:t>
            </w: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brolucizumab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D53FE3F" w14:textId="77777777" w:rsidR="00C040C2" w:rsidRPr="003201D7" w:rsidRDefault="00C040C2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5EC403" w14:textId="6DDDDD31" w:rsidR="002A29B3" w:rsidRPr="003201D7" w:rsidRDefault="002A29B3" w:rsidP="00B90168">
            <w:pPr>
              <w:pStyle w:val="Akapitzlist"/>
              <w:numPr>
                <w:ilvl w:val="1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Faza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podtrzymująca</w:t>
            </w:r>
          </w:p>
          <w:p w14:paraId="7292AD49" w14:textId="4463EEBA" w:rsidR="002A29B3" w:rsidRPr="003201D7" w:rsidRDefault="002A29B3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Schemat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dawkowania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ustalany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1B6E" w:rsidRPr="003201D7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indywidualnie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prowadzącego,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zasadą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„</w:t>
            </w:r>
            <w:proofErr w:type="spellStart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treat</w:t>
            </w:r>
            <w:proofErr w:type="spellEnd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-and-</w:t>
            </w:r>
            <w:proofErr w:type="spellStart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extend</w:t>
            </w:r>
            <w:proofErr w:type="spellEnd"/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Odstępy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między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podaniami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mogą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skracane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wydłużane,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tak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aby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podtrzymać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parametrów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wzrokowych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anatomicznych,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poniższymi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zapisami:</w:t>
            </w:r>
          </w:p>
          <w:p w14:paraId="1AC152AB" w14:textId="5F9D0B45" w:rsidR="007C7066" w:rsidRPr="00F40F00" w:rsidRDefault="001F61E3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lastRenderedPageBreak/>
              <w:t>aflibercept</w:t>
            </w:r>
            <w:proofErr w:type="spellEnd"/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E77D7"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>2</w:t>
            </w:r>
            <w:r w:rsidR="00291E06"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FE77D7"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="00291E06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B2CE7" w:rsidRPr="00F40F00">
              <w:rPr>
                <w:rFonts w:ascii="Times New Roman" w:hAnsi="Times New Roman"/>
                <w:sz w:val="20"/>
                <w:szCs w:val="20"/>
              </w:rPr>
              <w:t>iniekcje wykonuje się w odstępach co 8 tygodni, ale nie później niż 7 dni po upływie tego terminu, jednorazowo odstęp można wydłużyć lub skrócić o 2 lub 4 tygodnie; minimalny odstęp między iniekcjami wynosi 4 tygodnie, a maksymalny 16 tygodni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;</w:t>
            </w:r>
            <w:r w:rsidR="007C7066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45D1114" w14:textId="15AFAFB1" w:rsidR="00FE77D7" w:rsidRPr="00F40F00" w:rsidRDefault="00FE77D7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>aflibercept</w:t>
            </w:r>
            <w:proofErr w:type="spellEnd"/>
            <w:r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8</w:t>
            </w:r>
            <w:r w:rsidR="003201D7"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>mg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 w:rsidR="0046300F" w:rsidRPr="00F40F00">
              <w:rPr>
                <w:rFonts w:ascii="Times New Roman" w:hAnsi="Times New Roman"/>
                <w:sz w:val="20"/>
                <w:szCs w:val="20"/>
              </w:rPr>
              <w:t>iniekcje wykonuje się w odstępach minimum co 8 tygodni z maksymalnym wydłużeniem do 20 tygodni u pacjentów bez aktywności choroby</w:t>
            </w:r>
            <w:r w:rsidR="008D67D6" w:rsidRPr="00F40F00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00EAFA7" w14:textId="3B430E1B" w:rsidR="002A29B3" w:rsidRPr="00F40F00" w:rsidRDefault="002A29B3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>bew</w:t>
            </w:r>
            <w:r w:rsidR="002B2CE7"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>a</w:t>
            </w:r>
            <w:r w:rsidRPr="00F40F00">
              <w:rPr>
                <w:rFonts w:ascii="Times New Roman" w:hAnsi="Times New Roman"/>
                <w:i/>
                <w:iCs/>
                <w:sz w:val="20"/>
                <w:szCs w:val="20"/>
              </w:rPr>
              <w:t>cyzumab</w:t>
            </w:r>
            <w:proofErr w:type="spellEnd"/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iniekcje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odstępach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618B3" w:rsidRPr="00F40F00">
              <w:rPr>
                <w:rFonts w:ascii="Times New Roman" w:hAnsi="Times New Roman"/>
                <w:sz w:val="20"/>
                <w:szCs w:val="20"/>
              </w:rPr>
              <w:t>8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618B3" w:rsidRPr="00F40F00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,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ale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nie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później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niż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7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dni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po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upływie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tego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17D1" w:rsidRPr="00F40F00">
              <w:rPr>
                <w:rFonts w:ascii="Times New Roman" w:hAnsi="Times New Roman"/>
                <w:sz w:val="20"/>
                <w:szCs w:val="20"/>
              </w:rPr>
              <w:t>terminu;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skuteczności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odstęp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E6EFC" w:rsidRPr="00F40F00">
              <w:rPr>
                <w:rFonts w:ascii="Times New Roman" w:hAnsi="Times New Roman"/>
                <w:sz w:val="20"/>
                <w:szCs w:val="20"/>
              </w:rPr>
              <w:t>ten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można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wydłużyć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po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12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13F0F" w:rsidRPr="00F40F00">
              <w:rPr>
                <w:rFonts w:ascii="Times New Roman" w:hAnsi="Times New Roman"/>
                <w:sz w:val="20"/>
                <w:szCs w:val="20"/>
              </w:rPr>
              <w:t>miesiącach</w:t>
            </w:r>
            <w:r w:rsidR="0098284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E6EFC" w:rsidRPr="00F40F00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700C71CC" w14:textId="397FFBCD" w:rsidR="001F61E3" w:rsidRPr="003201D7" w:rsidRDefault="001F61E3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brolucizumab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iniekcje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odstępach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8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tygodni,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ale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później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7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dni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upływie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terminu;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braku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3435F" w:rsidRPr="003201D7">
              <w:rPr>
                <w:rFonts w:ascii="Times New Roman" w:hAnsi="Times New Roman"/>
                <w:sz w:val="20"/>
                <w:szCs w:val="20"/>
              </w:rPr>
              <w:t xml:space="preserve">po 12 miesiącach leczenia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odstęp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pomiędzy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dawkami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można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wydłużyć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3435F" w:rsidRPr="003201D7">
              <w:rPr>
                <w:rFonts w:ascii="Times New Roman" w:hAnsi="Times New Roman"/>
                <w:sz w:val="20"/>
                <w:szCs w:val="20"/>
              </w:rPr>
              <w:t xml:space="preserve">16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tygodni;</w:t>
            </w:r>
          </w:p>
          <w:p w14:paraId="5C0253F6" w14:textId="6367941A" w:rsidR="0083526F" w:rsidRPr="003201D7" w:rsidRDefault="0083526F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deksametazon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postaci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implantu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ChPL;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nawrotu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schemat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dawkowania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ustala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prowadzący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stosując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częściej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odstępach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4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miesiące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(tj.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częściej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niż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124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dni)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wydłużenia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odstępów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między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wstrzyknięciami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9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(tj.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279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dni);</w:t>
            </w:r>
          </w:p>
          <w:p w14:paraId="6D5585F8" w14:textId="63BC6D35" w:rsidR="001F61E3" w:rsidRPr="003201D7" w:rsidRDefault="001F61E3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farycymab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iniekcje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6AC3" w:rsidRPr="003201D7">
              <w:rPr>
                <w:rFonts w:ascii="Times New Roman" w:hAnsi="Times New Roman"/>
                <w:sz w:val="20"/>
                <w:szCs w:val="20"/>
              </w:rPr>
              <w:t xml:space="preserve">w odstępach </w:t>
            </w:r>
            <w:r w:rsidR="002D11A6">
              <w:rPr>
                <w:rFonts w:ascii="Times New Roman" w:hAnsi="Times New Roman"/>
                <w:sz w:val="20"/>
                <w:szCs w:val="20"/>
              </w:rPr>
              <w:t xml:space="preserve">minimum co 4 tygodnie i </w:t>
            </w:r>
            <w:r w:rsidR="008A6AC3" w:rsidRPr="003201D7">
              <w:rPr>
                <w:rFonts w:ascii="Times New Roman" w:hAnsi="Times New Roman"/>
                <w:sz w:val="20"/>
                <w:szCs w:val="20"/>
              </w:rPr>
              <w:t xml:space="preserve">maksymalnie co 16 tygodni, </w:t>
            </w:r>
          </w:p>
          <w:p w14:paraId="4E753CF5" w14:textId="66CE04F9" w:rsidR="002A29B3" w:rsidRPr="003201D7" w:rsidRDefault="002A29B3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201D7">
              <w:rPr>
                <w:rFonts w:ascii="Times New Roman" w:hAnsi="Times New Roman"/>
                <w:i/>
                <w:iCs/>
                <w:sz w:val="20"/>
                <w:szCs w:val="20"/>
              </w:rPr>
              <w:t>ranibizumab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iniekcje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odstępach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minimum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4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tygodnie,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jednorazowo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odstęp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można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wydłużyć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4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tygodnie</w:t>
            </w:r>
            <w:r w:rsidR="0083526F"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AF67610" w14:textId="77777777" w:rsidR="00066B4E" w:rsidRPr="003201D7" w:rsidRDefault="00066B4E" w:rsidP="004A15CE">
            <w:pPr>
              <w:pStyle w:val="Akapitzlist"/>
              <w:spacing w:before="0" w:after="60" w:line="276" w:lineRule="auto"/>
              <w:ind w:left="454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  <w:p w14:paraId="48138AB8" w14:textId="554D6F4C" w:rsidR="00066B4E" w:rsidRPr="003201D7" w:rsidRDefault="00066B4E" w:rsidP="00B90168">
            <w:pPr>
              <w:pStyle w:val="Akapitzlist"/>
              <w:numPr>
                <w:ilvl w:val="1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Kontynuacja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terapii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rozpoczętej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poza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programem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0DE321FE" w14:textId="5ED87551" w:rsidR="002A29B3" w:rsidRPr="003201D7" w:rsidRDefault="002A29B3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zakwalifikowanych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rozpoczęli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źródła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finansowania,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schemat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dawkowania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dostosować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etapu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jakim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znajduje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pacjent.</w:t>
            </w:r>
          </w:p>
          <w:p w14:paraId="09882C71" w14:textId="77777777" w:rsidR="00791B6E" w:rsidRPr="003201D7" w:rsidRDefault="00791B6E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FF0A87" w14:textId="2121F9C4" w:rsidR="00D40BAA" w:rsidRPr="003201D7" w:rsidRDefault="00D40BAA" w:rsidP="00B90168">
            <w:pPr>
              <w:pStyle w:val="Akapitzlist"/>
              <w:numPr>
                <w:ilvl w:val="1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Wstrzymanie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podawania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leku</w:t>
            </w:r>
          </w:p>
          <w:p w14:paraId="4A43BBFA" w14:textId="286C894D" w:rsidR="00D40BAA" w:rsidRPr="003201D7" w:rsidRDefault="00D40BAA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Podawanie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odroczyć,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wystąpi:</w:t>
            </w:r>
          </w:p>
          <w:p w14:paraId="238F44FB" w14:textId="211184E3" w:rsidR="00D40BAA" w:rsidRPr="003201D7" w:rsidRDefault="00D40BAA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ciśnienie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śródgałkowe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≥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30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mmHg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(utrzymujące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pomimo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leczenia);</w:t>
            </w:r>
          </w:p>
          <w:p w14:paraId="4A561EE2" w14:textId="4EE0A7AF" w:rsidR="00D40BAA" w:rsidRPr="003201D7" w:rsidRDefault="00D40BAA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rozerwanie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siatkówki;</w:t>
            </w:r>
          </w:p>
          <w:p w14:paraId="402AC04C" w14:textId="0490DAF9" w:rsidR="00D40BAA" w:rsidRPr="003201D7" w:rsidRDefault="00D40BAA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przeprowadzenie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planowanie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operacji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wewnątrzgałkowej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długości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okresu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wstrzymania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podawania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operacją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decyduje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prowadzący);</w:t>
            </w:r>
          </w:p>
          <w:p w14:paraId="432001DF" w14:textId="05744F0F" w:rsidR="00D40BAA" w:rsidRPr="003201D7" w:rsidRDefault="00D40BAA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brak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3C6868" w:rsidRPr="003201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DF48ED2" w14:textId="06A06022" w:rsidR="00D40BAA" w:rsidRPr="003201D7" w:rsidRDefault="00791B6E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terminie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kolejnej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odroczeniu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decyduje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lekarz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prowadzący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zastrzeżeniem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BAA" w:rsidRPr="003201D7">
              <w:rPr>
                <w:rFonts w:ascii="Times New Roman" w:hAnsi="Times New Roman" w:cs="Times New Roman"/>
                <w:sz w:val="20"/>
                <w:szCs w:val="20"/>
              </w:rPr>
              <w:t>programu.</w:t>
            </w:r>
          </w:p>
          <w:p w14:paraId="4CE889C4" w14:textId="77777777" w:rsidR="00791B6E" w:rsidRPr="003201D7" w:rsidRDefault="00791B6E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0BB193" w14:textId="4AE026B5" w:rsidR="003C6868" w:rsidRPr="003201D7" w:rsidRDefault="003C6868" w:rsidP="00B90168">
            <w:pPr>
              <w:pStyle w:val="Akapitzlist"/>
              <w:numPr>
                <w:ilvl w:val="1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40F00">
              <w:rPr>
                <w:rFonts w:ascii="Times New Roman" w:hAnsi="Times New Roman"/>
                <w:b/>
                <w:bCs/>
                <w:sz w:val="20"/>
                <w:szCs w:val="20"/>
              </w:rPr>
              <w:t>Zmiana</w:t>
            </w:r>
            <w:r w:rsidR="00982847" w:rsidRPr="00F40F0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b/>
                <w:bCs/>
                <w:sz w:val="20"/>
                <w:szCs w:val="20"/>
              </w:rPr>
              <w:t>leku</w:t>
            </w:r>
            <w:r w:rsidR="001A40E0" w:rsidRPr="00F40F0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lub dawki leku</w:t>
            </w:r>
            <w:r w:rsidR="00982847" w:rsidRPr="00F40F0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982847" w:rsidRPr="00F40F0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F40F00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  <w:p w14:paraId="7FA788F7" w14:textId="28BF2E31" w:rsidR="00C127FC" w:rsidRPr="003201D7" w:rsidRDefault="00F40F00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miana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leku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programie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odbywa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się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5B8E" w:rsidRPr="003201D7">
              <w:rPr>
                <w:rFonts w:ascii="Times New Roman" w:hAnsi="Times New Roman"/>
                <w:sz w:val="20"/>
                <w:szCs w:val="20"/>
              </w:rPr>
              <w:t>zgodą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6868" w:rsidRPr="003201D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6868" w:rsidRPr="003201D7">
              <w:rPr>
                <w:rFonts w:ascii="Times New Roman" w:hAnsi="Times New Roman"/>
                <w:sz w:val="20"/>
                <w:szCs w:val="20"/>
              </w:rPr>
              <w:t>Koordynacyjnego.</w:t>
            </w:r>
          </w:p>
          <w:p w14:paraId="56E57DCF" w14:textId="65EF0EF4" w:rsidR="00215BC6" w:rsidRPr="003201D7" w:rsidRDefault="00F40F00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</w:t>
            </w:r>
            <w:r w:rsidR="00215BC6" w:rsidRPr="003201D7">
              <w:rPr>
                <w:rFonts w:ascii="Times New Roman" w:hAnsi="Times New Roman"/>
                <w:sz w:val="20"/>
                <w:szCs w:val="20"/>
              </w:rPr>
              <w:t xml:space="preserve">miana leku z </w:t>
            </w:r>
            <w:proofErr w:type="spellStart"/>
            <w:r w:rsidR="00215BC6" w:rsidRPr="003201D7">
              <w:rPr>
                <w:rFonts w:ascii="Times New Roman" w:hAnsi="Times New Roman"/>
                <w:sz w:val="20"/>
                <w:szCs w:val="20"/>
              </w:rPr>
              <w:t>bewacyzumabu</w:t>
            </w:r>
            <w:proofErr w:type="spellEnd"/>
            <w:r w:rsidR="00215BC6" w:rsidRPr="003201D7">
              <w:rPr>
                <w:rFonts w:ascii="Times New Roman" w:hAnsi="Times New Roman"/>
                <w:sz w:val="20"/>
                <w:szCs w:val="20"/>
              </w:rPr>
              <w:t xml:space="preserve"> na inny możliwa jest, gdy </w:t>
            </w:r>
            <w:proofErr w:type="spellStart"/>
            <w:r w:rsidR="002E371C" w:rsidRPr="003201D7">
              <w:rPr>
                <w:rFonts w:ascii="Times New Roman" w:hAnsi="Times New Roman"/>
                <w:sz w:val="20"/>
                <w:szCs w:val="20"/>
              </w:rPr>
              <w:t>HbAIc</w:t>
            </w:r>
            <w:proofErr w:type="spellEnd"/>
            <w:r w:rsidR="00215BC6" w:rsidRPr="003201D7">
              <w:rPr>
                <w:rFonts w:ascii="Times New Roman" w:hAnsi="Times New Roman"/>
                <w:sz w:val="20"/>
                <w:szCs w:val="20"/>
              </w:rPr>
              <w:t xml:space="preserve"> wynosi ≤ 9%.</w:t>
            </w:r>
          </w:p>
          <w:p w14:paraId="09DC0C05" w14:textId="4F1803D5" w:rsidR="00F6753E" w:rsidRPr="003201D7" w:rsidRDefault="00F40F00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F6753E" w:rsidRPr="003201D7">
              <w:rPr>
                <w:rFonts w:ascii="Times New Roman" w:hAnsi="Times New Roman"/>
                <w:sz w:val="20"/>
                <w:szCs w:val="20"/>
              </w:rPr>
              <w:t>chemat dawkowania leku po zmianie ustala lekarz prowadzący.</w:t>
            </w:r>
          </w:p>
          <w:p w14:paraId="251F4EB9" w14:textId="2F0474E6" w:rsidR="00924021" w:rsidRPr="00F40F00" w:rsidRDefault="00F40F00" w:rsidP="00B90168">
            <w:pPr>
              <w:pStyle w:val="Akapitzlist"/>
              <w:numPr>
                <w:ilvl w:val="3"/>
                <w:numId w:val="34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pacjentów,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ostatnich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6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miesiącach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wystąpił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incydent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sercowo-naczyniowy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istnieje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ryzyko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zaostrzenia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przebiegu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stanu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ogólnego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kontynuacji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lekami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grupy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anty-VEGF,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prowadzić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wykorzystaniem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0F7B07" w:rsidRPr="003201D7">
              <w:rPr>
                <w:rFonts w:ascii="Times New Roman" w:hAnsi="Times New Roman"/>
                <w:sz w:val="20"/>
                <w:szCs w:val="20"/>
              </w:rPr>
              <w:t>deksametazonu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3201D7">
              <w:rPr>
                <w:rFonts w:ascii="Times New Roman" w:hAnsi="Times New Roman"/>
                <w:sz w:val="20"/>
                <w:szCs w:val="20"/>
              </w:rPr>
              <w:t>postaci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B07" w:rsidRPr="00F40F00">
              <w:rPr>
                <w:rFonts w:ascii="Times New Roman" w:hAnsi="Times New Roman"/>
                <w:sz w:val="20"/>
                <w:szCs w:val="20"/>
              </w:rPr>
              <w:t>implantu.</w:t>
            </w:r>
          </w:p>
          <w:p w14:paraId="5ECC5157" w14:textId="198DB361" w:rsidR="003201D7" w:rsidRPr="00F40F00" w:rsidRDefault="00551985" w:rsidP="004A15C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40F00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W przypadku </w:t>
            </w:r>
            <w:proofErr w:type="spellStart"/>
            <w:r w:rsidR="009D1511" w:rsidRPr="00F40F00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afliberceptu</w:t>
            </w:r>
            <w:proofErr w:type="spellEnd"/>
            <w:r w:rsidRPr="00F40F00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="00D4745D" w:rsidRPr="00F40F00">
              <w:rPr>
                <w:rFonts w:ascii="Times New Roman" w:hAnsi="Times New Roman"/>
                <w:sz w:val="20"/>
                <w:szCs w:val="20"/>
              </w:rPr>
              <w:t>występującego w dwóch dawkach terapeutycznych lekarz prowadzący może podjąć samodzielnie decyzję o zmianie dawk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>i</w:t>
            </w:r>
            <w:r w:rsidR="00D4745D" w:rsidRPr="00F40F00">
              <w:rPr>
                <w:rFonts w:ascii="Times New Roman" w:hAnsi="Times New Roman"/>
                <w:sz w:val="20"/>
                <w:szCs w:val="20"/>
              </w:rPr>
              <w:t xml:space="preserve"> na wyższ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>ą</w:t>
            </w:r>
            <w:r w:rsidR="00D4745D" w:rsidRPr="00F40F00">
              <w:rPr>
                <w:rFonts w:ascii="Times New Roman" w:hAnsi="Times New Roman"/>
                <w:sz w:val="20"/>
                <w:szCs w:val="20"/>
              </w:rPr>
              <w:t xml:space="preserve"> po zakończeniu fazy nasycenia dawką 2 mg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>,</w:t>
            </w:r>
            <w:r w:rsidR="00D4745D" w:rsidRPr="00F40F00">
              <w:rPr>
                <w:rFonts w:ascii="Times New Roman" w:hAnsi="Times New Roman"/>
                <w:sz w:val="20"/>
                <w:szCs w:val="20"/>
              </w:rPr>
              <w:t xml:space="preserve"> od które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>j</w:t>
            </w:r>
            <w:r w:rsidR="00D4745D" w:rsidRPr="00F40F00">
              <w:rPr>
                <w:rFonts w:ascii="Times New Roman" w:hAnsi="Times New Roman"/>
                <w:sz w:val="20"/>
                <w:szCs w:val="20"/>
              </w:rPr>
              <w:t xml:space="preserve"> rozpoczęto leczenie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>,</w:t>
            </w:r>
            <w:r w:rsidR="00D4745D" w:rsidRPr="00F40F00">
              <w:rPr>
                <w:rFonts w:ascii="Times New Roman" w:hAnsi="Times New Roman"/>
                <w:sz w:val="20"/>
                <w:szCs w:val="20"/>
              </w:rPr>
              <w:t xml:space="preserve"> z dostosowaniem schematu dawkowania w dalszym prowadzeniu pacjenta.</w:t>
            </w:r>
          </w:p>
          <w:p w14:paraId="76480FD2" w14:textId="762E06EB" w:rsidR="00D4745D" w:rsidRPr="003201D7" w:rsidRDefault="007C184B" w:rsidP="004A15C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40F00">
              <w:rPr>
                <w:rFonts w:ascii="Times New Roman" w:hAnsi="Times New Roman"/>
                <w:sz w:val="20"/>
                <w:szCs w:val="20"/>
              </w:rPr>
              <w:t xml:space="preserve">W przypadku braku skuteczności leczenia dawką </w:t>
            </w:r>
            <w:proofErr w:type="spellStart"/>
            <w:r w:rsidRPr="00F40F00">
              <w:rPr>
                <w:rFonts w:ascii="Times New Roman" w:hAnsi="Times New Roman"/>
                <w:sz w:val="20"/>
                <w:szCs w:val="20"/>
              </w:rPr>
              <w:t>afliberceptu</w:t>
            </w:r>
            <w:proofErr w:type="spellEnd"/>
            <w:r w:rsidRPr="00F40F00">
              <w:rPr>
                <w:rFonts w:ascii="Times New Roman" w:hAnsi="Times New Roman"/>
                <w:sz w:val="20"/>
                <w:szCs w:val="20"/>
              </w:rPr>
              <w:t xml:space="preserve"> 8 mg nie można dokonać zmiany leku na dawkę </w:t>
            </w:r>
            <w:proofErr w:type="spellStart"/>
            <w:r w:rsidRPr="00F40F00">
              <w:rPr>
                <w:rFonts w:ascii="Times New Roman" w:hAnsi="Times New Roman"/>
                <w:sz w:val="20"/>
                <w:szCs w:val="20"/>
              </w:rPr>
              <w:t>afliberceptu</w:t>
            </w:r>
            <w:proofErr w:type="spellEnd"/>
            <w:r w:rsidRPr="00F40F00">
              <w:rPr>
                <w:rFonts w:ascii="Times New Roman" w:hAnsi="Times New Roman"/>
                <w:sz w:val="20"/>
                <w:szCs w:val="20"/>
              </w:rPr>
              <w:t xml:space="preserve"> 2 mg.</w:t>
            </w:r>
          </w:p>
          <w:p w14:paraId="0FC8A703" w14:textId="77777777" w:rsidR="004C5660" w:rsidRPr="003201D7" w:rsidRDefault="004C5660" w:rsidP="003201D7">
            <w:pPr>
              <w:pStyle w:val="Akapitzlist"/>
              <w:spacing w:before="0" w:after="60" w:line="276" w:lineRule="auto"/>
              <w:ind w:left="510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095A" w14:textId="535CB1E5" w:rsidR="00C6772D" w:rsidRPr="003201D7" w:rsidRDefault="00C6772D" w:rsidP="00D859FF">
            <w:pPr>
              <w:pStyle w:val="Akapitzlist"/>
              <w:numPr>
                <w:ilvl w:val="0"/>
                <w:numId w:val="15"/>
              </w:numPr>
              <w:spacing w:before="12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Badania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przy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4887C6EB" w14:textId="300B363E" w:rsidR="00C6772D" w:rsidRPr="003201D7" w:rsidRDefault="00C6772D" w:rsidP="004A15CE">
            <w:pPr>
              <w:pStyle w:val="Akapitzlist"/>
              <w:numPr>
                <w:ilvl w:val="3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okulistyczne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oceną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tablicach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Snellena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ETDRS;</w:t>
            </w:r>
          </w:p>
          <w:p w14:paraId="1BE6FDB7" w14:textId="75EABC9C" w:rsidR="00C6772D" w:rsidRPr="003201D7" w:rsidRDefault="00C6772D" w:rsidP="004A15CE">
            <w:pPr>
              <w:pStyle w:val="Akapitzlist"/>
              <w:numPr>
                <w:ilvl w:val="3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(optyczna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koherentna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tomografia);</w:t>
            </w:r>
          </w:p>
          <w:p w14:paraId="07A00EE1" w14:textId="289C34CD" w:rsidR="00C6772D" w:rsidRPr="003201D7" w:rsidRDefault="00C6772D" w:rsidP="004A15CE">
            <w:pPr>
              <w:pStyle w:val="Akapitzlist"/>
              <w:numPr>
                <w:ilvl w:val="3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fotografia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oka;</w:t>
            </w:r>
          </w:p>
          <w:p w14:paraId="22678676" w14:textId="60A89267" w:rsidR="00C6772D" w:rsidRPr="003201D7" w:rsidRDefault="00C6772D" w:rsidP="004A15CE">
            <w:pPr>
              <w:pStyle w:val="Akapitzlist"/>
              <w:numPr>
                <w:ilvl w:val="3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angiografia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fluoresceinowa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angio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-OCT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trudnych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diagnostycznego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punktu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widzenia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-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angiografia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indocyjaninowa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)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uczulenia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barwnik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stosowany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angiografii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razie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jednoznacznych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przeciwwskazań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wykonania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można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niego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odstąpić.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Fakt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odstąpienia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opisać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przekazać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Koordynacyjnego;</w:t>
            </w:r>
          </w:p>
          <w:p w14:paraId="6B73D408" w14:textId="3F928B17" w:rsidR="00C6772D" w:rsidRPr="003201D7" w:rsidRDefault="00C6772D" w:rsidP="004A15CE">
            <w:pPr>
              <w:pStyle w:val="Akapitzlist"/>
              <w:numPr>
                <w:ilvl w:val="3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diabetologiczna</w:t>
            </w:r>
            <w:r w:rsidR="00B20EAA" w:rsidRPr="003201D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wewnętrznych</w:t>
            </w:r>
            <w:r w:rsidR="00B20EAA" w:rsidRPr="003201D7">
              <w:rPr>
                <w:rFonts w:ascii="Times New Roman" w:hAnsi="Times New Roman"/>
                <w:sz w:val="20"/>
                <w:szCs w:val="20"/>
              </w:rPr>
              <w:t xml:space="preserve"> lub lekarza POZ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wynikiem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2E371C" w:rsidRPr="003201D7">
              <w:rPr>
                <w:rFonts w:ascii="Times New Roman" w:hAnsi="Times New Roman"/>
                <w:sz w:val="20"/>
                <w:szCs w:val="20"/>
              </w:rPr>
              <w:t>HbAIc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oceną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wyrównania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ciśnienia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tętniczego,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funkcji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nerek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oraz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obecność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powikłań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cukrzycy.</w:t>
            </w:r>
            <w:r w:rsidR="005632B5" w:rsidRPr="003201D7">
              <w:rPr>
                <w:rFonts w:ascii="Times New Roman" w:hAnsi="Times New Roman"/>
                <w:sz w:val="20"/>
                <w:szCs w:val="20"/>
              </w:rPr>
              <w:t xml:space="preserve"> W przypadku posiadania przez pacjenta aktualnego </w:t>
            </w:r>
            <w:r w:rsidR="005632B5" w:rsidRPr="003201D7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badania </w:t>
            </w:r>
            <w:proofErr w:type="spellStart"/>
            <w:r w:rsidR="002E371C" w:rsidRPr="003201D7">
              <w:rPr>
                <w:rFonts w:ascii="Times New Roman" w:hAnsi="Times New Roman"/>
                <w:sz w:val="20"/>
                <w:szCs w:val="20"/>
              </w:rPr>
              <w:t>HbAIc</w:t>
            </w:r>
            <w:proofErr w:type="spellEnd"/>
            <w:r w:rsidR="005632B5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6753E" w:rsidRPr="003201D7">
              <w:rPr>
                <w:rFonts w:ascii="Times New Roman" w:hAnsi="Times New Roman"/>
                <w:sz w:val="20"/>
                <w:szCs w:val="20"/>
              </w:rPr>
              <w:t xml:space="preserve">(z ostatnich </w:t>
            </w:r>
            <w:r w:rsidR="00694355" w:rsidRPr="003201D7">
              <w:rPr>
                <w:rFonts w:ascii="Times New Roman" w:hAnsi="Times New Roman"/>
                <w:sz w:val="20"/>
                <w:szCs w:val="20"/>
              </w:rPr>
              <w:t>6</w:t>
            </w:r>
            <w:r w:rsidR="00F6753E" w:rsidRPr="003201D7">
              <w:rPr>
                <w:rFonts w:ascii="Times New Roman" w:hAnsi="Times New Roman"/>
                <w:sz w:val="20"/>
                <w:szCs w:val="20"/>
              </w:rPr>
              <w:t xml:space="preserve"> miesięcy</w:t>
            </w:r>
            <w:r w:rsidR="00532308" w:rsidRPr="003201D7">
              <w:rPr>
                <w:rFonts w:ascii="Times New Roman" w:hAnsi="Times New Roman"/>
                <w:sz w:val="20"/>
                <w:szCs w:val="20"/>
              </w:rPr>
              <w:t>,</w:t>
            </w:r>
            <w:r w:rsidR="00F6753E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632B5" w:rsidRPr="003201D7">
              <w:rPr>
                <w:rFonts w:ascii="Times New Roman" w:hAnsi="Times New Roman"/>
                <w:sz w:val="20"/>
                <w:szCs w:val="20"/>
              </w:rPr>
              <w:t>uzyskanego na podstawie badania laboratoryjnego lub w postaci odczytu z elektronicznych systemów monitorowania glikemii</w:t>
            </w:r>
            <w:r w:rsidR="00E35CD2" w:rsidRPr="003201D7">
              <w:rPr>
                <w:rFonts w:ascii="Times New Roman" w:hAnsi="Times New Roman"/>
                <w:sz w:val="20"/>
                <w:szCs w:val="20"/>
              </w:rPr>
              <w:t>)</w:t>
            </w:r>
            <w:r w:rsidR="005632B5" w:rsidRPr="003201D7">
              <w:rPr>
                <w:rFonts w:ascii="Times New Roman" w:hAnsi="Times New Roman"/>
                <w:sz w:val="20"/>
                <w:szCs w:val="20"/>
              </w:rPr>
              <w:t xml:space="preserve"> o </w:t>
            </w:r>
            <w:r w:rsidR="00B17F58" w:rsidRPr="003201D7">
              <w:rPr>
                <w:rFonts w:ascii="Times New Roman" w:hAnsi="Times New Roman"/>
                <w:sz w:val="20"/>
                <w:szCs w:val="20"/>
              </w:rPr>
              <w:t xml:space="preserve">konieczności </w:t>
            </w:r>
            <w:r w:rsidR="005632B5" w:rsidRPr="003201D7">
              <w:rPr>
                <w:rFonts w:ascii="Times New Roman" w:hAnsi="Times New Roman"/>
                <w:sz w:val="20"/>
                <w:szCs w:val="20"/>
              </w:rPr>
              <w:t>konsultacji</w:t>
            </w:r>
            <w:r w:rsidR="00B17F58" w:rsidRPr="003201D7">
              <w:rPr>
                <w:rFonts w:ascii="Times New Roman" w:hAnsi="Times New Roman"/>
                <w:sz w:val="20"/>
                <w:szCs w:val="20"/>
              </w:rPr>
              <w:t xml:space="preserve"> specjalistycznej</w:t>
            </w:r>
            <w:r w:rsidR="005632B5" w:rsidRPr="003201D7">
              <w:rPr>
                <w:rFonts w:ascii="Times New Roman" w:hAnsi="Times New Roman"/>
                <w:sz w:val="20"/>
                <w:szCs w:val="20"/>
              </w:rPr>
              <w:t xml:space="preserve"> decyduje lekarz prowadzący pacjenta.</w:t>
            </w:r>
          </w:p>
          <w:p w14:paraId="01E3DF2B" w14:textId="707BC295" w:rsidR="003C6868" w:rsidRPr="003201D7" w:rsidRDefault="00C6772D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3201D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3201D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3201D7">
              <w:rPr>
                <w:rFonts w:ascii="Times New Roman" w:hAnsi="Times New Roman" w:cs="Times New Roman"/>
                <w:sz w:val="20"/>
                <w:szCs w:val="20"/>
              </w:rPr>
              <w:t>pkt.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3201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3201D7">
              <w:rPr>
                <w:rFonts w:ascii="Times New Roman" w:hAnsi="Times New Roman" w:cs="Times New Roman"/>
                <w:sz w:val="20"/>
                <w:szCs w:val="20"/>
              </w:rPr>
              <w:t>(Kryteria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3201D7">
              <w:rPr>
                <w:rFonts w:ascii="Times New Roman" w:hAnsi="Times New Roman" w:cs="Times New Roman"/>
                <w:sz w:val="20"/>
                <w:szCs w:val="20"/>
              </w:rPr>
              <w:t>przerwania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35A" w:rsidRPr="003201D7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956363" w:rsidRPr="003201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82847" w:rsidRPr="003201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kwalifikację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opierać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371C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badaniach z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pkt.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przypadkach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wątpliwych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ekspert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Zespołu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Koordynacyjnego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poprosić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rozszerzenia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pełnego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zakresu.</w:t>
            </w:r>
          </w:p>
          <w:p w14:paraId="6B2D2B66" w14:textId="77777777" w:rsidR="00791B6E" w:rsidRPr="003201D7" w:rsidRDefault="00791B6E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2F7DA" w14:textId="4B0CC827" w:rsidR="00B5324B" w:rsidRPr="003201D7" w:rsidRDefault="00B5324B" w:rsidP="004A15CE">
            <w:pPr>
              <w:pStyle w:val="Akapitzlist"/>
              <w:numPr>
                <w:ilvl w:val="0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6F0B0AFC" w14:textId="64867885" w:rsidR="00B5324B" w:rsidRPr="003201D7" w:rsidRDefault="00B5324B" w:rsidP="004A15CE">
            <w:pPr>
              <w:pStyle w:val="Akapitzlist"/>
              <w:numPr>
                <w:ilvl w:val="3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okulistyczne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oceną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ostrości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wzroku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tablicach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Snellena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ETDRS;</w:t>
            </w:r>
          </w:p>
          <w:p w14:paraId="15B14682" w14:textId="5A738843" w:rsidR="00B5324B" w:rsidRPr="003201D7" w:rsidRDefault="00B5324B" w:rsidP="004A15CE">
            <w:pPr>
              <w:pStyle w:val="Akapitzlist"/>
              <w:numPr>
                <w:ilvl w:val="3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(optyczna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koherentna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tomografia</w:t>
            </w:r>
            <w:r w:rsidR="00961B3B" w:rsidRPr="003201D7">
              <w:rPr>
                <w:rFonts w:ascii="Times New Roman" w:hAnsi="Times New Roman"/>
                <w:sz w:val="20"/>
                <w:szCs w:val="20"/>
              </w:rPr>
              <w:t>);</w:t>
            </w:r>
          </w:p>
          <w:p w14:paraId="1F72F119" w14:textId="4C5903D2" w:rsidR="00B5324B" w:rsidRPr="003201D7" w:rsidRDefault="00B5324B" w:rsidP="004A15CE">
            <w:pPr>
              <w:pStyle w:val="Akapitzlist"/>
              <w:numPr>
                <w:ilvl w:val="3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diabetologiczna</w:t>
            </w:r>
            <w:r w:rsidR="00B17F58" w:rsidRPr="003201D7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wewnętrznych</w:t>
            </w:r>
            <w:r w:rsidR="00B17F58" w:rsidRPr="003201D7">
              <w:rPr>
                <w:rFonts w:ascii="Times New Roman" w:hAnsi="Times New Roman"/>
                <w:sz w:val="20"/>
                <w:szCs w:val="20"/>
              </w:rPr>
              <w:t xml:space="preserve"> lub lekarza Podstawowej </w:t>
            </w:r>
            <w:r w:rsidR="00F6753E" w:rsidRPr="003201D7">
              <w:rPr>
                <w:rFonts w:ascii="Times New Roman" w:hAnsi="Times New Roman"/>
                <w:sz w:val="20"/>
                <w:szCs w:val="20"/>
              </w:rPr>
              <w:t>O</w:t>
            </w:r>
            <w:r w:rsidR="00B17F58" w:rsidRPr="003201D7">
              <w:rPr>
                <w:rFonts w:ascii="Times New Roman" w:hAnsi="Times New Roman"/>
                <w:sz w:val="20"/>
                <w:szCs w:val="20"/>
              </w:rPr>
              <w:t>pieki Zdrowotnej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632B5" w:rsidRPr="003201D7">
              <w:rPr>
                <w:rFonts w:ascii="Times New Roman" w:hAnsi="Times New Roman"/>
                <w:sz w:val="20"/>
                <w:szCs w:val="20"/>
              </w:rPr>
              <w:t xml:space="preserve">12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od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momentu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programu;</w:t>
            </w:r>
          </w:p>
          <w:p w14:paraId="4CEA9E80" w14:textId="77777777" w:rsidR="00B5324B" w:rsidRPr="003201D7" w:rsidRDefault="00B5324B" w:rsidP="004A15CE">
            <w:pPr>
              <w:pStyle w:val="Akapitzlist"/>
              <w:numPr>
                <w:ilvl w:val="3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opcjonalnie:</w:t>
            </w:r>
          </w:p>
          <w:p w14:paraId="5FCF73F5" w14:textId="0FCBDB1D" w:rsidR="00B5324B" w:rsidRPr="003201D7" w:rsidRDefault="00B5324B" w:rsidP="004A15CE">
            <w:pPr>
              <w:pStyle w:val="Akapitzlist"/>
              <w:numPr>
                <w:ilvl w:val="4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fotografia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oka</w:t>
            </w:r>
            <w:r w:rsidR="00791B6E" w:rsidRPr="003201D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4A06794" w14:textId="4298C79E" w:rsidR="00B5324B" w:rsidRPr="003201D7" w:rsidRDefault="00B5324B" w:rsidP="004A15CE">
            <w:pPr>
              <w:pStyle w:val="Akapitzlist"/>
              <w:numPr>
                <w:ilvl w:val="4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angiografia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fluoresceinowa</w:t>
            </w:r>
            <w:proofErr w:type="spellEnd"/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lub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angio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-OCT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przypadkach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trudnych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diagnostycznego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punktu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widzenia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-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angiografia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indocyjaninowa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6F0B97BB" w14:textId="77777777" w:rsidR="0080547F" w:rsidRPr="00F40F00" w:rsidRDefault="0080547F" w:rsidP="00F40F00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249193" w14:textId="2656E7E9" w:rsidR="0080547F" w:rsidRPr="003201D7" w:rsidRDefault="0080547F" w:rsidP="00F40F00">
            <w:pPr>
              <w:pStyle w:val="Akapitzlist"/>
              <w:numPr>
                <w:ilvl w:val="1"/>
                <w:numId w:val="31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 bezpieczeństwa leczenia</w:t>
            </w:r>
          </w:p>
          <w:p w14:paraId="2CF16B67" w14:textId="77777777" w:rsidR="0080547F" w:rsidRPr="003201D7" w:rsidRDefault="0080547F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Badania wymienione w pkt 1, 2 i 4 przeprowadza się przed każdym podaniem leku, w dniu jego podania lub w terminie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 7 dni przed jego podaniem, zgodnie z harmonogramem dawkowania.</w:t>
            </w:r>
          </w:p>
          <w:p w14:paraId="44B20E56" w14:textId="77777777" w:rsidR="0080547F" w:rsidRPr="003201D7" w:rsidRDefault="0080547F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Nie ma wymogu monitorowania pomiędzy wstrzyknięciami. Na podstawie opinii lekarza harmonogram monitorowania może być częstszy niż harmonogram wstrzyknięć.</w:t>
            </w:r>
          </w:p>
          <w:p w14:paraId="7DDCC165" w14:textId="77777777" w:rsidR="0080547F" w:rsidRPr="003201D7" w:rsidRDefault="0080547F" w:rsidP="004A15CE">
            <w:pPr>
              <w:spacing w:after="60"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8F43CD3" w14:textId="77777777" w:rsidR="0080547F" w:rsidRPr="003201D7" w:rsidRDefault="0080547F" w:rsidP="00F40F00">
            <w:pPr>
              <w:pStyle w:val="Akapitzlist"/>
              <w:numPr>
                <w:ilvl w:val="1"/>
                <w:numId w:val="31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 skuteczności leczenia</w:t>
            </w:r>
          </w:p>
          <w:p w14:paraId="5FF05EB0" w14:textId="77777777" w:rsidR="0080547F" w:rsidRPr="003201D7" w:rsidRDefault="0080547F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Ocena skuteczności leczenia przeprowadzana jest przez Zespół Koordynacyjny po zgłoszeniu pacjenta przez lekarza prowadzącego w elektronicznym systemie monitorowania programów lekowych. Brak zgłoszenia równoznaczny jest z wyłączeniem pacjenta z programu.</w:t>
            </w:r>
          </w:p>
          <w:p w14:paraId="64B55E05" w14:textId="3C6092E6" w:rsidR="00961B3B" w:rsidRPr="003201D7" w:rsidRDefault="00961B3B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Ocena skuteczności leczenia odbywa się:</w:t>
            </w:r>
          </w:p>
          <w:p w14:paraId="1CE4C79A" w14:textId="77777777" w:rsidR="00961B3B" w:rsidRPr="00F40F00" w:rsidRDefault="00961B3B" w:rsidP="004A15CE">
            <w:pPr>
              <w:pStyle w:val="Akapitzlist"/>
              <w:numPr>
                <w:ilvl w:val="3"/>
                <w:numId w:val="2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 xml:space="preserve">w okresie od 1 do 2 miesięcy po ostatnim podaniu </w:t>
            </w:r>
            <w:proofErr w:type="spellStart"/>
            <w:r w:rsidRPr="003201D7">
              <w:rPr>
                <w:rFonts w:ascii="Times New Roman" w:hAnsi="Times New Roman"/>
                <w:sz w:val="20"/>
                <w:szCs w:val="20"/>
              </w:rPr>
              <w:t>bewacyzumabu</w:t>
            </w:r>
            <w:proofErr w:type="spellEnd"/>
            <w:r w:rsidRPr="003201D7">
              <w:rPr>
                <w:rFonts w:ascii="Times New Roman" w:hAnsi="Times New Roman"/>
                <w:sz w:val="20"/>
                <w:szCs w:val="20"/>
              </w:rPr>
              <w:t xml:space="preserve"> z serii 5 podawanych co miesiąc dawek 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początkowych;</w:t>
            </w:r>
          </w:p>
          <w:p w14:paraId="0FCA13FF" w14:textId="4EEEA735" w:rsidR="00961B3B" w:rsidRPr="00F40F00" w:rsidRDefault="00961B3B" w:rsidP="004A15CE">
            <w:pPr>
              <w:pStyle w:val="Akapitzlist"/>
              <w:numPr>
                <w:ilvl w:val="3"/>
                <w:numId w:val="2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bookmarkStart w:id="0" w:name="_Hlk152221582"/>
            <w:r w:rsidRPr="00F40F00">
              <w:rPr>
                <w:rFonts w:ascii="Times New Roman" w:hAnsi="Times New Roman"/>
                <w:sz w:val="20"/>
                <w:szCs w:val="20"/>
              </w:rPr>
              <w:t>co 1</w:t>
            </w:r>
            <w:r w:rsidR="002B6543" w:rsidRPr="00F40F00">
              <w:rPr>
                <w:rFonts w:ascii="Times New Roman" w:hAnsi="Times New Roman"/>
                <w:sz w:val="20"/>
                <w:szCs w:val="20"/>
              </w:rPr>
              <w:t>2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800F8" w:rsidRPr="00F40F00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8D67D6" w:rsidRPr="00F40F00">
              <w:rPr>
                <w:rFonts w:ascii="Times New Roman" w:hAnsi="Times New Roman"/>
                <w:sz w:val="20"/>
                <w:szCs w:val="20"/>
              </w:rPr>
              <w:t>,</w:t>
            </w:r>
            <w:r w:rsidR="0007354C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03A90" w:rsidRPr="00F40F00">
              <w:rPr>
                <w:rFonts w:ascii="Times New Roman" w:hAnsi="Times New Roman"/>
                <w:sz w:val="20"/>
                <w:szCs w:val="20"/>
              </w:rPr>
              <w:t>maksymalnie do 2 miesięcy od upływu tego terminu</w:t>
            </w:r>
            <w:r w:rsidR="006800F8" w:rsidRPr="00F40F00">
              <w:rPr>
                <w:rFonts w:ascii="Times New Roman" w:hAnsi="Times New Roman"/>
                <w:sz w:val="20"/>
                <w:szCs w:val="20"/>
              </w:rPr>
              <w:t xml:space="preserve"> dla </w:t>
            </w:r>
            <w:proofErr w:type="spellStart"/>
            <w:r w:rsidR="006800F8" w:rsidRPr="00F40F00">
              <w:rPr>
                <w:rFonts w:ascii="Times New Roman" w:hAnsi="Times New Roman"/>
                <w:sz w:val="20"/>
                <w:szCs w:val="20"/>
              </w:rPr>
              <w:t>afliberceptu</w:t>
            </w:r>
            <w:proofErr w:type="spellEnd"/>
            <w:r w:rsidR="00FE77D7" w:rsidRPr="00F40F00">
              <w:rPr>
                <w:rFonts w:ascii="Times New Roman" w:hAnsi="Times New Roman"/>
                <w:sz w:val="20"/>
                <w:szCs w:val="20"/>
              </w:rPr>
              <w:t xml:space="preserve"> 2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E77D7" w:rsidRPr="00F40F00">
              <w:rPr>
                <w:rFonts w:ascii="Times New Roman" w:hAnsi="Times New Roman"/>
                <w:sz w:val="20"/>
                <w:szCs w:val="20"/>
              </w:rPr>
              <w:t>mg</w:t>
            </w:r>
            <w:r w:rsidR="006800F8" w:rsidRPr="00F40F00">
              <w:rPr>
                <w:rFonts w:ascii="Times New Roman" w:hAnsi="Times New Roman"/>
                <w:sz w:val="20"/>
                <w:szCs w:val="20"/>
              </w:rPr>
              <w:t>,</w:t>
            </w:r>
            <w:r w:rsidR="006666BA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2B6543" w:rsidRPr="00F40F00">
              <w:rPr>
                <w:rFonts w:ascii="Times New Roman" w:hAnsi="Times New Roman"/>
                <w:sz w:val="20"/>
                <w:szCs w:val="20"/>
              </w:rPr>
              <w:t>afliberceptu</w:t>
            </w:r>
            <w:proofErr w:type="spellEnd"/>
            <w:r w:rsidR="002B6543" w:rsidRPr="00F40F00">
              <w:rPr>
                <w:rFonts w:ascii="Times New Roman" w:hAnsi="Times New Roman"/>
                <w:sz w:val="20"/>
                <w:szCs w:val="20"/>
              </w:rPr>
              <w:t xml:space="preserve"> 8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B6543" w:rsidRPr="00F40F00">
              <w:rPr>
                <w:rFonts w:ascii="Times New Roman" w:hAnsi="Times New Roman"/>
                <w:sz w:val="20"/>
                <w:szCs w:val="20"/>
              </w:rPr>
              <w:t xml:space="preserve">mg, </w:t>
            </w:r>
            <w:proofErr w:type="spellStart"/>
            <w:r w:rsidR="006666BA" w:rsidRPr="00F40F00">
              <w:rPr>
                <w:rFonts w:ascii="Times New Roman" w:hAnsi="Times New Roman"/>
                <w:sz w:val="20"/>
                <w:szCs w:val="20"/>
              </w:rPr>
              <w:t>bewacyzumabu</w:t>
            </w:r>
            <w:proofErr w:type="spellEnd"/>
            <w:r w:rsidR="006666BA" w:rsidRPr="00F40F00">
              <w:rPr>
                <w:rFonts w:ascii="Times New Roman" w:hAnsi="Times New Roman"/>
                <w:sz w:val="20"/>
                <w:szCs w:val="20"/>
              </w:rPr>
              <w:t>,</w:t>
            </w:r>
            <w:r w:rsidR="006800F8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6800F8" w:rsidRPr="00F40F00">
              <w:rPr>
                <w:rFonts w:ascii="Times New Roman" w:hAnsi="Times New Roman"/>
                <w:sz w:val="20"/>
                <w:szCs w:val="20"/>
              </w:rPr>
              <w:t>brolucizumabu</w:t>
            </w:r>
            <w:proofErr w:type="spellEnd"/>
            <w:r w:rsidR="006800F8" w:rsidRPr="00F40F00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6800F8" w:rsidRPr="00F40F00">
              <w:rPr>
                <w:rFonts w:ascii="Times New Roman" w:hAnsi="Times New Roman"/>
                <w:sz w:val="20"/>
                <w:szCs w:val="20"/>
              </w:rPr>
              <w:t>farycymabu</w:t>
            </w:r>
            <w:proofErr w:type="spellEnd"/>
            <w:r w:rsidR="002B6543" w:rsidRPr="00F40F00">
              <w:rPr>
                <w:rFonts w:ascii="Times New Roman" w:hAnsi="Times New Roman"/>
                <w:sz w:val="20"/>
                <w:szCs w:val="20"/>
              </w:rPr>
              <w:t>,</w:t>
            </w:r>
            <w:r w:rsidR="006800F8" w:rsidRPr="00F40F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6800F8" w:rsidRPr="00F40F00">
              <w:rPr>
                <w:rFonts w:ascii="Times New Roman" w:hAnsi="Times New Roman"/>
                <w:sz w:val="20"/>
                <w:szCs w:val="20"/>
              </w:rPr>
              <w:t>ranibizumabu</w:t>
            </w:r>
            <w:proofErr w:type="spellEnd"/>
            <w:r w:rsidR="00B45284" w:rsidRPr="00F40F00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C0C03BC" w14:textId="5ECE7EC2" w:rsidR="00B03A90" w:rsidRPr="003201D7" w:rsidRDefault="00B03A90" w:rsidP="004A15CE">
            <w:pPr>
              <w:pStyle w:val="Akapitzlist"/>
              <w:numPr>
                <w:ilvl w:val="3"/>
                <w:numId w:val="2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F40F00">
              <w:rPr>
                <w:rFonts w:ascii="Times New Roman" w:hAnsi="Times New Roman"/>
                <w:sz w:val="20"/>
                <w:szCs w:val="20"/>
              </w:rPr>
              <w:t xml:space="preserve">po 3 dawkach </w:t>
            </w:r>
            <w:proofErr w:type="spellStart"/>
            <w:r w:rsidRPr="00F40F00">
              <w:rPr>
                <w:rFonts w:ascii="Times New Roman" w:hAnsi="Times New Roman"/>
                <w:sz w:val="20"/>
                <w:szCs w:val="20"/>
              </w:rPr>
              <w:t>de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>ks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>ametazonu</w:t>
            </w:r>
            <w:proofErr w:type="spellEnd"/>
            <w:r w:rsidR="003201D7" w:rsidRPr="00F40F00">
              <w:rPr>
                <w:rFonts w:ascii="Times New Roman" w:hAnsi="Times New Roman"/>
                <w:sz w:val="20"/>
                <w:szCs w:val="20"/>
              </w:rPr>
              <w:t>,</w:t>
            </w:r>
            <w:r w:rsidRPr="00F40F00">
              <w:rPr>
                <w:rFonts w:ascii="Times New Roman" w:hAnsi="Times New Roman"/>
                <w:sz w:val="20"/>
                <w:szCs w:val="20"/>
              </w:rPr>
              <w:t xml:space="preserve"> maksymalnie po 2 miesiącach od podania ostatniej dawki leku</w:t>
            </w:r>
            <w:r w:rsidR="003201D7" w:rsidRPr="00F40F00">
              <w:rPr>
                <w:rFonts w:ascii="Times New Roman" w:hAnsi="Times New Roman"/>
                <w:sz w:val="20"/>
                <w:szCs w:val="20"/>
              </w:rPr>
              <w:t>.</w:t>
            </w:r>
          </w:p>
          <w:bookmarkEnd w:id="0"/>
          <w:p w14:paraId="51716F60" w14:textId="77777777" w:rsidR="00961B3B" w:rsidRPr="003201D7" w:rsidRDefault="00961B3B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 podstawie oceny skuteczności Zespół Koordynacyjny podejmuje decyzję o:</w:t>
            </w:r>
          </w:p>
          <w:p w14:paraId="6DCA149C" w14:textId="4A22413A" w:rsidR="00AF288D" w:rsidRPr="003201D7" w:rsidRDefault="00961B3B" w:rsidP="00F40F00">
            <w:pPr>
              <w:pStyle w:val="Akapitzlist"/>
              <w:numPr>
                <w:ilvl w:val="3"/>
                <w:numId w:val="3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kontynuacji leczenia bez zmiany leku</w:t>
            </w:r>
          </w:p>
          <w:p w14:paraId="07CA8BF9" w14:textId="3A2528FF" w:rsidR="00961B3B" w:rsidRPr="00F40F00" w:rsidRDefault="00AF288D" w:rsidP="00F40F00">
            <w:pPr>
              <w:spacing w:after="60" w:line="276" w:lineRule="auto"/>
              <w:ind w:left="227"/>
              <w:rPr>
                <w:rFonts w:ascii="Times New Roman" w:hAnsi="Times New Roman"/>
                <w:sz w:val="20"/>
                <w:szCs w:val="20"/>
              </w:rPr>
            </w:pPr>
            <w:r w:rsidRPr="00F40F00">
              <w:rPr>
                <w:rFonts w:ascii="Times New Roman" w:hAnsi="Times New Roman"/>
                <w:sz w:val="20"/>
                <w:szCs w:val="20"/>
              </w:rPr>
              <w:t>albo</w:t>
            </w:r>
          </w:p>
          <w:p w14:paraId="3134C7BD" w14:textId="77777777" w:rsidR="00AF288D" w:rsidRPr="003201D7" w:rsidRDefault="00961B3B" w:rsidP="00F40F00">
            <w:pPr>
              <w:pStyle w:val="Akapitzlist"/>
              <w:numPr>
                <w:ilvl w:val="3"/>
                <w:numId w:val="3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kontynuacji leczenia ze zmianą leku</w:t>
            </w:r>
          </w:p>
          <w:p w14:paraId="0068779F" w14:textId="6E5DFCBE" w:rsidR="00961B3B" w:rsidRPr="00F40F00" w:rsidRDefault="00AF288D" w:rsidP="00F40F00">
            <w:pPr>
              <w:spacing w:after="60" w:line="276" w:lineRule="auto"/>
              <w:ind w:left="227"/>
              <w:rPr>
                <w:rFonts w:ascii="Times New Roman" w:hAnsi="Times New Roman"/>
                <w:sz w:val="20"/>
                <w:szCs w:val="20"/>
              </w:rPr>
            </w:pPr>
            <w:r w:rsidRPr="00F40F00">
              <w:rPr>
                <w:rFonts w:ascii="Times New Roman" w:hAnsi="Times New Roman"/>
                <w:sz w:val="20"/>
                <w:szCs w:val="20"/>
              </w:rPr>
              <w:t>albo</w:t>
            </w:r>
          </w:p>
          <w:p w14:paraId="42C1D006" w14:textId="77777777" w:rsidR="00961B3B" w:rsidRPr="003201D7" w:rsidRDefault="00961B3B" w:rsidP="00F40F00">
            <w:pPr>
              <w:pStyle w:val="Akapitzlist"/>
              <w:numPr>
                <w:ilvl w:val="3"/>
                <w:numId w:val="32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wyłączeniu pacjenta z programu.</w:t>
            </w:r>
          </w:p>
          <w:p w14:paraId="2056580A" w14:textId="77777777" w:rsidR="00961B3B" w:rsidRPr="003201D7" w:rsidRDefault="00961B3B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Kryteria oceny odpowiedzi na terapię obejmują:</w:t>
            </w:r>
          </w:p>
          <w:p w14:paraId="2B7C420A" w14:textId="5B80454D" w:rsidR="00961B3B" w:rsidRPr="003201D7" w:rsidRDefault="00961B3B" w:rsidP="004A15CE">
            <w:pPr>
              <w:pStyle w:val="Akapitzlist"/>
              <w:numPr>
                <w:ilvl w:val="3"/>
                <w:numId w:val="2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 xml:space="preserve">poprawę najlepszej skorygowanej ostrości wzroku (BCVA) o co najmniej 1 linię </w:t>
            </w:r>
            <w:r w:rsidR="00B20EAA" w:rsidRPr="003201D7">
              <w:rPr>
                <w:rFonts w:ascii="Times New Roman" w:hAnsi="Times New Roman"/>
                <w:sz w:val="20"/>
                <w:szCs w:val="20"/>
              </w:rPr>
              <w:t>w stosunku do wartości z badania kwalifikacyjnego</w:t>
            </w:r>
            <w:r w:rsidR="00B20EAA" w:rsidRPr="003201D7" w:rsidDel="007C706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C7066" w:rsidRPr="003201D7">
              <w:rPr>
                <w:rFonts w:ascii="Times New Roman" w:hAnsi="Times New Roman"/>
                <w:sz w:val="20"/>
                <w:szCs w:val="20"/>
              </w:rPr>
              <w:t xml:space="preserve">lub poprawę do 0,8 lub więcej na tablicy Snellena 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(lub odpowiednio ekwiwalent ETDRS)</w:t>
            </w:r>
            <w:r w:rsidR="00AF288D"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8FE3B45" w14:textId="77777777" w:rsidR="00961B3B" w:rsidRPr="003201D7" w:rsidRDefault="00961B3B" w:rsidP="004A15CE">
            <w:pPr>
              <w:pStyle w:val="Akapitzlist"/>
              <w:numPr>
                <w:ilvl w:val="3"/>
                <w:numId w:val="27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zmniejszenie grubości siatkówki w dołku o ≥20% w stosunku do wartości z badania kwalifikacyjnego (OCT) lub zmniejszenie grubości siatkówki do wartości ≤ 300 µm.</w:t>
            </w:r>
          </w:p>
          <w:p w14:paraId="2C34A467" w14:textId="36EA7202" w:rsidR="00961B3B" w:rsidRPr="003201D7" w:rsidRDefault="00961B3B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Kryteria odpowiedzi muszą być spełnione łącznie. </w:t>
            </w:r>
          </w:p>
          <w:p w14:paraId="7A93D131" w14:textId="77777777" w:rsidR="00961B3B" w:rsidRPr="003201D7" w:rsidRDefault="00961B3B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Odpowiedź na terapię musi utrzymywać się do momentu oceny przez Zespół Koordynacyjny od zaprzestania podawania serii iniekcji początkowych leku.</w:t>
            </w:r>
          </w:p>
          <w:p w14:paraId="4DE287CE" w14:textId="77777777" w:rsidR="00B5324B" w:rsidRPr="003201D7" w:rsidRDefault="00B5324B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849988" w14:textId="6C78FD53" w:rsidR="00B5324B" w:rsidRPr="003201D7" w:rsidRDefault="00B5324B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371C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wymienionych w pkt. 2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określa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wskaźniki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leczenie,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tym:</w:t>
            </w:r>
          </w:p>
          <w:p w14:paraId="4702CA53" w14:textId="6FCFDB08" w:rsidR="00B5324B" w:rsidRPr="003201D7" w:rsidRDefault="00B5324B" w:rsidP="00937BF2">
            <w:pPr>
              <w:pStyle w:val="Akapitzlist"/>
              <w:numPr>
                <w:ilvl w:val="3"/>
                <w:numId w:val="3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uzyskanie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poprawy</w:t>
            </w:r>
            <w:r w:rsidR="00AF288D"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118BCC6" w14:textId="2F8AD3E3" w:rsidR="00B5324B" w:rsidRPr="003201D7" w:rsidRDefault="00B5324B" w:rsidP="00937BF2">
            <w:pPr>
              <w:pStyle w:val="Akapitzlist"/>
              <w:numPr>
                <w:ilvl w:val="3"/>
                <w:numId w:val="3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stabilizację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AF288D" w:rsidRPr="003201D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D0EE3FA" w14:textId="13D95782" w:rsidR="00B5324B" w:rsidRPr="003201D7" w:rsidRDefault="00B5324B" w:rsidP="00937BF2">
            <w:pPr>
              <w:pStyle w:val="Akapitzlist"/>
              <w:numPr>
                <w:ilvl w:val="3"/>
                <w:numId w:val="33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progresję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choroby.</w:t>
            </w:r>
          </w:p>
          <w:p w14:paraId="15BD8ABD" w14:textId="02D055F5" w:rsidR="003C6868" w:rsidRPr="003201D7" w:rsidRDefault="00B5324B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Dane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gromadzone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66BA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systemie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analizowane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Koordynacyjny,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podsumowuje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wyniki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koniec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982847" w:rsidRPr="003201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roku.</w:t>
            </w:r>
          </w:p>
          <w:p w14:paraId="02C492A1" w14:textId="77777777" w:rsidR="00791B6E" w:rsidRPr="003201D7" w:rsidRDefault="00791B6E" w:rsidP="004A15CE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BA47B3" w14:textId="363951CE" w:rsidR="004F0D85" w:rsidRPr="003201D7" w:rsidRDefault="004F0D85" w:rsidP="004A15CE">
            <w:pPr>
              <w:pStyle w:val="Akapitzlist"/>
              <w:numPr>
                <w:ilvl w:val="0"/>
                <w:numId w:val="1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982847"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395D80DC" w14:textId="1A9947CF" w:rsidR="004F0D85" w:rsidRPr="003201D7" w:rsidRDefault="004F0D85" w:rsidP="004A15CE">
            <w:pPr>
              <w:pStyle w:val="Akapitzlist"/>
              <w:numPr>
                <w:ilvl w:val="3"/>
                <w:numId w:val="2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NFZ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zakresu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sprawozdawczo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rozliczeniowych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lastRenderedPageBreak/>
              <w:t>elektronicznej,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Narodowy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Fundusz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Zdrowia;</w:t>
            </w:r>
          </w:p>
          <w:p w14:paraId="532541CD" w14:textId="3E84BD7E" w:rsidR="004F0D85" w:rsidRPr="003201D7" w:rsidRDefault="004F0D85" w:rsidP="004A15CE">
            <w:pPr>
              <w:pStyle w:val="Akapitzlist"/>
              <w:numPr>
                <w:ilvl w:val="3"/>
                <w:numId w:val="2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uzupełnianie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elektronicznym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66BA" w:rsidRPr="003201D7">
              <w:rPr>
                <w:rFonts w:ascii="Times New Roman" w:hAnsi="Times New Roman"/>
                <w:sz w:val="20"/>
                <w:szCs w:val="20"/>
              </w:rPr>
              <w:t xml:space="preserve">systemie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lekowych,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tym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wskaźników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3526F" w:rsidRPr="003201D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3526F"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3526F" w:rsidRPr="003201D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pkt.2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3526F" w:rsidRPr="003201D7">
              <w:rPr>
                <w:rFonts w:ascii="Times New Roman" w:hAnsi="Times New Roman"/>
                <w:sz w:val="20"/>
                <w:szCs w:val="20"/>
              </w:rPr>
              <w:t>–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3526F" w:rsidRPr="003201D7">
              <w:rPr>
                <w:rFonts w:ascii="Times New Roman" w:hAnsi="Times New Roman"/>
                <w:sz w:val="20"/>
                <w:szCs w:val="20"/>
              </w:rPr>
              <w:t>Monitorowanie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3526F"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NFZ,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opisem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oraz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1C8CA51C" w14:textId="2BD7400F" w:rsidR="004C5660" w:rsidRPr="003201D7" w:rsidRDefault="004F0D85" w:rsidP="004A15CE">
            <w:pPr>
              <w:pStyle w:val="Akapitzlist"/>
              <w:numPr>
                <w:ilvl w:val="3"/>
                <w:numId w:val="20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01D7">
              <w:rPr>
                <w:rFonts w:ascii="Times New Roman" w:hAnsi="Times New Roman"/>
                <w:sz w:val="20"/>
                <w:szCs w:val="20"/>
              </w:rPr>
              <w:t>dane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dotyczące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należy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gromadzić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w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i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każdorazowo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przedstawiać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na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kontrolerom</w:t>
            </w:r>
            <w:r w:rsidR="00982847" w:rsidRPr="003201D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01D7">
              <w:rPr>
                <w:rFonts w:ascii="Times New Roman" w:hAnsi="Times New Roman"/>
                <w:sz w:val="20"/>
                <w:szCs w:val="20"/>
              </w:rPr>
              <w:t>NFZ.</w:t>
            </w:r>
          </w:p>
        </w:tc>
      </w:tr>
      <w:tr w:rsidR="00DD60C4" w:rsidRPr="00DD60C4" w14:paraId="24475D1C" w14:textId="77777777" w:rsidTr="00DD60C4">
        <w:trPr>
          <w:trHeight w:val="567"/>
        </w:trPr>
        <w:tc>
          <w:tcPr>
            <w:tcW w:w="1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7F11" w14:textId="4AA2019A" w:rsidR="00DD60C4" w:rsidRPr="00DD60C4" w:rsidRDefault="00DD60C4" w:rsidP="00DD60C4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DD60C4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lastRenderedPageBreak/>
              <w:t>LECZENIE PACJENTÓW Z ZAKRZEPEM ŻYŁ SIATKÓWKI (RVO)</w:t>
            </w:r>
          </w:p>
        </w:tc>
      </w:tr>
      <w:tr w:rsidR="00DD60C4" w:rsidRPr="003201D7" w14:paraId="2B461394" w14:textId="77777777" w:rsidTr="00DD60C4"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01630" w14:textId="6DCF1275" w:rsidR="00DD60C4" w:rsidRPr="005C37D3" w:rsidRDefault="00DD60C4" w:rsidP="00D84008">
            <w:pPr>
              <w:spacing w:before="120"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8A39ED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Pacjent jest kwalifikowany do programu przez Zespół </w:t>
            </w:r>
            <w:r w:rsidRPr="005C37D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Koordynacyjny ds. Leczenia Chorób Siatkówki, powoływany przez Prezesa Narodowego Funduszu Zdrowia </w:t>
            </w:r>
            <w:r w:rsidRPr="005C37D3">
              <w:rPr>
                <w:rFonts w:ascii="Times New Roman" w:hAnsi="Times New Roman" w:cs="Times New Roman"/>
                <w:sz w:val="20"/>
                <w:szCs w:val="20"/>
              </w:rPr>
              <w:t>(dalej jako Zespół Koordynacyjny), na wniosek lekarza prowadzącego.</w:t>
            </w:r>
          </w:p>
          <w:p w14:paraId="028026BA" w14:textId="77777777" w:rsidR="00DD60C4" w:rsidRPr="006F7BE3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Kwalifikacja do programu oraz weryfikacja skuteczności leczenia odbywa się w oparciu o ocenę stanu klinicznego świadczeniobiorcy oraz ocenę efektywności zastosowanej terapii.</w:t>
            </w:r>
          </w:p>
          <w:p w14:paraId="095A67A5" w14:textId="77777777" w:rsidR="00DD60C4" w:rsidRPr="006F7BE3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Każdorazowo pacjenta do podania kolejnej dawki leku kwalifikuje lekarz prowadzący.</w:t>
            </w:r>
          </w:p>
          <w:p w14:paraId="739918AA" w14:textId="5ACD0078" w:rsidR="00DD60C4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W programie finansuje się leczenie zakrzepu żył siatkówki (RVO) </w:t>
            </w:r>
            <w:proofErr w:type="spellStart"/>
            <w:r w:rsidRPr="006F7BE3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bewacyzumabem</w:t>
            </w:r>
            <w:proofErr w:type="spellEnd"/>
            <w:r w:rsidRPr="006F7BE3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E323978" w14:textId="77777777" w:rsidR="006F7BE3" w:rsidRPr="006F7BE3" w:rsidRDefault="006F7BE3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5FA04107" w14:textId="77777777" w:rsidR="00DD60C4" w:rsidRPr="006F7BE3" w:rsidRDefault="00DD60C4" w:rsidP="006F7BE3">
            <w:pPr>
              <w:numPr>
                <w:ilvl w:val="0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Kryteria kwalifikacji</w:t>
            </w:r>
          </w:p>
          <w:p w14:paraId="21EB8D0D" w14:textId="55CB4663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wiek 18 lat i powyżej;</w:t>
            </w:r>
          </w:p>
          <w:p w14:paraId="648EE797" w14:textId="4189FC10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obrzęk plamki wtórny do RVO</w:t>
            </w:r>
            <w:r w:rsidR="005C37D3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zdiagnozowany w ciągu 9 miesięcy od rozpoznania RVO;</w:t>
            </w:r>
          </w:p>
          <w:p w14:paraId="59576AB7" w14:textId="2DC2C60B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średnia grubość środkowego podpola siatkówki &gt;250 µm w badaniu OCT;</w:t>
            </w:r>
          </w:p>
          <w:p w14:paraId="09A5C6AD" w14:textId="688FB41E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najlepsza skorygowana ostrość wzroku (BCVA) w leczonym oku 0,05 – 0,8 określona według tablicy Snellena (lub odpowiednio ekwiwalent ETDRS);  </w:t>
            </w:r>
          </w:p>
          <w:p w14:paraId="37C3864F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zgoda pacjenta na wykonanie iniekcji doszklistkowych;</w:t>
            </w:r>
          </w:p>
          <w:p w14:paraId="630445A9" w14:textId="02665781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brak aktywnych włóknisto-naczyniowych trakcji, których obkurczenie się mogłoby wpłynąć na odwarstwienie siatkówki lub miało rokowniczo niekorzystny wpływ na leczenie w programie;</w:t>
            </w:r>
          </w:p>
          <w:p w14:paraId="35F150BE" w14:textId="64B9E1A1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brak odwarstwienia siatkówki w przebiegu retinopatii proliferacyjnej;</w:t>
            </w:r>
          </w:p>
          <w:p w14:paraId="05B35587" w14:textId="2667CF88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brak krwotoku do ciała szklistego wymagającego leczenia operacyjnego;</w:t>
            </w:r>
          </w:p>
          <w:p w14:paraId="4BE4E0FA" w14:textId="1445CF9C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brak </w:t>
            </w:r>
            <w:proofErr w:type="spellStart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neowaskularyzacji</w:t>
            </w:r>
            <w:proofErr w:type="spellEnd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tęczówki;</w:t>
            </w:r>
          </w:p>
          <w:p w14:paraId="2697B4DB" w14:textId="5103B0CA" w:rsidR="00DD60C4" w:rsidRPr="006F7BE3" w:rsidRDefault="004B5A8F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b</w:t>
            </w:r>
            <w:r w:rsidR="00DD60C4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rak jaskry </w:t>
            </w:r>
            <w:proofErr w:type="spellStart"/>
            <w:r w:rsidR="00DD60C4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neowaskularnej</w:t>
            </w:r>
            <w:proofErr w:type="spellEnd"/>
            <w:r w:rsidR="00DD60C4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25020DD3" w14:textId="2CA0C8AF" w:rsidR="00DD60C4" w:rsidRPr="006F7BE3" w:rsidRDefault="004B5A8F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u</w:t>
            </w:r>
            <w:r w:rsidR="00DD60C4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regulowane ciśnienie wewnątrzgałkowego;</w:t>
            </w:r>
          </w:p>
          <w:p w14:paraId="5AD93071" w14:textId="36DE1308" w:rsidR="00DD60C4" w:rsidRPr="006F7BE3" w:rsidRDefault="004B5A8F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b</w:t>
            </w:r>
            <w:r w:rsidR="00DD60C4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rak zaćmy mającej wpływ na monitorowanie skuteczności leczenia w programie;</w:t>
            </w:r>
          </w:p>
          <w:p w14:paraId="59244241" w14:textId="37FC6561" w:rsidR="00DD60C4" w:rsidRPr="006F7BE3" w:rsidRDefault="004B5A8F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b</w:t>
            </w:r>
            <w:r w:rsidR="00DD60C4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rak istotnych i trwałych zaburzeń siatkówki w plamce nierokujących poprawy po leczeniu anty-VEGF lub </w:t>
            </w:r>
            <w:proofErr w:type="spellStart"/>
            <w:r w:rsidR="00DD60C4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steroidoterapii</w:t>
            </w:r>
            <w:proofErr w:type="spellEnd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 w:rsidR="00DD60C4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takich jak:</w:t>
            </w:r>
          </w:p>
          <w:p w14:paraId="5F0EA455" w14:textId="445625FE" w:rsidR="00DD60C4" w:rsidRPr="006F7BE3" w:rsidRDefault="00DD60C4" w:rsidP="006F7BE3">
            <w:pPr>
              <w:pStyle w:val="Akapitzlist"/>
              <w:numPr>
                <w:ilvl w:val="4"/>
                <w:numId w:val="39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F7BE3">
              <w:rPr>
                <w:rFonts w:ascii="Times New Roman" w:hAnsi="Times New Roman"/>
                <w:sz w:val="20"/>
                <w:szCs w:val="20"/>
              </w:rPr>
              <w:t>rozległy zanik fotoreceptorów (w OCT zanik warstw zewnętrznych siatkówki)</w:t>
            </w:r>
            <w:r w:rsidR="004B5A8F" w:rsidRPr="006F7BE3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FC34039" w14:textId="77777777" w:rsidR="00DD60C4" w:rsidRPr="006F7BE3" w:rsidRDefault="00DD60C4" w:rsidP="006F7BE3">
            <w:pPr>
              <w:pStyle w:val="Akapitzlist"/>
              <w:numPr>
                <w:ilvl w:val="4"/>
                <w:numId w:val="39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F7BE3">
              <w:rPr>
                <w:rFonts w:ascii="Times New Roman" w:hAnsi="Times New Roman"/>
                <w:sz w:val="20"/>
                <w:szCs w:val="20"/>
              </w:rPr>
              <w:t xml:space="preserve">DRIL w obszarze </w:t>
            </w:r>
            <w:proofErr w:type="spellStart"/>
            <w:r w:rsidRPr="006F7BE3">
              <w:rPr>
                <w:rFonts w:ascii="Times New Roman" w:hAnsi="Times New Roman"/>
                <w:sz w:val="20"/>
                <w:szCs w:val="20"/>
              </w:rPr>
              <w:t>poddołkowym</w:t>
            </w:r>
            <w:proofErr w:type="spellEnd"/>
            <w:r w:rsidRPr="006F7BE3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4D3A5F7" w14:textId="46777D18" w:rsidR="00DD60C4" w:rsidRPr="006F7BE3" w:rsidRDefault="00DD60C4" w:rsidP="006F7BE3">
            <w:pPr>
              <w:pStyle w:val="Akapitzlist"/>
              <w:numPr>
                <w:ilvl w:val="4"/>
                <w:numId w:val="39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F7BE3">
              <w:rPr>
                <w:rFonts w:ascii="Times New Roman" w:hAnsi="Times New Roman"/>
                <w:sz w:val="20"/>
                <w:szCs w:val="20"/>
              </w:rPr>
              <w:lastRenderedPageBreak/>
              <w:t>makulopatia</w:t>
            </w:r>
            <w:proofErr w:type="spellEnd"/>
            <w:r w:rsidRPr="006F7BE3">
              <w:rPr>
                <w:rFonts w:ascii="Times New Roman" w:hAnsi="Times New Roman"/>
                <w:sz w:val="20"/>
                <w:szCs w:val="20"/>
              </w:rPr>
              <w:t xml:space="preserve"> niedokrwienna</w:t>
            </w:r>
            <w:r w:rsidR="003B6168" w:rsidRPr="006F7BE3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907D3EF" w14:textId="5CF06FC0" w:rsidR="003B6168" w:rsidRPr="006F7BE3" w:rsidRDefault="003B6168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zgoda pacjenta na prowadzenie antykoncepcji zgodnie z aktualną ChPL.</w:t>
            </w:r>
          </w:p>
          <w:p w14:paraId="6692BB63" w14:textId="77777777" w:rsidR="00DD60C4" w:rsidRPr="006F7BE3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Kryteria kwalifikacji muszą być spełnione łącznie.</w:t>
            </w:r>
          </w:p>
          <w:p w14:paraId="262BA9D2" w14:textId="77777777" w:rsidR="00DD60C4" w:rsidRPr="006F7BE3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41EA37E" w14:textId="77777777" w:rsidR="00DD60C4" w:rsidRPr="006F7BE3" w:rsidRDefault="00DD60C4" w:rsidP="006F7BE3">
            <w:pPr>
              <w:numPr>
                <w:ilvl w:val="0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Kryteria włączenia do programu pacjentów leczonych uprzednio w ramach jednorodnych grup pacjentów, którzy zostali wyłączeni z programu (ponowna kwalifikacja), lub u świadczeniodawców, którzy nie posiadali umowy na udzielanie świadczeń opieki zdrowotnej finansowanych ze środków publicznych</w:t>
            </w:r>
          </w:p>
          <w:p w14:paraId="5673208B" w14:textId="071B20AA" w:rsidR="00DD60C4" w:rsidRPr="006F7BE3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Do programu kwalifikowani są również pacjenci wyłączeni z niego w oparciu o pkt. 8 kryteriów wyłączenia oraz którzy przed wprowadzeniem programu rozpoczęli leczenie BRVO i CRVO iniekcjami </w:t>
            </w:r>
            <w:proofErr w:type="spellStart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doszklistkowymi</w:t>
            </w:r>
            <w:proofErr w:type="spellEnd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przeciwciała</w:t>
            </w:r>
            <w:r w:rsidR="004B5A8F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mi</w:t>
            </w: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monoklonaln</w:t>
            </w:r>
            <w:r w:rsidR="004B5A8F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ymi</w:t>
            </w: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anty-VEGF lub rekombinowan</w:t>
            </w:r>
            <w:r w:rsidR="00D64245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y</w:t>
            </w:r>
            <w:r w:rsidR="004B5A8F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m</w:t>
            </w: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białk</w:t>
            </w:r>
            <w:r w:rsidR="004B5A8F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iem</w:t>
            </w: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fuzyjn</w:t>
            </w:r>
            <w:r w:rsidR="004B5A8F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ym</w:t>
            </w: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19B4536F" w14:textId="77777777" w:rsidR="00DD60C4" w:rsidRPr="006F7BE3" w:rsidRDefault="00DD60C4" w:rsidP="006F7BE3">
            <w:pPr>
              <w:numPr>
                <w:ilvl w:val="3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 ramach świadczeń gwarantowanych rozliczanych w ramach grupy </w:t>
            </w: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B84 - </w:t>
            </w: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Małe zabiegi </w:t>
            </w:r>
            <w:proofErr w:type="spellStart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witreoretinalne</w:t>
            </w:r>
            <w:proofErr w:type="spellEnd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35F1821F" w14:textId="77777777" w:rsidR="00DD60C4" w:rsidRPr="006F7BE3" w:rsidRDefault="00DD60C4" w:rsidP="006F7BE3">
            <w:p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lub</w:t>
            </w:r>
            <w:r w:rsidRPr="006F7BE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D19ACF7" w14:textId="77777777" w:rsidR="00DD60C4" w:rsidRPr="006F7BE3" w:rsidRDefault="00DD60C4" w:rsidP="006F7BE3">
            <w:pPr>
              <w:numPr>
                <w:ilvl w:val="3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 świadczeniodawców, którzy nie posiadali umowy na udzielanie świadczeń opieki zdrowotnej finansowanych ze środków publicznych </w:t>
            </w:r>
          </w:p>
          <w:p w14:paraId="2D0D4112" w14:textId="77777777" w:rsidR="00DD60C4" w:rsidRPr="006F7BE3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- pod warunkiem, że w chwili rozpoczęcia terapii spełniali kryteria włączenia do programu. Jeżeli wykazano w tym czasie skuteczność leczenia, wtedy terapia powinna być kontynuowana zgodnie z zapisami programu.</w:t>
            </w:r>
          </w:p>
          <w:p w14:paraId="708611FF" w14:textId="77777777" w:rsidR="00DD60C4" w:rsidRPr="006F7BE3" w:rsidRDefault="00DD60C4" w:rsidP="006F7BE3">
            <w:pPr>
              <w:spacing w:after="60" w:line="276" w:lineRule="auto"/>
              <w:ind w:left="34" w:firstLine="1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B16D2F8" w14:textId="77777777" w:rsidR="00DD60C4" w:rsidRPr="006F7BE3" w:rsidRDefault="00DD60C4" w:rsidP="006F7BE3">
            <w:pPr>
              <w:pStyle w:val="Akapitzlist"/>
              <w:numPr>
                <w:ilvl w:val="0"/>
                <w:numId w:val="35"/>
              </w:numPr>
              <w:spacing w:before="0" w:after="60" w:line="276" w:lineRule="auto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hAnsi="Times New Roman"/>
                <w:b/>
                <w:bCs/>
                <w:sz w:val="20"/>
                <w:szCs w:val="20"/>
                <w:lang w:eastAsia="pl-PL"/>
              </w:rPr>
              <w:t>Określenie czasu leczenia w programie lub zmiana leczenia</w:t>
            </w:r>
          </w:p>
          <w:p w14:paraId="35A8768B" w14:textId="732AEF12" w:rsidR="00DD60C4" w:rsidRPr="006F7BE3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lastRenderedPageBreak/>
              <w:t xml:space="preserve">Leczenie trwa do czasu podjęcia przez lekarza prowadzącego decyzji o przerwaniu leczenia w programie lub o wyłączeniu pacjenta z programu zgodnie z kryteriami opisanymi w </w:t>
            </w:r>
            <w:r w:rsidR="00D4771C"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pkt. </w:t>
            </w:r>
            <w:r w:rsidR="00E20787" w:rsidRPr="006F7BE3">
              <w:rPr>
                <w:rFonts w:ascii="Times New Roman" w:eastAsia="Calibri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Kryteria wyłączenia</w:t>
            </w:r>
            <w:r w:rsidR="00E20787"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 lub </w:t>
            </w:r>
            <w:r w:rsidR="00E20787" w:rsidRPr="006F7BE3">
              <w:rPr>
                <w:rFonts w:ascii="Times New Roman" w:eastAsia="Calibri" w:hAnsi="Times New Roman" w:cs="Times New Roman"/>
                <w:bCs/>
                <w:i/>
                <w:iCs/>
                <w:sz w:val="20"/>
                <w:szCs w:val="20"/>
                <w:lang w:eastAsia="pl-PL"/>
              </w:rPr>
              <w:t>Monitorowanie skuteczności leczenia</w:t>
            </w:r>
            <w:r w:rsidR="00E20787"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5134B5C3" w14:textId="77777777" w:rsidR="00DD60C4" w:rsidRPr="006F7BE3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6E2DE8CE" w14:textId="77777777" w:rsidR="00DD60C4" w:rsidRPr="006F7BE3" w:rsidRDefault="00DD60C4" w:rsidP="006F7BE3">
            <w:pPr>
              <w:numPr>
                <w:ilvl w:val="0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t>Kryteria wyłączenia</w:t>
            </w:r>
          </w:p>
          <w:p w14:paraId="72492769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nadwrażliwość na</w:t>
            </w: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bewacyzumab</w:t>
            </w:r>
            <w:proofErr w:type="spellEnd"/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 lub na którąkolwiek substancję pomocniczą;</w:t>
            </w:r>
          </w:p>
          <w:p w14:paraId="7B79DBA8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czynne zakażenie oka lub jego okolic;</w:t>
            </w:r>
          </w:p>
          <w:p w14:paraId="0CECA742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czynne ciężkie zapalenie wnętrza gałki;</w:t>
            </w:r>
          </w:p>
          <w:p w14:paraId="6DD93FC1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okres ciąży lub karmienia piersią;</w:t>
            </w:r>
          </w:p>
          <w:p w14:paraId="426FB278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wystąpienie działań niepożądanych związanych z lekiem uniemożliwiających jego dalsze stosowanie;</w:t>
            </w:r>
          </w:p>
          <w:p w14:paraId="521E7A0A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przedarciowe</w:t>
            </w:r>
            <w:proofErr w:type="spellEnd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odwarstwienie siatkówki lub otwór w plamce 3. lub 4. stopnia;</w:t>
            </w:r>
          </w:p>
          <w:p w14:paraId="763CA04E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progresja choroby definiowana jako:</w:t>
            </w:r>
          </w:p>
          <w:p w14:paraId="0EDEC5E7" w14:textId="77777777" w:rsidR="00DD60C4" w:rsidRPr="006F7BE3" w:rsidRDefault="00DD60C4" w:rsidP="006F7BE3">
            <w:pPr>
              <w:numPr>
                <w:ilvl w:val="3"/>
                <w:numId w:val="3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pogorszenie najlepszej skorygowanej ostrości wzroku (BCVA) do wartości  ≤ 0,05 określonej według tablicy Snellena (lub odpowiednio ekwiwalent ETDRS) utrzymujące się dłużej niż 2 miesiące</w:t>
            </w:r>
          </w:p>
          <w:p w14:paraId="135AE23F" w14:textId="77777777" w:rsidR="00DD60C4" w:rsidRPr="006F7BE3" w:rsidRDefault="00DD60C4" w:rsidP="006F7BE3">
            <w:pPr>
              <w:spacing w:after="60" w:line="276" w:lineRule="auto"/>
              <w:ind w:left="454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lub</w:t>
            </w:r>
          </w:p>
          <w:p w14:paraId="20A64EA0" w14:textId="34129338" w:rsidR="00DD60C4" w:rsidRPr="006F7BE3" w:rsidRDefault="00DD60C4" w:rsidP="006F7BE3">
            <w:pPr>
              <w:numPr>
                <w:ilvl w:val="3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obecność trwałego uszkodzenia struktury dołka, która uniemożliwia uzyskanie u pacjenta stabilizacji lub poprawy czynnościowej</w:t>
            </w:r>
            <w:r w:rsidR="00D4771C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27230B65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brak aktywnego leczenia w postaci podawania iniekcji </w:t>
            </w:r>
            <w:proofErr w:type="spellStart"/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bewacyzumabu</w:t>
            </w:r>
            <w:proofErr w:type="spellEnd"/>
            <w:r w:rsidRPr="006F7BE3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w okresie 4 miesięcy od podania ostatniej dawki leku;</w:t>
            </w:r>
          </w:p>
          <w:p w14:paraId="66C29D2C" w14:textId="53FF1CC1" w:rsidR="005C37D3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brak aktywności choroby lub</w:t>
            </w:r>
            <w:r w:rsidRPr="006F7BE3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eśli z oceny parametrów wzrokowych i anatomicznych wynika, że pacjent nie odnosi korzyści z kontynuowania leczenia </w:t>
            </w:r>
            <w:proofErr w:type="spellStart"/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bewacyzumabem</w:t>
            </w:r>
            <w:proofErr w:type="spellEnd"/>
            <w:r w:rsidR="00D4771C"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497097EB" w14:textId="77777777" w:rsidR="00DD60C4" w:rsidRPr="006F7BE3" w:rsidRDefault="00DD60C4" w:rsidP="006F7BE3">
            <w:pPr>
              <w:numPr>
                <w:ilvl w:val="2"/>
                <w:numId w:val="3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BE3">
              <w:rPr>
                <w:rFonts w:ascii="Times New Roman" w:eastAsia="Calibri" w:hAnsi="Times New Roman" w:cs="Times New Roman"/>
                <w:sz w:val="20"/>
                <w:szCs w:val="20"/>
              </w:rPr>
              <w:t>brak współpracy pacjenta z lekarzem prowadzącym (niezgłaszanie się z powodów nieuzasadnionych na określone przez program minimum 2 kolejne punkty kontrolne).</w:t>
            </w:r>
          </w:p>
          <w:p w14:paraId="73253C2E" w14:textId="018B25A6" w:rsidR="006F7BE3" w:rsidRPr="005C37D3" w:rsidRDefault="006F7BE3" w:rsidP="006F7BE3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645E5" w14:textId="6344688D" w:rsidR="00DD60C4" w:rsidRPr="008A39ED" w:rsidRDefault="00D4771C" w:rsidP="00DD60C4">
            <w:pPr>
              <w:numPr>
                <w:ilvl w:val="0"/>
                <w:numId w:val="36"/>
              </w:numPr>
              <w:spacing w:before="120"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lastRenderedPageBreak/>
              <w:t>Dawkowanie leków</w:t>
            </w:r>
          </w:p>
          <w:p w14:paraId="3F870C21" w14:textId="27D039E4" w:rsidR="0082669B" w:rsidRPr="0082669B" w:rsidRDefault="00D4771C" w:rsidP="006F7BE3">
            <w:pPr>
              <w:widowControl w:val="0"/>
              <w:numPr>
                <w:ilvl w:val="1"/>
                <w:numId w:val="37"/>
              </w:numPr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82669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Zalecane dawki</w:t>
            </w:r>
          </w:p>
          <w:p w14:paraId="22E434FD" w14:textId="49BDBE13" w:rsidR="00DD60C4" w:rsidRDefault="0082669B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Zalecana dawka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bewacyzumabu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na jedno wstrzyknięcie doszklistkowe wynosi </w:t>
            </w:r>
            <w:r w:rsidR="00DD60C4"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1,25 mg, co odpowiada 50 µl roztworu (0,05 ml) na jedno wstrzyknięcie </w:t>
            </w:r>
            <w:proofErr w:type="spellStart"/>
            <w:r w:rsidR="00DD60C4"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doszklistkowe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3F6C8616" w14:textId="77777777" w:rsidR="006F7BE3" w:rsidRPr="001E7BA5" w:rsidRDefault="006F7BE3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  <w:p w14:paraId="199EBD75" w14:textId="77777777" w:rsidR="0082669B" w:rsidRPr="0082669B" w:rsidRDefault="0082669B" w:rsidP="006F7BE3">
            <w:pPr>
              <w:widowControl w:val="0"/>
              <w:numPr>
                <w:ilvl w:val="1"/>
                <w:numId w:val="37"/>
              </w:numPr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82669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Rozpoczęcie leczenia – faza nasycająca</w:t>
            </w:r>
          </w:p>
          <w:p w14:paraId="27D19CBD" w14:textId="6D301837" w:rsidR="00DD60C4" w:rsidRDefault="0082669B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L</w:t>
            </w:r>
            <w:r w:rsidR="00DD60C4"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eczenie </w:t>
            </w:r>
            <w:proofErr w:type="spellStart"/>
            <w:r w:rsidR="00DD60C4"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bewacyzumabem</w:t>
            </w:r>
            <w:proofErr w:type="spellEnd"/>
            <w:r w:rsidR="00DD60C4"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rozpoczyna się od jednego wstrzyknięcia na miesiąc (tj. w odstępach co najmniej 28 dni, ale nie później niż 7 dni po upływie tego terminu) przez </w:t>
            </w:r>
            <w:r w:rsidR="00DD60C4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trzy</w:t>
            </w:r>
            <w:r w:rsidR="00DD60C4"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kolejn</w:t>
            </w:r>
            <w:r w:rsidR="00DD60C4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e</w:t>
            </w:r>
            <w:r w:rsidR="00DD60C4"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miesi</w:t>
            </w:r>
            <w:r w:rsidR="00DD60C4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ące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AC6CC85" w14:textId="77777777" w:rsidR="006F7BE3" w:rsidRDefault="006F7BE3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  <w:p w14:paraId="74B4C676" w14:textId="0A99E56F" w:rsidR="003B6168" w:rsidRPr="003B6168" w:rsidRDefault="003B6168" w:rsidP="006F7BE3">
            <w:pPr>
              <w:widowControl w:val="0"/>
              <w:numPr>
                <w:ilvl w:val="1"/>
                <w:numId w:val="37"/>
              </w:numPr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3B616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Faza podtrzymująca</w:t>
            </w:r>
          </w:p>
          <w:p w14:paraId="2F76B56F" w14:textId="1294E228" w:rsidR="00DD60C4" w:rsidRPr="00587DA4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lastRenderedPageBreak/>
              <w:t>N</w:t>
            </w:r>
            <w:r w:rsidRPr="00587DA4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a podstawie oceny przez lekarza parametrów wzrokowych i/lub anatomicznych odstęp pomiędzy dawkami po fazie nasycenia może pozostać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co</w:t>
            </w:r>
            <w:r w:rsidRPr="00587DA4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miesięczny lub może zostać wydłużony według schematu dawkowania „</w:t>
            </w:r>
            <w:proofErr w:type="spellStart"/>
            <w:r w:rsidRPr="00587DA4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treat</w:t>
            </w:r>
            <w:proofErr w:type="spellEnd"/>
            <w:r w:rsidRPr="00587DA4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-and-</w:t>
            </w:r>
            <w:proofErr w:type="spellStart"/>
            <w:r w:rsidRPr="00587DA4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extend</w:t>
            </w:r>
            <w:proofErr w:type="spellEnd"/>
            <w:r w:rsidRPr="00587DA4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” („lecz i wydłużaj”), w którym odstępy pomiędzy kolejnymi dawkami wydłuża się o 2 lub 4 tygodnie na tyle, aby podtrzymać odpowiedź w zakresie parametrów wzrokowych i/lub anatomicznych. W przypadku pogorszenia się parametrów wzrokowych i/lub anatomicznych należy odpowiednio skrócić odstęp między kolejnymi dawkami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46C1748B" w14:textId="53CEF3FF" w:rsidR="00DD60C4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W przypadku skuteczności leczenia ocenionej według kryteriów opisanych w pkt </w:t>
            </w:r>
            <w:r w:rsidR="003B6168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4 </w:t>
            </w:r>
            <w:r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po pierwszych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5 iniekcjach</w:t>
            </w:r>
            <w:r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bewacyzumab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u</w:t>
            </w:r>
            <w:proofErr w:type="spellEnd"/>
            <w:r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odstęp pomiędzy dawkami można wydłużyć na tyle, aby podtrzymać odpowiedź w zakresie parametrów anatomicznych i funkcjonalnych aktywności choroby; w przypadku pogorszenia się tych parametrów należy skrócić okres między kolejnymi dawkami leku</w:t>
            </w:r>
            <w:r w:rsidR="003B6168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61521091" w14:textId="77777777" w:rsidR="006F7BE3" w:rsidRDefault="006F7BE3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  <w:p w14:paraId="646B48DB" w14:textId="48049132" w:rsidR="003B6168" w:rsidRPr="003B6168" w:rsidRDefault="003B6168" w:rsidP="006F7BE3">
            <w:pPr>
              <w:widowControl w:val="0"/>
              <w:numPr>
                <w:ilvl w:val="1"/>
                <w:numId w:val="37"/>
              </w:numPr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3B616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Kontynuacja terapii rozpoczętej poza programem</w:t>
            </w:r>
          </w:p>
          <w:p w14:paraId="5FEB2DB4" w14:textId="5C452A0E" w:rsidR="003B6168" w:rsidRPr="001E7BA5" w:rsidRDefault="003B6168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W</w:t>
            </w:r>
            <w:r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przypadku wcześniejszego leczenia pacjenta </w:t>
            </w:r>
            <w:proofErr w:type="spellStart"/>
            <w:r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bewacyzumabem</w:t>
            </w:r>
            <w:proofErr w:type="spellEnd"/>
            <w:r w:rsidRPr="001E7BA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poza programem lekowym – schemat leczenia należy dostosować do etapu leczenia, na którym znajduje się pacjent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636FB660" w14:textId="77777777" w:rsidR="00DD60C4" w:rsidRPr="001E7BA5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  <w:p w14:paraId="4FB47D2E" w14:textId="4EBC706B" w:rsidR="00DD60C4" w:rsidRPr="003B6168" w:rsidRDefault="00DD60C4" w:rsidP="006F7BE3">
            <w:pPr>
              <w:widowControl w:val="0"/>
              <w:numPr>
                <w:ilvl w:val="1"/>
                <w:numId w:val="37"/>
              </w:numPr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3B616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Wstrzymanie podawania leku</w:t>
            </w:r>
          </w:p>
          <w:p w14:paraId="5A3334A9" w14:textId="77777777" w:rsidR="00DD60C4" w:rsidRPr="00E44405" w:rsidRDefault="00DD60C4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 w:rsidRPr="00E4440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Podawanie leku należy odroczyć, jeżeli wystąpi:</w:t>
            </w:r>
          </w:p>
          <w:p w14:paraId="79782742" w14:textId="03626021" w:rsidR="00DD60C4" w:rsidRPr="00E44405" w:rsidRDefault="00DD60C4" w:rsidP="006F7BE3">
            <w:pPr>
              <w:numPr>
                <w:ilvl w:val="2"/>
                <w:numId w:val="41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440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ciśnienie </w:t>
            </w:r>
            <w:proofErr w:type="spellStart"/>
            <w:r w:rsidRPr="00E44405">
              <w:rPr>
                <w:rFonts w:ascii="Times New Roman" w:eastAsia="Calibri" w:hAnsi="Times New Roman" w:cs="Times New Roman"/>
                <w:sz w:val="20"/>
                <w:szCs w:val="20"/>
              </w:rPr>
              <w:t>śródgałkowe</w:t>
            </w:r>
            <w:proofErr w:type="spellEnd"/>
            <w:r w:rsidRPr="00E4440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≥ 30 mmHg (utrzymujące się pomimo leczenia); </w:t>
            </w:r>
          </w:p>
          <w:p w14:paraId="11871673" w14:textId="498A7853" w:rsidR="00DD60C4" w:rsidRPr="00E44405" w:rsidRDefault="00DD60C4" w:rsidP="006F7BE3">
            <w:pPr>
              <w:numPr>
                <w:ilvl w:val="2"/>
                <w:numId w:val="41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4405">
              <w:rPr>
                <w:rFonts w:ascii="Times New Roman" w:eastAsia="Calibri" w:hAnsi="Times New Roman" w:cs="Times New Roman"/>
                <w:sz w:val="20"/>
                <w:szCs w:val="20"/>
              </w:rPr>
              <w:t>rozerwanie siatkówki;</w:t>
            </w:r>
          </w:p>
          <w:p w14:paraId="0674FCD8" w14:textId="17ADAD2F" w:rsidR="00DD60C4" w:rsidRPr="00E44405" w:rsidRDefault="00DD60C4" w:rsidP="006F7BE3">
            <w:pPr>
              <w:numPr>
                <w:ilvl w:val="2"/>
                <w:numId w:val="41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440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przeprowadzenie lub planowanie operacji wewnątrzgałkowej (o długości okresu wstrzymania </w:t>
            </w:r>
            <w:r w:rsidRPr="00E44405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podawania leku przed lub po operacją decyduje lekarz prowadzący);</w:t>
            </w:r>
          </w:p>
          <w:p w14:paraId="51148D62" w14:textId="2D2457FD" w:rsidR="00DD60C4" w:rsidRPr="00E44405" w:rsidRDefault="00DD60C4" w:rsidP="006F7BE3">
            <w:pPr>
              <w:numPr>
                <w:ilvl w:val="2"/>
                <w:numId w:val="41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4405">
              <w:rPr>
                <w:rFonts w:ascii="Times New Roman" w:eastAsia="Calibri" w:hAnsi="Times New Roman" w:cs="Times New Roman"/>
                <w:sz w:val="20"/>
                <w:szCs w:val="20"/>
              </w:rPr>
              <w:t>brak aktywności choroby.</w:t>
            </w:r>
          </w:p>
          <w:p w14:paraId="76829B8E" w14:textId="35081267" w:rsidR="00DD60C4" w:rsidRPr="003201D7" w:rsidRDefault="00DD60C4" w:rsidP="006F7BE3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E44405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O terminie podania kolejnej dawki leku po odroczeniu decyduje lekarz prowadzący – z zastrzeżeniem kryteriów wyłączenia z programu</w:t>
            </w:r>
            <w:r w:rsidR="003B6168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5D8F4" w14:textId="6E066ACE" w:rsidR="00DD60C4" w:rsidRPr="00F470CD" w:rsidRDefault="00DD60C4" w:rsidP="0082669B">
            <w:pPr>
              <w:widowControl w:val="0"/>
              <w:numPr>
                <w:ilvl w:val="0"/>
                <w:numId w:val="40"/>
              </w:numPr>
              <w:spacing w:before="120"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470CD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lastRenderedPageBreak/>
              <w:t xml:space="preserve">Leczenie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RVO</w:t>
            </w:r>
          </w:p>
          <w:p w14:paraId="76C0F50F" w14:textId="77777777" w:rsidR="00DD60C4" w:rsidRPr="00F470CD" w:rsidRDefault="00DD60C4" w:rsidP="006F7BE3">
            <w:pPr>
              <w:widowControl w:val="0"/>
              <w:numPr>
                <w:ilvl w:val="1"/>
                <w:numId w:val="40"/>
              </w:numPr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470CD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Badania przy kwalifikacji</w:t>
            </w:r>
          </w:p>
          <w:p w14:paraId="63863A5B" w14:textId="77777777" w:rsidR="00DD60C4" w:rsidRPr="00F470CD" w:rsidRDefault="00DD60C4" w:rsidP="006F7BE3">
            <w:pPr>
              <w:widowControl w:val="0"/>
              <w:numPr>
                <w:ilvl w:val="2"/>
                <w:numId w:val="40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badanie okulistyczne z oceną ostrości wzroku na tablicach Snellena lub ETDRS;</w:t>
            </w:r>
          </w:p>
          <w:p w14:paraId="2F79A348" w14:textId="77777777" w:rsidR="00DD60C4" w:rsidRPr="00F470CD" w:rsidRDefault="00DD60C4" w:rsidP="006F7BE3">
            <w:pPr>
              <w:widowControl w:val="0"/>
              <w:numPr>
                <w:ilvl w:val="2"/>
                <w:numId w:val="40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OCT (optyczna koherentna tomografia);</w:t>
            </w:r>
          </w:p>
          <w:p w14:paraId="6879BC0C" w14:textId="77777777" w:rsidR="00DD60C4" w:rsidRPr="00F470CD" w:rsidRDefault="00DD60C4" w:rsidP="006F7BE3">
            <w:pPr>
              <w:widowControl w:val="0"/>
              <w:numPr>
                <w:ilvl w:val="2"/>
                <w:numId w:val="40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fotografia dna oka;</w:t>
            </w:r>
          </w:p>
          <w:p w14:paraId="21300FB9" w14:textId="77777777" w:rsidR="00DD60C4" w:rsidRPr="00F470CD" w:rsidRDefault="00DD60C4" w:rsidP="006F7BE3">
            <w:pPr>
              <w:widowControl w:val="0"/>
              <w:numPr>
                <w:ilvl w:val="2"/>
                <w:numId w:val="40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angiografia </w:t>
            </w:r>
            <w:proofErr w:type="spellStart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fluoresceinowa</w:t>
            </w:r>
            <w:proofErr w:type="spellEnd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 lub </w:t>
            </w:r>
            <w:proofErr w:type="spellStart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angio</w:t>
            </w:r>
            <w:proofErr w:type="spellEnd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-OCT (w przypadkach trudnych z diagnostycznego punktu widzenia - angiografia </w:t>
            </w:r>
            <w:proofErr w:type="spellStart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indocyjaninowa</w:t>
            </w:r>
            <w:proofErr w:type="spellEnd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) – w przypadku uczulenia na barwnik stosowany w angiografii lub w razie wystąpienia innych jednoznacznych przeciwwskazań do wykonania tego badania można od niego odstąpić. Fakt odstąpienia od badania należy </w:t>
            </w: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lastRenderedPageBreak/>
              <w:t>opisać w dokumentacji medycznej pacjenta i przekazać do Zespołu Koordynacyjnego;</w:t>
            </w:r>
          </w:p>
          <w:p w14:paraId="4BD7ED3F" w14:textId="77777777" w:rsidR="00DD60C4" w:rsidRDefault="00DD60C4" w:rsidP="006F7BE3">
            <w:pPr>
              <w:numPr>
                <w:ilvl w:val="2"/>
                <w:numId w:val="40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</w:rPr>
              <w:t>w przypadku ponownej kwalifikacji po wyłączeniu pacjenta z programu z powodu przedłużającego się okresu obserwacji kwalifikację pacjenta opierać należy na pkt. 1, 2 i 3. W przypadkach wątpliwych ekspert Zespołu Koordynacyjnego może poprosić o rozszerzenia badań do pełnego zakresu.</w:t>
            </w:r>
          </w:p>
          <w:p w14:paraId="35B556D7" w14:textId="5B94040D" w:rsidR="00DD60C4" w:rsidRPr="00E44405" w:rsidRDefault="00DD60C4" w:rsidP="006F7BE3">
            <w:pPr>
              <w:spacing w:after="60" w:line="276" w:lineRule="auto"/>
              <w:ind w:left="454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4440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W przypadkach badań obrazowych zalecane jest w miarę możliwości stosowanie urządzeń szerokokątnych</w:t>
            </w:r>
            <w:r w:rsidR="005C37D3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8D13E7D" w14:textId="77777777" w:rsidR="00DD60C4" w:rsidRPr="00F470CD" w:rsidRDefault="00DD60C4" w:rsidP="006F7BE3">
            <w:pPr>
              <w:spacing w:after="60" w:line="276" w:lineRule="auto"/>
              <w:ind w:left="454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E5706B8" w14:textId="77777777" w:rsidR="00DD60C4" w:rsidRPr="00F470CD" w:rsidRDefault="00DD60C4" w:rsidP="006F7BE3">
            <w:pPr>
              <w:widowControl w:val="0"/>
              <w:numPr>
                <w:ilvl w:val="0"/>
                <w:numId w:val="40"/>
              </w:numPr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F470CD">
              <w:rPr>
                <w:rFonts w:ascii="Times New Roman" w:eastAsia="Calibri" w:hAnsi="Times New Roman" w:cs="Times New Roman"/>
                <w:b/>
                <w:sz w:val="20"/>
                <w:szCs w:val="20"/>
                <w:shd w:val="clear" w:color="auto" w:fill="FFFFFF"/>
              </w:rPr>
              <w:t>Monitorowanie</w:t>
            </w:r>
            <w:r w:rsidRPr="00F470CD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leczenia</w:t>
            </w:r>
          </w:p>
          <w:p w14:paraId="44B9DC15" w14:textId="04BDD39D" w:rsidR="00DD60C4" w:rsidRPr="00F470CD" w:rsidRDefault="00DD60C4" w:rsidP="006F7BE3">
            <w:pPr>
              <w:numPr>
                <w:ilvl w:val="2"/>
                <w:numId w:val="40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badanie okulistyczne z oceną ostrości wzroku na tablicach Snellena lub ETDRS</w:t>
            </w:r>
            <w:r w:rsidR="00764510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;</w:t>
            </w:r>
          </w:p>
          <w:p w14:paraId="293CEC4B" w14:textId="1FD7515F" w:rsidR="00DD60C4" w:rsidRPr="00764510" w:rsidRDefault="00DD60C4" w:rsidP="006F7BE3">
            <w:pPr>
              <w:numPr>
                <w:ilvl w:val="2"/>
                <w:numId w:val="40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OCT (optyczna koherentna tomografia)</w:t>
            </w:r>
            <w:r w:rsidR="00764510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;</w:t>
            </w:r>
          </w:p>
          <w:p w14:paraId="2141CAD8" w14:textId="5C1FD2C0" w:rsidR="00DD60C4" w:rsidRPr="00764510" w:rsidRDefault="00DD60C4" w:rsidP="006F7BE3">
            <w:pPr>
              <w:numPr>
                <w:ilvl w:val="2"/>
                <w:numId w:val="40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opcjonalnie - fotografia dna oka</w:t>
            </w:r>
            <w:r w:rsidR="00764510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;</w:t>
            </w:r>
          </w:p>
          <w:p w14:paraId="740F92E3" w14:textId="77777777" w:rsidR="00DD60C4" w:rsidRPr="00764510" w:rsidRDefault="00DD60C4" w:rsidP="006F7BE3">
            <w:pPr>
              <w:numPr>
                <w:ilvl w:val="2"/>
                <w:numId w:val="40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opcjonalnie - angiografia </w:t>
            </w:r>
            <w:proofErr w:type="spellStart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fluoresceinowa</w:t>
            </w:r>
            <w:proofErr w:type="spellEnd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 lub </w:t>
            </w:r>
            <w:proofErr w:type="spellStart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angio</w:t>
            </w:r>
            <w:proofErr w:type="spellEnd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-OCT (w przypadkach trudnych z diagnostycznego punktu widzenia - angiografia </w:t>
            </w:r>
            <w:proofErr w:type="spellStart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indocyjaninowa</w:t>
            </w:r>
            <w:proofErr w:type="spellEnd"/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).</w:t>
            </w:r>
          </w:p>
          <w:p w14:paraId="2AD7857D" w14:textId="673F63D2" w:rsidR="00764510" w:rsidRDefault="00764510" w:rsidP="006F7BE3">
            <w:pPr>
              <w:widowControl w:val="0"/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Badania wymienione powyżej przeprowadza się przed każdym podaniem leku, w dniu jego podania lub w terminie do 7 dni przed jego podaniem, zgodnie z harmonogramem dawkowania.</w:t>
            </w:r>
          </w:p>
          <w:p w14:paraId="2AAFF4A9" w14:textId="7AB066E5" w:rsidR="00CE0D59" w:rsidRDefault="00CE0D59" w:rsidP="006F7BE3">
            <w:pPr>
              <w:widowControl w:val="0"/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4440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Fotokoagulację siatkówki należy prowadzić zgodnie ze wskazaniami, równolegle do farmakoterapii w programie.</w:t>
            </w:r>
          </w:p>
          <w:p w14:paraId="1483072D" w14:textId="2CDB78A7" w:rsidR="00DD60C4" w:rsidRDefault="00DD60C4" w:rsidP="006F7BE3">
            <w:pPr>
              <w:widowControl w:val="0"/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Nie ma wymogu monitorowania pomiędzy wstrzyknięciami. Na podstawie opinii lekarza harmonogram monitorowania może być częstszy niż harmonogram wstrzyknięć. </w:t>
            </w:r>
          </w:p>
          <w:p w14:paraId="558230A5" w14:textId="77777777" w:rsidR="006F7BE3" w:rsidRPr="00E44405" w:rsidRDefault="006F7BE3" w:rsidP="006F7BE3">
            <w:pPr>
              <w:widowControl w:val="0"/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  <w:p w14:paraId="01B714CE" w14:textId="2B64136C" w:rsidR="00DD60C4" w:rsidRPr="00E20787" w:rsidRDefault="00CE0D59" w:rsidP="006F7BE3">
            <w:pPr>
              <w:widowControl w:val="0"/>
              <w:numPr>
                <w:ilvl w:val="1"/>
                <w:numId w:val="43"/>
              </w:numPr>
              <w:tabs>
                <w:tab w:val="left" w:pos="294"/>
              </w:tabs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shd w:val="clear" w:color="auto" w:fill="FFFFFF"/>
              </w:rPr>
            </w:pPr>
            <w:r w:rsidRPr="00E20787">
              <w:rPr>
                <w:rFonts w:ascii="Times New Roman" w:eastAsia="Calibri" w:hAnsi="Times New Roman" w:cs="Times New Roman"/>
                <w:b/>
                <w:sz w:val="20"/>
                <w:szCs w:val="20"/>
                <w:shd w:val="clear" w:color="auto" w:fill="FFFFFF"/>
              </w:rPr>
              <w:lastRenderedPageBreak/>
              <w:t>Monitorowanie skuteczności leczenia</w:t>
            </w:r>
          </w:p>
          <w:p w14:paraId="7E348005" w14:textId="4DBC901C" w:rsidR="00E20787" w:rsidRPr="00E20787" w:rsidRDefault="00E20787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Ocena skuteczności leczenia przeprowadzana jest przez Zespół Koordynacyjny po zgłoszeniu pacjenta przez lekarza prowadzącego w elektronicznym systemie monitorowania programów lekowych. Brak zgłoszenia równoznaczny jest z wyłączeniem pacjenta z programu.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Ponownego włączenia do leczenia dokonuje lekarz 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prowadzący </w:t>
            </w: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na podstawie kryteriów włączenia.</w:t>
            </w:r>
          </w:p>
          <w:p w14:paraId="3F202F63" w14:textId="24023DE8" w:rsidR="00E20787" w:rsidRDefault="00E20787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3201D7">
              <w:rPr>
                <w:rFonts w:ascii="Times New Roman" w:hAnsi="Times New Roman" w:cs="Times New Roman"/>
                <w:sz w:val="20"/>
                <w:szCs w:val="20"/>
              </w:rPr>
              <w:t>Ocena skuteczności leczenia odbywa się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p</w:t>
            </w:r>
            <w:r w:rsidRPr="00D4771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o 1 miesiącu i nie później niż 2 miesiące po ostatnim podaniu leku z serii 5 dawek </w:t>
            </w:r>
            <w:proofErr w:type="spellStart"/>
            <w:r w:rsidRPr="00D4771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bewacyzumabu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2815E8BF" w14:textId="3FEE7CBA" w:rsidR="00E20787" w:rsidRPr="005C37D3" w:rsidRDefault="00E20787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5C37D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Na podstawie oceny skuteczności Zespół Koordynacyjny podejmuje decyzję w rejestrze SMPT o kontynuacji leczenia bez zmiany leku</w:t>
            </w:r>
            <w:r w:rsidR="008D7EF4" w:rsidRPr="005C37D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, </w:t>
            </w:r>
            <w:r w:rsidRPr="005C37D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wyłączeniu pacjenta z programu</w:t>
            </w:r>
            <w:r w:rsidR="008D7EF4" w:rsidRPr="005C37D3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 ze względu na brak skuteczności lub wyłączeniu pacjenta z programu ze względu na stabilne wyleczenie.</w:t>
            </w:r>
          </w:p>
          <w:p w14:paraId="313495B3" w14:textId="77777777" w:rsidR="00E20787" w:rsidRPr="00CB0468" w:rsidRDefault="00E20787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Kryteria oceny odpowiedzi na terapię obejmują:</w:t>
            </w:r>
          </w:p>
          <w:p w14:paraId="495FB571" w14:textId="77777777" w:rsidR="00E20787" w:rsidRPr="00D4771C" w:rsidRDefault="00E20787" w:rsidP="006F7BE3">
            <w:pPr>
              <w:numPr>
                <w:ilvl w:val="2"/>
                <w:numId w:val="42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4771C">
              <w:rPr>
                <w:rFonts w:ascii="Times New Roman" w:eastAsia="Calibri" w:hAnsi="Times New Roman" w:cs="Times New Roman"/>
                <w:sz w:val="20"/>
                <w:szCs w:val="20"/>
              </w:rPr>
              <w:t>poprawę najlepszej skorygowanej ostrości wzroku (BCVA) o co najmniej 1 linię na tablicy Snellena (lub odpowiednio ekwiwalent ETDRS), lub do wartości  ≥ 0,8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465C727A" w14:textId="031F23B2" w:rsidR="008D7EF4" w:rsidRDefault="00E20787" w:rsidP="006F7BE3">
            <w:pPr>
              <w:numPr>
                <w:ilvl w:val="2"/>
                <w:numId w:val="42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4771C">
              <w:rPr>
                <w:rFonts w:ascii="Times New Roman" w:eastAsia="Calibri" w:hAnsi="Times New Roman" w:cs="Times New Roman"/>
                <w:sz w:val="20"/>
                <w:szCs w:val="20"/>
              </w:rPr>
              <w:t>zmniejszenie grubości siatkówki w dołku o ≥20% w stosunku do wartości z badania kwalifikacyjnego (OCT) lub zmniejszenie grubości siatkówki do wartości ≤ 300 µm.</w:t>
            </w:r>
          </w:p>
          <w:p w14:paraId="5C7F620C" w14:textId="37081B17" w:rsidR="008D7EF4" w:rsidRPr="005C37D3" w:rsidRDefault="008D7EF4" w:rsidP="006F7BE3">
            <w:pPr>
              <w:numPr>
                <w:ilvl w:val="2"/>
                <w:numId w:val="42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C37D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wyeliminowanie stref niedokrwiennych stwierdzonych na podstawie porównania badań angiografii </w:t>
            </w:r>
            <w:proofErr w:type="spellStart"/>
            <w:r w:rsidRPr="005C37D3">
              <w:rPr>
                <w:rFonts w:ascii="Times New Roman" w:eastAsia="Calibri" w:hAnsi="Times New Roman" w:cs="Times New Roman"/>
                <w:sz w:val="20"/>
                <w:szCs w:val="20"/>
              </w:rPr>
              <w:t>fluoresceinowej</w:t>
            </w:r>
            <w:proofErr w:type="spellEnd"/>
            <w:r w:rsidRPr="005C37D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z początku i końca leczenia w programie. </w:t>
            </w:r>
          </w:p>
          <w:p w14:paraId="2E013DD3" w14:textId="77777777" w:rsidR="00E20787" w:rsidRPr="00D4771C" w:rsidRDefault="00E20787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4771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Kryteria odpowiedzi muszą być spełnione łącznie. </w:t>
            </w:r>
          </w:p>
          <w:p w14:paraId="00AD8EEA" w14:textId="77777777" w:rsidR="00E20787" w:rsidRPr="00CB0468" w:rsidRDefault="00E20787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lastRenderedPageBreak/>
              <w:t>Odpowiedź na terapię musi utrzymywać się do momentu oceny przez Zespół Koordynacyjny od zaprzestania podawania serii iniekcji początkowych leku.</w:t>
            </w:r>
          </w:p>
          <w:p w14:paraId="1D505085" w14:textId="77777777" w:rsidR="00E20787" w:rsidRPr="00CB0468" w:rsidRDefault="00E20787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Po 11 zastrzykach Zespół Koordynacyjny oceni zasadność (z uwzględnieniem kryteriów oceny odpowiedzi na terapię) dalszego leczenia pacjenta w programie lekowym.</w:t>
            </w:r>
          </w:p>
          <w:p w14:paraId="5EB77133" w14:textId="59E95F02" w:rsidR="00E20787" w:rsidRPr="00CB0468" w:rsidRDefault="00E20787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Pacjenta do oceny przez Zespół Koordynacyjny zgłasza lekarz prowadzący.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W przypadku braku zgłoszenia pacjenta do oceny 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przez </w:t>
            </w: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Zesp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ół</w:t>
            </w: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 Koordynacyjn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y</w:t>
            </w: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 pacjent zostanie wyłączony z programu.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Ponownego włączenia do leczenia dokonuje lekarz 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prowadzący </w:t>
            </w:r>
            <w:r w:rsidRPr="00CB046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na podstawie kryteriów włączenia.</w:t>
            </w:r>
          </w:p>
          <w:p w14:paraId="616F9E65" w14:textId="77777777" w:rsidR="00CE0D59" w:rsidRPr="00F470CD" w:rsidRDefault="00CE0D59" w:rsidP="006F7BE3">
            <w:pPr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</w:p>
          <w:p w14:paraId="67A5D2F0" w14:textId="77777777" w:rsidR="00DD60C4" w:rsidRPr="00F470CD" w:rsidRDefault="00DD60C4" w:rsidP="006F7BE3">
            <w:pPr>
              <w:numPr>
                <w:ilvl w:val="0"/>
                <w:numId w:val="43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bookmarkStart w:id="1" w:name="_Hlk53653033"/>
            <w:r w:rsidRPr="00F470CD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Monitorowanie programu</w:t>
            </w:r>
            <w:bookmarkEnd w:id="1"/>
          </w:p>
          <w:p w14:paraId="5F9A328E" w14:textId="77777777" w:rsidR="00DD60C4" w:rsidRPr="00F470CD" w:rsidRDefault="00DD60C4" w:rsidP="006F7BE3">
            <w:pPr>
              <w:numPr>
                <w:ilvl w:val="2"/>
                <w:numId w:val="43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przekazywanie do NFZ zakresu informacji sprawozdawczo – rozliczeniowych w formie elektronicznej, zgodnie z wymaganiami opublikowanymi przez Narodowy Fundusz Zdrowia;</w:t>
            </w:r>
          </w:p>
          <w:p w14:paraId="39925B9C" w14:textId="77777777" w:rsidR="00DD60C4" w:rsidRPr="00F470CD" w:rsidRDefault="00DD60C4" w:rsidP="006F7BE3">
            <w:pPr>
              <w:numPr>
                <w:ilvl w:val="2"/>
                <w:numId w:val="43"/>
              </w:numPr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uzupełnianie danych zawartych w rejestrze SMPT, dostępnym za pomocą aplikacji internetowej udostępnionej przez OW NFZ, z częstotliwością zgodną z opisem programu oraz na zakończenie leczenia;</w:t>
            </w:r>
          </w:p>
          <w:p w14:paraId="0B9697B1" w14:textId="3ED14A56" w:rsidR="00DD60C4" w:rsidRPr="00DD60C4" w:rsidRDefault="00DD60C4" w:rsidP="006F7BE3">
            <w:pPr>
              <w:numPr>
                <w:ilvl w:val="2"/>
                <w:numId w:val="43"/>
              </w:num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470CD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dane dotyczące monitorowania leczenia należy gromadzić w dokumentacji pacjenta i każdorazowo przedstawiać na żądanie kontrolerom NFZ.</w:t>
            </w:r>
          </w:p>
        </w:tc>
      </w:tr>
    </w:tbl>
    <w:p w14:paraId="290A08C3" w14:textId="77777777" w:rsidR="006A6913" w:rsidRPr="003201D7" w:rsidRDefault="006A6913">
      <w:pPr>
        <w:rPr>
          <w:rFonts w:ascii="Times New Roman" w:hAnsi="Times New Roman" w:cs="Times New Roman"/>
        </w:rPr>
      </w:pPr>
    </w:p>
    <w:sectPr w:rsidR="006A6913" w:rsidRPr="003201D7" w:rsidSect="006A6913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D69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01FE2492"/>
    <w:multiLevelType w:val="multilevel"/>
    <w:tmpl w:val="9A3C55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08386D52"/>
    <w:multiLevelType w:val="multilevel"/>
    <w:tmpl w:val="E4704714"/>
    <w:styleLink w:val="Styl2"/>
    <w:lvl w:ilvl="0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47297B"/>
    <w:multiLevelType w:val="singleLevel"/>
    <w:tmpl w:val="0415001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4" w15:restartNumberingAfterBreak="0">
    <w:nsid w:val="0B393022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5" w15:restartNumberingAfterBreak="0">
    <w:nsid w:val="15BA3CF1"/>
    <w:multiLevelType w:val="multilevel"/>
    <w:tmpl w:val="46A6CBD8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6C8305E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" w15:restartNumberingAfterBreak="0">
    <w:nsid w:val="177D45EA"/>
    <w:multiLevelType w:val="hybridMultilevel"/>
    <w:tmpl w:val="AE5445E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85D5C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9" w15:restartNumberingAfterBreak="0">
    <w:nsid w:val="1BDB673B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1C0B7E6D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1" w15:restartNumberingAfterBreak="0">
    <w:nsid w:val="1C163870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2" w15:restartNumberingAfterBreak="0">
    <w:nsid w:val="25C06895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3" w15:restartNumberingAfterBreak="0">
    <w:nsid w:val="2A94379B"/>
    <w:multiLevelType w:val="multilevel"/>
    <w:tmpl w:val="F9BC2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5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B37145B"/>
    <w:multiLevelType w:val="multilevel"/>
    <w:tmpl w:val="9A3C55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5" w15:restartNumberingAfterBreak="0">
    <w:nsid w:val="2E8B4D66"/>
    <w:multiLevelType w:val="multilevel"/>
    <w:tmpl w:val="2C64675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37811690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38334CFB"/>
    <w:multiLevelType w:val="multilevel"/>
    <w:tmpl w:val="98F42FF2"/>
    <w:styleLink w:val="Styl3"/>
    <w:lvl w:ilvl="0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B0D27CC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51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9" w15:restartNumberingAfterBreak="0">
    <w:nsid w:val="3C7D37C4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0" w15:restartNumberingAfterBreak="0">
    <w:nsid w:val="3FB24697"/>
    <w:multiLevelType w:val="multilevel"/>
    <w:tmpl w:val="AE2EADEE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3FD762F8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2" w15:restartNumberingAfterBreak="0">
    <w:nsid w:val="3FE85FE9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3" w15:restartNumberingAfterBreak="0">
    <w:nsid w:val="40694A60"/>
    <w:multiLevelType w:val="multilevel"/>
    <w:tmpl w:val="9A3C55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4" w15:restartNumberingAfterBreak="0">
    <w:nsid w:val="416C7EFD"/>
    <w:multiLevelType w:val="multilevel"/>
    <w:tmpl w:val="9A3C55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5" w15:restartNumberingAfterBreak="0">
    <w:nsid w:val="465437F6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6" w15:restartNumberingAfterBreak="0">
    <w:nsid w:val="46DD42D0"/>
    <w:multiLevelType w:val="multilevel"/>
    <w:tmpl w:val="D81648FE"/>
    <w:styleLink w:val="Styl4"/>
    <w:lvl w:ilvl="0">
      <w:start w:val="1"/>
      <w:numFmt w:val="upperRoman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27" w15:restartNumberingAfterBreak="0">
    <w:nsid w:val="4A295A9F"/>
    <w:multiLevelType w:val="multilevel"/>
    <w:tmpl w:val="9A3C55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8" w15:restartNumberingAfterBreak="0">
    <w:nsid w:val="4C650D36"/>
    <w:multiLevelType w:val="hybridMultilevel"/>
    <w:tmpl w:val="0344C3A2"/>
    <w:lvl w:ilvl="0" w:tplc="04150017">
      <w:start w:val="1"/>
      <w:numFmt w:val="lowerLetter"/>
      <w:lvlText w:val="%1)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4E6D60AD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0" w15:restartNumberingAfterBreak="0">
    <w:nsid w:val="535A76B5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1" w15:restartNumberingAfterBreak="0">
    <w:nsid w:val="545D3616"/>
    <w:multiLevelType w:val="multilevel"/>
    <w:tmpl w:val="BBB8FB06"/>
    <w:styleLink w:val="Styl1"/>
    <w:lvl w:ilvl="0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8701B67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3" w15:restartNumberingAfterBreak="0">
    <w:nsid w:val="5C23778D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5C5B505C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5" w15:restartNumberingAfterBreak="0">
    <w:nsid w:val="5C6A0F1E"/>
    <w:multiLevelType w:val="multilevel"/>
    <w:tmpl w:val="9A3C55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6" w15:restartNumberingAfterBreak="0">
    <w:nsid w:val="5F5875AA"/>
    <w:multiLevelType w:val="multilevel"/>
    <w:tmpl w:val="D9BA427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5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5FD36510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51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8" w15:restartNumberingAfterBreak="0">
    <w:nsid w:val="62DB32AA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9" w15:restartNumberingAfterBreak="0">
    <w:nsid w:val="719771EE"/>
    <w:multiLevelType w:val="multilevel"/>
    <w:tmpl w:val="94B68562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0" w15:restartNumberingAfterBreak="0">
    <w:nsid w:val="71A9286A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1" w15:restartNumberingAfterBreak="0">
    <w:nsid w:val="77C06023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2" w15:restartNumberingAfterBreak="0">
    <w:nsid w:val="79D939D6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numFmt w:val="decimal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419185477">
    <w:abstractNumId w:val="31"/>
  </w:num>
  <w:num w:numId="2" w16cid:durableId="767382788">
    <w:abstractNumId w:val="2"/>
  </w:num>
  <w:num w:numId="3" w16cid:durableId="2041468645">
    <w:abstractNumId w:val="17"/>
  </w:num>
  <w:num w:numId="4" w16cid:durableId="1631201912">
    <w:abstractNumId w:val="26"/>
  </w:num>
  <w:num w:numId="5" w16cid:durableId="230165587">
    <w:abstractNumId w:val="3"/>
  </w:num>
  <w:num w:numId="6" w16cid:durableId="2099058731">
    <w:abstractNumId w:val="34"/>
  </w:num>
  <w:num w:numId="7" w16cid:durableId="1858688503">
    <w:abstractNumId w:val="11"/>
  </w:num>
  <w:num w:numId="8" w16cid:durableId="1907103956">
    <w:abstractNumId w:val="18"/>
  </w:num>
  <w:num w:numId="9" w16cid:durableId="110714444">
    <w:abstractNumId w:val="25"/>
  </w:num>
  <w:num w:numId="10" w16cid:durableId="108593340">
    <w:abstractNumId w:val="32"/>
  </w:num>
  <w:num w:numId="11" w16cid:durableId="1489978635">
    <w:abstractNumId w:val="38"/>
  </w:num>
  <w:num w:numId="12" w16cid:durableId="978609009">
    <w:abstractNumId w:val="21"/>
  </w:num>
  <w:num w:numId="13" w16cid:durableId="1242370988">
    <w:abstractNumId w:val="22"/>
  </w:num>
  <w:num w:numId="14" w16cid:durableId="1353266391">
    <w:abstractNumId w:val="8"/>
  </w:num>
  <w:num w:numId="15" w16cid:durableId="776869761">
    <w:abstractNumId w:val="33"/>
  </w:num>
  <w:num w:numId="16" w16cid:durableId="106975176">
    <w:abstractNumId w:val="29"/>
  </w:num>
  <w:num w:numId="17" w16cid:durableId="1815297655">
    <w:abstractNumId w:val="13"/>
  </w:num>
  <w:num w:numId="18" w16cid:durableId="882055766">
    <w:abstractNumId w:val="7"/>
  </w:num>
  <w:num w:numId="19" w16cid:durableId="2039694135">
    <w:abstractNumId w:val="36"/>
  </w:num>
  <w:num w:numId="20" w16cid:durableId="1158232600">
    <w:abstractNumId w:val="39"/>
  </w:num>
  <w:num w:numId="21" w16cid:durableId="19280784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268736">
    <w:abstractNumId w:val="42"/>
  </w:num>
  <w:num w:numId="23" w16cid:durableId="1000699342">
    <w:abstractNumId w:val="4"/>
  </w:num>
  <w:num w:numId="24" w16cid:durableId="1373336806">
    <w:abstractNumId w:val="6"/>
  </w:num>
  <w:num w:numId="25" w16cid:durableId="704409926">
    <w:abstractNumId w:val="40"/>
  </w:num>
  <w:num w:numId="26" w16cid:durableId="1584339878">
    <w:abstractNumId w:val="12"/>
  </w:num>
  <w:num w:numId="27" w16cid:durableId="41253448">
    <w:abstractNumId w:val="10"/>
  </w:num>
  <w:num w:numId="28" w16cid:durableId="1656446611">
    <w:abstractNumId w:val="30"/>
  </w:num>
  <w:num w:numId="29" w16cid:durableId="1616209039">
    <w:abstractNumId w:val="37"/>
  </w:num>
  <w:num w:numId="30" w16cid:durableId="1103376261">
    <w:abstractNumId w:val="0"/>
  </w:num>
  <w:num w:numId="31" w16cid:durableId="2108885907">
    <w:abstractNumId w:val="20"/>
  </w:num>
  <w:num w:numId="32" w16cid:durableId="411128422">
    <w:abstractNumId w:val="9"/>
  </w:num>
  <w:num w:numId="33" w16cid:durableId="2081517874">
    <w:abstractNumId w:val="15"/>
  </w:num>
  <w:num w:numId="34" w16cid:durableId="2080907644">
    <w:abstractNumId w:val="41"/>
  </w:num>
  <w:num w:numId="35" w16cid:durableId="14486938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969278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77831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37840598">
    <w:abstractNumId w:val="28"/>
  </w:num>
  <w:num w:numId="39" w16cid:durableId="339508648">
    <w:abstractNumId w:val="19"/>
  </w:num>
  <w:num w:numId="40" w16cid:durableId="601572772">
    <w:abstractNumId w:val="35"/>
  </w:num>
  <w:num w:numId="41" w16cid:durableId="2127695206">
    <w:abstractNumId w:val="23"/>
  </w:num>
  <w:num w:numId="42" w16cid:durableId="7754539">
    <w:abstractNumId w:val="24"/>
  </w:num>
  <w:num w:numId="43" w16cid:durableId="360597865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13"/>
    <w:rsid w:val="0000026F"/>
    <w:rsid w:val="0000066B"/>
    <w:rsid w:val="0001027A"/>
    <w:rsid w:val="0003435F"/>
    <w:rsid w:val="00034DB1"/>
    <w:rsid w:val="000546FC"/>
    <w:rsid w:val="00066B4E"/>
    <w:rsid w:val="00071D7F"/>
    <w:rsid w:val="0007354C"/>
    <w:rsid w:val="00090A0B"/>
    <w:rsid w:val="00094AF0"/>
    <w:rsid w:val="000A00A1"/>
    <w:rsid w:val="000B56FB"/>
    <w:rsid w:val="000D6006"/>
    <w:rsid w:val="000F3774"/>
    <w:rsid w:val="000F5E36"/>
    <w:rsid w:val="000F7B07"/>
    <w:rsid w:val="001055D2"/>
    <w:rsid w:val="00105BC8"/>
    <w:rsid w:val="00117EBB"/>
    <w:rsid w:val="001338A7"/>
    <w:rsid w:val="00133A32"/>
    <w:rsid w:val="00140380"/>
    <w:rsid w:val="00142FFA"/>
    <w:rsid w:val="00157A35"/>
    <w:rsid w:val="00176B61"/>
    <w:rsid w:val="00193735"/>
    <w:rsid w:val="001A40E0"/>
    <w:rsid w:val="001A4137"/>
    <w:rsid w:val="001B127C"/>
    <w:rsid w:val="001C6EFE"/>
    <w:rsid w:val="001E256A"/>
    <w:rsid w:val="001F61E3"/>
    <w:rsid w:val="001F6A63"/>
    <w:rsid w:val="001F6DDB"/>
    <w:rsid w:val="00207D07"/>
    <w:rsid w:val="00215BC6"/>
    <w:rsid w:val="00215C0D"/>
    <w:rsid w:val="00225AF5"/>
    <w:rsid w:val="00246543"/>
    <w:rsid w:val="002528F8"/>
    <w:rsid w:val="00260D32"/>
    <w:rsid w:val="00270DE0"/>
    <w:rsid w:val="00273287"/>
    <w:rsid w:val="0027335A"/>
    <w:rsid w:val="0028138D"/>
    <w:rsid w:val="00283F4D"/>
    <w:rsid w:val="002844C2"/>
    <w:rsid w:val="00287BF9"/>
    <w:rsid w:val="00291E06"/>
    <w:rsid w:val="002A29B3"/>
    <w:rsid w:val="002A61EC"/>
    <w:rsid w:val="002A6CE7"/>
    <w:rsid w:val="002B2CE7"/>
    <w:rsid w:val="002B31C7"/>
    <w:rsid w:val="002B574B"/>
    <w:rsid w:val="002B6543"/>
    <w:rsid w:val="002C6F36"/>
    <w:rsid w:val="002D11A6"/>
    <w:rsid w:val="002E371C"/>
    <w:rsid w:val="002F2122"/>
    <w:rsid w:val="002F533C"/>
    <w:rsid w:val="002F5F56"/>
    <w:rsid w:val="00313F0F"/>
    <w:rsid w:val="003201D7"/>
    <w:rsid w:val="00325282"/>
    <w:rsid w:val="003504F0"/>
    <w:rsid w:val="00390561"/>
    <w:rsid w:val="00390C7F"/>
    <w:rsid w:val="003A155E"/>
    <w:rsid w:val="003B6168"/>
    <w:rsid w:val="003C0A1F"/>
    <w:rsid w:val="003C6868"/>
    <w:rsid w:val="003D5779"/>
    <w:rsid w:val="003E1CDB"/>
    <w:rsid w:val="003E457B"/>
    <w:rsid w:val="003E6D43"/>
    <w:rsid w:val="00410457"/>
    <w:rsid w:val="004249F8"/>
    <w:rsid w:val="00442715"/>
    <w:rsid w:val="004460A0"/>
    <w:rsid w:val="00451937"/>
    <w:rsid w:val="00452FE6"/>
    <w:rsid w:val="00456EE5"/>
    <w:rsid w:val="0046300F"/>
    <w:rsid w:val="00463701"/>
    <w:rsid w:val="00463E53"/>
    <w:rsid w:val="004700A8"/>
    <w:rsid w:val="00477455"/>
    <w:rsid w:val="004A15CE"/>
    <w:rsid w:val="004B55AD"/>
    <w:rsid w:val="004B5A8F"/>
    <w:rsid w:val="004B5DDE"/>
    <w:rsid w:val="004C491E"/>
    <w:rsid w:val="004C5660"/>
    <w:rsid w:val="004F0D85"/>
    <w:rsid w:val="004F31D3"/>
    <w:rsid w:val="00503D07"/>
    <w:rsid w:val="00532308"/>
    <w:rsid w:val="0054229E"/>
    <w:rsid w:val="00551985"/>
    <w:rsid w:val="00554503"/>
    <w:rsid w:val="005632B5"/>
    <w:rsid w:val="005641CF"/>
    <w:rsid w:val="00570F99"/>
    <w:rsid w:val="00572256"/>
    <w:rsid w:val="00572A8E"/>
    <w:rsid w:val="0057427F"/>
    <w:rsid w:val="0057539C"/>
    <w:rsid w:val="00591342"/>
    <w:rsid w:val="0059255A"/>
    <w:rsid w:val="00595056"/>
    <w:rsid w:val="00597B45"/>
    <w:rsid w:val="005B512B"/>
    <w:rsid w:val="005C37D3"/>
    <w:rsid w:val="005C3A6D"/>
    <w:rsid w:val="005E1AF2"/>
    <w:rsid w:val="005E32ED"/>
    <w:rsid w:val="005E6642"/>
    <w:rsid w:val="00602EA0"/>
    <w:rsid w:val="006057FA"/>
    <w:rsid w:val="00614CE8"/>
    <w:rsid w:val="00645165"/>
    <w:rsid w:val="006611F2"/>
    <w:rsid w:val="006666BA"/>
    <w:rsid w:val="006676BB"/>
    <w:rsid w:val="006702B6"/>
    <w:rsid w:val="006710CC"/>
    <w:rsid w:val="00674E6B"/>
    <w:rsid w:val="006754F9"/>
    <w:rsid w:val="006800F8"/>
    <w:rsid w:val="00694355"/>
    <w:rsid w:val="006A6913"/>
    <w:rsid w:val="006B668D"/>
    <w:rsid w:val="006D3A6E"/>
    <w:rsid w:val="006E6EFC"/>
    <w:rsid w:val="006F7BE3"/>
    <w:rsid w:val="007147CE"/>
    <w:rsid w:val="00723AB5"/>
    <w:rsid w:val="00724F23"/>
    <w:rsid w:val="007351F9"/>
    <w:rsid w:val="00740DE3"/>
    <w:rsid w:val="00740FE0"/>
    <w:rsid w:val="007413A1"/>
    <w:rsid w:val="00741B43"/>
    <w:rsid w:val="00761C92"/>
    <w:rsid w:val="00764510"/>
    <w:rsid w:val="00773747"/>
    <w:rsid w:val="007754E6"/>
    <w:rsid w:val="00791B6E"/>
    <w:rsid w:val="007A43BD"/>
    <w:rsid w:val="007C184B"/>
    <w:rsid w:val="007C23CA"/>
    <w:rsid w:val="007C7066"/>
    <w:rsid w:val="007C7243"/>
    <w:rsid w:val="0080547F"/>
    <w:rsid w:val="00805825"/>
    <w:rsid w:val="008258AA"/>
    <w:rsid w:val="0082669B"/>
    <w:rsid w:val="0083315A"/>
    <w:rsid w:val="0083526F"/>
    <w:rsid w:val="00846247"/>
    <w:rsid w:val="00863001"/>
    <w:rsid w:val="00871CBC"/>
    <w:rsid w:val="008A6AC3"/>
    <w:rsid w:val="008B1208"/>
    <w:rsid w:val="008C745B"/>
    <w:rsid w:val="008C7B78"/>
    <w:rsid w:val="008D67D6"/>
    <w:rsid w:val="008D7EF4"/>
    <w:rsid w:val="008E0D3C"/>
    <w:rsid w:val="00912635"/>
    <w:rsid w:val="00915B8E"/>
    <w:rsid w:val="00924021"/>
    <w:rsid w:val="009331F6"/>
    <w:rsid w:val="0093444A"/>
    <w:rsid w:val="009357CD"/>
    <w:rsid w:val="009362A1"/>
    <w:rsid w:val="00937BF2"/>
    <w:rsid w:val="00956363"/>
    <w:rsid w:val="00957140"/>
    <w:rsid w:val="00961B3B"/>
    <w:rsid w:val="00967C05"/>
    <w:rsid w:val="00970B40"/>
    <w:rsid w:val="00981CE9"/>
    <w:rsid w:val="00982847"/>
    <w:rsid w:val="00983954"/>
    <w:rsid w:val="00985790"/>
    <w:rsid w:val="00987439"/>
    <w:rsid w:val="00997525"/>
    <w:rsid w:val="009A0A90"/>
    <w:rsid w:val="009A0DD6"/>
    <w:rsid w:val="009B7FF4"/>
    <w:rsid w:val="009D1511"/>
    <w:rsid w:val="009E63C2"/>
    <w:rsid w:val="009F2B21"/>
    <w:rsid w:val="00A06DF2"/>
    <w:rsid w:val="00A31D37"/>
    <w:rsid w:val="00A33E79"/>
    <w:rsid w:val="00A451F4"/>
    <w:rsid w:val="00A849F5"/>
    <w:rsid w:val="00AA26A6"/>
    <w:rsid w:val="00AA470C"/>
    <w:rsid w:val="00AB6ED4"/>
    <w:rsid w:val="00AC363C"/>
    <w:rsid w:val="00AD5290"/>
    <w:rsid w:val="00AE549E"/>
    <w:rsid w:val="00AF288D"/>
    <w:rsid w:val="00B03A90"/>
    <w:rsid w:val="00B1053D"/>
    <w:rsid w:val="00B17906"/>
    <w:rsid w:val="00B17F58"/>
    <w:rsid w:val="00B20EAA"/>
    <w:rsid w:val="00B24547"/>
    <w:rsid w:val="00B317FB"/>
    <w:rsid w:val="00B35A2F"/>
    <w:rsid w:val="00B40803"/>
    <w:rsid w:val="00B45284"/>
    <w:rsid w:val="00B5176D"/>
    <w:rsid w:val="00B5324B"/>
    <w:rsid w:val="00B618B3"/>
    <w:rsid w:val="00B6705B"/>
    <w:rsid w:val="00B71B38"/>
    <w:rsid w:val="00B83840"/>
    <w:rsid w:val="00B87BAE"/>
    <w:rsid w:val="00B90168"/>
    <w:rsid w:val="00BB6241"/>
    <w:rsid w:val="00BC5F49"/>
    <w:rsid w:val="00BC7602"/>
    <w:rsid w:val="00BD1C35"/>
    <w:rsid w:val="00BD415F"/>
    <w:rsid w:val="00BD6D12"/>
    <w:rsid w:val="00BE1EF8"/>
    <w:rsid w:val="00BF483E"/>
    <w:rsid w:val="00C040C2"/>
    <w:rsid w:val="00C048A5"/>
    <w:rsid w:val="00C050C5"/>
    <w:rsid w:val="00C127FC"/>
    <w:rsid w:val="00C622A8"/>
    <w:rsid w:val="00C6772D"/>
    <w:rsid w:val="00C759AF"/>
    <w:rsid w:val="00C91D9C"/>
    <w:rsid w:val="00C92368"/>
    <w:rsid w:val="00C9292F"/>
    <w:rsid w:val="00C94B25"/>
    <w:rsid w:val="00CC468E"/>
    <w:rsid w:val="00CD10F1"/>
    <w:rsid w:val="00CE0D59"/>
    <w:rsid w:val="00CF2271"/>
    <w:rsid w:val="00D17E78"/>
    <w:rsid w:val="00D27E21"/>
    <w:rsid w:val="00D40BAA"/>
    <w:rsid w:val="00D45233"/>
    <w:rsid w:val="00D4745D"/>
    <w:rsid w:val="00D4771C"/>
    <w:rsid w:val="00D53E13"/>
    <w:rsid w:val="00D574F8"/>
    <w:rsid w:val="00D6087F"/>
    <w:rsid w:val="00D64245"/>
    <w:rsid w:val="00D651CE"/>
    <w:rsid w:val="00D708E3"/>
    <w:rsid w:val="00D742C1"/>
    <w:rsid w:val="00D76152"/>
    <w:rsid w:val="00D7791A"/>
    <w:rsid w:val="00D84008"/>
    <w:rsid w:val="00D859FF"/>
    <w:rsid w:val="00D92FF1"/>
    <w:rsid w:val="00D96683"/>
    <w:rsid w:val="00DD60C4"/>
    <w:rsid w:val="00E04855"/>
    <w:rsid w:val="00E127B8"/>
    <w:rsid w:val="00E155BC"/>
    <w:rsid w:val="00E160E8"/>
    <w:rsid w:val="00E20787"/>
    <w:rsid w:val="00E254B7"/>
    <w:rsid w:val="00E308A1"/>
    <w:rsid w:val="00E33F5F"/>
    <w:rsid w:val="00E35B9A"/>
    <w:rsid w:val="00E35CD2"/>
    <w:rsid w:val="00E55F5F"/>
    <w:rsid w:val="00E63C6A"/>
    <w:rsid w:val="00E91F07"/>
    <w:rsid w:val="00EA7951"/>
    <w:rsid w:val="00EB0402"/>
    <w:rsid w:val="00EC15C0"/>
    <w:rsid w:val="00F34EE0"/>
    <w:rsid w:val="00F35590"/>
    <w:rsid w:val="00F36A37"/>
    <w:rsid w:val="00F40F00"/>
    <w:rsid w:val="00F548DA"/>
    <w:rsid w:val="00F61B71"/>
    <w:rsid w:val="00F6753E"/>
    <w:rsid w:val="00F917D1"/>
    <w:rsid w:val="00FA422D"/>
    <w:rsid w:val="00FB7843"/>
    <w:rsid w:val="00FC155B"/>
    <w:rsid w:val="00FC5A03"/>
    <w:rsid w:val="00FC730D"/>
    <w:rsid w:val="00FE77D7"/>
    <w:rsid w:val="00FE7ED7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5014"/>
  <w15:chartTrackingRefBased/>
  <w15:docId w15:val="{1C0B2835-3CA9-4B5A-8C24-19FE370F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A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C9236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9236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9236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236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92368"/>
    <w:rPr>
      <w:b/>
      <w:bCs/>
      <w:sz w:val="20"/>
      <w:szCs w:val="20"/>
    </w:rPr>
  </w:style>
  <w:style w:type="paragraph" w:styleId="Akapitzlist">
    <w:name w:val="List Paragraph"/>
    <w:aliases w:val="Styl moj,Akapit z listą11,Dot pt,F5 List Paragraph,List Paragraph1,No Spacing1,List Paragraph Char Char Char,Indicator Text,Colorful List - Accent 11,Numbered Para 1,Bullet 1,Bullet Points,List Paragraph2,MAIN CONTENT,Normal numbered,列出段落"/>
    <w:basedOn w:val="Normalny"/>
    <w:link w:val="AkapitzlistZnak"/>
    <w:uiPriority w:val="34"/>
    <w:qFormat/>
    <w:rsid w:val="00C92368"/>
    <w:pPr>
      <w:spacing w:before="240" w:after="120" w:line="360" w:lineRule="auto"/>
      <w:ind w:left="720"/>
      <w:contextualSpacing/>
      <w:jc w:val="both"/>
    </w:pPr>
    <w:rPr>
      <w:rFonts w:ascii="Arial" w:eastAsia="Calibri" w:hAnsi="Arial" w:cs="Times New Roman"/>
      <w:kern w:val="0"/>
      <w14:ligatures w14:val="none"/>
    </w:rPr>
  </w:style>
  <w:style w:type="character" w:customStyle="1" w:styleId="AkapitzlistZnak">
    <w:name w:val="Akapit z listą Znak"/>
    <w:aliases w:val="Styl moj Znak,Akapit z listą11 Znak,Dot pt Znak,F5 List Paragraph Znak,List Paragraph1 Znak,No Spacing1 Znak,List Paragraph Char Char Char Znak,Indicator Text Znak,Colorful List - Accent 11 Znak,Numbered Para 1 Znak,Bullet 1 Znak"/>
    <w:link w:val="Akapitzlist"/>
    <w:uiPriority w:val="34"/>
    <w:qFormat/>
    <w:locked/>
    <w:rsid w:val="00C92368"/>
    <w:rPr>
      <w:rFonts w:ascii="Arial" w:eastAsia="Calibri" w:hAnsi="Arial" w:cs="Times New Roman"/>
      <w:kern w:val="0"/>
      <w14:ligatures w14:val="none"/>
    </w:rPr>
  </w:style>
  <w:style w:type="paragraph" w:styleId="Poprawka">
    <w:name w:val="Revision"/>
    <w:hidden/>
    <w:uiPriority w:val="99"/>
    <w:semiHidden/>
    <w:rsid w:val="00140380"/>
    <w:pPr>
      <w:spacing w:after="0" w:line="240" w:lineRule="auto"/>
    </w:pPr>
  </w:style>
  <w:style w:type="paragraph" w:customStyle="1" w:styleId="Nagwek1">
    <w:name w:val="Nagłówek1"/>
    <w:basedOn w:val="Normalny"/>
    <w:link w:val="NagwekZnak"/>
    <w:unhideWhenUsed/>
    <w:rsid w:val="00AC363C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NagwekZnak">
    <w:name w:val="Nagłówek Znak"/>
    <w:basedOn w:val="Domylnaczcionkaakapitu"/>
    <w:link w:val="Nagwek1"/>
    <w:qFormat/>
    <w:rsid w:val="00AC363C"/>
    <w:rPr>
      <w:kern w:val="0"/>
      <w14:ligatures w14:val="none"/>
    </w:rPr>
  </w:style>
  <w:style w:type="numbering" w:customStyle="1" w:styleId="Styl1">
    <w:name w:val="Styl1"/>
    <w:uiPriority w:val="99"/>
    <w:rsid w:val="00AC363C"/>
    <w:pPr>
      <w:numPr>
        <w:numId w:val="1"/>
      </w:numPr>
    </w:pPr>
  </w:style>
  <w:style w:type="numbering" w:customStyle="1" w:styleId="Styl2">
    <w:name w:val="Styl2"/>
    <w:uiPriority w:val="99"/>
    <w:rsid w:val="00AC363C"/>
    <w:pPr>
      <w:numPr>
        <w:numId w:val="2"/>
      </w:numPr>
    </w:pPr>
  </w:style>
  <w:style w:type="numbering" w:customStyle="1" w:styleId="Styl3">
    <w:name w:val="Styl3"/>
    <w:uiPriority w:val="99"/>
    <w:rsid w:val="00AC363C"/>
    <w:pPr>
      <w:numPr>
        <w:numId w:val="3"/>
      </w:numPr>
    </w:pPr>
  </w:style>
  <w:style w:type="numbering" w:customStyle="1" w:styleId="Styl4">
    <w:name w:val="Styl4"/>
    <w:uiPriority w:val="99"/>
    <w:rsid w:val="00AC363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1052c5-12a0-4c27-bedc-7393c5701b4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ECAFDC5CB17A4097EBE3B5694D46A9" ma:contentTypeVersion="11" ma:contentTypeDescription="Utwórz nowy dokument." ma:contentTypeScope="" ma:versionID="413689f22407e4d348b552e2031143d8">
  <xsd:schema xmlns:xsd="http://www.w3.org/2001/XMLSchema" xmlns:xs="http://www.w3.org/2001/XMLSchema" xmlns:p="http://schemas.microsoft.com/office/2006/metadata/properties" xmlns:ns3="b31052c5-12a0-4c27-bedc-7393c5701b41" xmlns:ns4="ef972c8d-2ab0-46d9-84b7-3e9511fb8ac1" targetNamespace="http://schemas.microsoft.com/office/2006/metadata/properties" ma:root="true" ma:fieldsID="fec7be4587580c43fd8a780530363f6c" ns3:_="" ns4:_="">
    <xsd:import namespace="b31052c5-12a0-4c27-bedc-7393c5701b41"/>
    <xsd:import namespace="ef972c8d-2ab0-46d9-84b7-3e9511fb8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052c5-12a0-4c27-bedc-7393c5701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72c8d-2ab0-46d9-84b7-3e9511fb8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07C4E6-9132-44FA-B53B-52DFCE2EC18F}">
  <ds:schemaRefs>
    <ds:schemaRef ds:uri="http://schemas.microsoft.com/office/2006/metadata/properties"/>
    <ds:schemaRef ds:uri="http://schemas.microsoft.com/office/infopath/2007/PartnerControls"/>
    <ds:schemaRef ds:uri="b31052c5-12a0-4c27-bedc-7393c5701b41"/>
  </ds:schemaRefs>
</ds:datastoreItem>
</file>

<file path=customXml/itemProps2.xml><?xml version="1.0" encoding="utf-8"?>
<ds:datastoreItem xmlns:ds="http://schemas.openxmlformats.org/officeDocument/2006/customXml" ds:itemID="{D348B767-4B28-4966-94EB-0FEE5E6D6B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F1340D-40A1-4212-9ECD-8256C421D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052c5-12a0-4c27-bedc-7393c5701b41"/>
    <ds:schemaRef ds:uri="ef972c8d-2ab0-46d9-84b7-3e9511fb8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88553E-B30C-4841-BD02-BF520CA839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5565</Words>
  <Characters>33390</Characters>
  <Application>Microsoft Office Word</Application>
  <DocSecurity>0</DocSecurity>
  <Lines>278</Lines>
  <Paragraphs>77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Biernat Ewa</dc:creator>
  <cp:keywords/>
  <dc:description/>
  <cp:lastModifiedBy>Wilk Justyna</cp:lastModifiedBy>
  <cp:revision>3</cp:revision>
  <dcterms:created xsi:type="dcterms:W3CDTF">2025-03-04T07:36:00Z</dcterms:created>
  <dcterms:modified xsi:type="dcterms:W3CDTF">2025-03-04T07:45:00Z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0x01010084ECAFDC5CB17A4097EBE3B5694D46A9</vt:lpwstr>
  </property>
  <property fmtid="{D5CDD505-2E9C-101B-9397-08002B2CF9AE}" pid="3" name="MSIP_Label_7f850223-87a8-40c3-9eb2-432606efca2a_Enabled">
    <vt:lpwstr>true</vt:lpwstr>
  </property>
  <property fmtid="{D5CDD505-2E9C-101B-9397-08002B2CF9AE}" pid="4" name="MSIP_Label_7f850223-87a8-40c3-9eb2-432606efca2a_SetDate">
    <vt:lpwstr>2024-01-19T11:07:54Z</vt:lpwstr>
  </property>
  <property fmtid="{D5CDD505-2E9C-101B-9397-08002B2CF9AE}" pid="5" name="MSIP_Label_7f850223-87a8-40c3-9eb2-432606efca2a_Method">
    <vt:lpwstr>Standard</vt:lpwstr>
  </property>
  <property fmtid="{D5CDD505-2E9C-101B-9397-08002B2CF9AE}" pid="6" name="MSIP_Label_7f850223-87a8-40c3-9eb2-432606efca2a_Name">
    <vt:lpwstr>7f850223-87a8-40c3-9eb2-432606efca2a</vt:lpwstr>
  </property>
  <property fmtid="{D5CDD505-2E9C-101B-9397-08002B2CF9AE}" pid="7" name="MSIP_Label_7f850223-87a8-40c3-9eb2-432606efca2a_SiteId">
    <vt:lpwstr>fcb2b37b-5da0-466b-9b83-0014b67a7c78</vt:lpwstr>
  </property>
  <property fmtid="{D5CDD505-2E9C-101B-9397-08002B2CF9AE}" pid="8" name="MSIP_Label_7f850223-87a8-40c3-9eb2-432606efca2a_ActionId">
    <vt:lpwstr>74a01c7b-08c9-45e3-a2d8-5c38ff8f9e36</vt:lpwstr>
  </property>
  <property fmtid="{D5CDD505-2E9C-101B-9397-08002B2CF9AE}" pid="9" name="MSIP_Label_7f850223-87a8-40c3-9eb2-432606efca2a_ContentBits">
    <vt:lpwstr>0</vt:lpwstr>
  </property>
</Properties>
</file>