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1AA75" w14:textId="3CD5189E" w:rsidR="00BE5A22" w:rsidRDefault="00BE5A22" w:rsidP="00A30436">
      <w:pPr>
        <w:jc w:val="both"/>
        <w:rPr>
          <w:sz w:val="22"/>
          <w:szCs w:val="20"/>
        </w:rPr>
      </w:pPr>
      <w:r w:rsidRPr="00A30436">
        <w:rPr>
          <w:sz w:val="22"/>
          <w:szCs w:val="20"/>
        </w:rPr>
        <w:t>Załącznik</w:t>
      </w:r>
      <w:r w:rsidR="00254A40" w:rsidRPr="00A30436">
        <w:rPr>
          <w:sz w:val="22"/>
          <w:szCs w:val="20"/>
        </w:rPr>
        <w:t xml:space="preserve"> </w:t>
      </w:r>
      <w:r w:rsidRPr="00A30436">
        <w:rPr>
          <w:sz w:val="22"/>
          <w:szCs w:val="20"/>
        </w:rPr>
        <w:t>B.71.</w:t>
      </w:r>
    </w:p>
    <w:p w14:paraId="20FA76BB" w14:textId="77777777" w:rsidR="00A30436" w:rsidRPr="00A30436" w:rsidRDefault="00A30436" w:rsidP="00A30436">
      <w:pPr>
        <w:jc w:val="both"/>
        <w:rPr>
          <w:szCs w:val="20"/>
        </w:rPr>
      </w:pPr>
    </w:p>
    <w:p w14:paraId="3A35398C" w14:textId="1D584752" w:rsidR="004226D9" w:rsidRPr="00A30436" w:rsidRDefault="00C52F67" w:rsidP="00A30436">
      <w:pPr>
        <w:spacing w:after="240"/>
        <w:rPr>
          <w:b/>
          <w:sz w:val="28"/>
          <w:szCs w:val="20"/>
        </w:rPr>
      </w:pPr>
      <w:bookmarkStart w:id="0" w:name="_Hlk40165848"/>
      <w:bookmarkStart w:id="1" w:name="_Hlk104759337"/>
      <w:r w:rsidRPr="00A30436">
        <w:rPr>
          <w:b/>
          <w:sz w:val="28"/>
          <w:szCs w:val="20"/>
        </w:rPr>
        <w:t>LECZENIE</w:t>
      </w:r>
      <w:r w:rsidR="00254A40" w:rsidRPr="00A30436">
        <w:rPr>
          <w:b/>
          <w:sz w:val="28"/>
          <w:szCs w:val="20"/>
        </w:rPr>
        <w:t xml:space="preserve"> </w:t>
      </w:r>
      <w:r w:rsidR="0083165D" w:rsidRPr="00A30436">
        <w:rPr>
          <w:b/>
          <w:sz w:val="28"/>
          <w:szCs w:val="20"/>
        </w:rPr>
        <w:t>TERAPIĄ</w:t>
      </w:r>
      <w:r w:rsidR="00254A40" w:rsidRPr="00A30436">
        <w:rPr>
          <w:b/>
          <w:sz w:val="28"/>
          <w:szCs w:val="20"/>
        </w:rPr>
        <w:t xml:space="preserve"> </w:t>
      </w:r>
      <w:r w:rsidR="0083165D" w:rsidRPr="00A30436">
        <w:rPr>
          <w:b/>
          <w:sz w:val="28"/>
          <w:szCs w:val="20"/>
        </w:rPr>
        <w:t>BEZINTERFERONOWĄ</w:t>
      </w:r>
      <w:r w:rsidR="00254A40" w:rsidRPr="00A30436">
        <w:rPr>
          <w:b/>
          <w:sz w:val="28"/>
          <w:szCs w:val="20"/>
        </w:rPr>
        <w:t xml:space="preserve"> </w:t>
      </w:r>
      <w:r w:rsidR="0083165D" w:rsidRPr="00A30436">
        <w:rPr>
          <w:b/>
          <w:sz w:val="28"/>
          <w:szCs w:val="20"/>
        </w:rPr>
        <w:t>CHORYCH</w:t>
      </w:r>
      <w:r w:rsidR="00254A40" w:rsidRPr="00A30436">
        <w:rPr>
          <w:b/>
          <w:sz w:val="28"/>
          <w:szCs w:val="20"/>
        </w:rPr>
        <w:t xml:space="preserve"> </w:t>
      </w:r>
      <w:r w:rsidR="0083165D" w:rsidRPr="00A30436">
        <w:rPr>
          <w:b/>
          <w:sz w:val="28"/>
          <w:szCs w:val="20"/>
        </w:rPr>
        <w:t>NA</w:t>
      </w:r>
      <w:r w:rsidR="00254A40" w:rsidRPr="00A30436">
        <w:rPr>
          <w:b/>
          <w:sz w:val="28"/>
          <w:szCs w:val="20"/>
        </w:rPr>
        <w:t xml:space="preserve"> </w:t>
      </w:r>
      <w:r w:rsidRPr="00A30436">
        <w:rPr>
          <w:b/>
          <w:sz w:val="28"/>
          <w:szCs w:val="20"/>
        </w:rPr>
        <w:t>PRZEWLEKŁE</w:t>
      </w:r>
      <w:r w:rsidR="00254A40" w:rsidRPr="00A30436">
        <w:rPr>
          <w:b/>
          <w:sz w:val="28"/>
          <w:szCs w:val="20"/>
        </w:rPr>
        <w:t xml:space="preserve"> </w:t>
      </w:r>
      <w:r w:rsidRPr="00A30436">
        <w:rPr>
          <w:b/>
          <w:sz w:val="28"/>
          <w:szCs w:val="20"/>
        </w:rPr>
        <w:t>WIRUSOWE</w:t>
      </w:r>
      <w:r w:rsidR="00254A40" w:rsidRPr="00A30436">
        <w:rPr>
          <w:b/>
          <w:sz w:val="28"/>
          <w:szCs w:val="20"/>
        </w:rPr>
        <w:t xml:space="preserve"> </w:t>
      </w:r>
      <w:r w:rsidRPr="00A30436">
        <w:rPr>
          <w:b/>
          <w:sz w:val="28"/>
          <w:szCs w:val="20"/>
        </w:rPr>
        <w:t>ZAPALENI</w:t>
      </w:r>
      <w:r w:rsidR="0083165D" w:rsidRPr="00A30436">
        <w:rPr>
          <w:b/>
          <w:sz w:val="28"/>
          <w:szCs w:val="20"/>
        </w:rPr>
        <w:t>E</w:t>
      </w:r>
      <w:r w:rsidR="00254A40" w:rsidRPr="00A30436">
        <w:rPr>
          <w:b/>
          <w:sz w:val="28"/>
          <w:szCs w:val="20"/>
        </w:rPr>
        <w:t xml:space="preserve"> </w:t>
      </w:r>
      <w:r w:rsidRPr="00A30436">
        <w:rPr>
          <w:b/>
          <w:sz w:val="28"/>
          <w:szCs w:val="20"/>
        </w:rPr>
        <w:t>WĄTROBY</w:t>
      </w:r>
      <w:r w:rsidR="00254A40" w:rsidRPr="00A30436">
        <w:rPr>
          <w:b/>
          <w:sz w:val="28"/>
          <w:szCs w:val="20"/>
        </w:rPr>
        <w:t xml:space="preserve"> </w:t>
      </w:r>
      <w:r w:rsidRPr="00A30436">
        <w:rPr>
          <w:b/>
          <w:sz w:val="28"/>
          <w:szCs w:val="20"/>
        </w:rPr>
        <w:t>TYPU</w:t>
      </w:r>
      <w:r w:rsidR="00254A40" w:rsidRPr="00A30436">
        <w:rPr>
          <w:b/>
          <w:sz w:val="28"/>
          <w:szCs w:val="20"/>
        </w:rPr>
        <w:t xml:space="preserve"> </w:t>
      </w:r>
      <w:r w:rsidRPr="00A30436">
        <w:rPr>
          <w:b/>
          <w:sz w:val="28"/>
          <w:szCs w:val="20"/>
        </w:rPr>
        <w:t>C</w:t>
      </w:r>
      <w:r w:rsidR="00254A40" w:rsidRPr="00A30436">
        <w:rPr>
          <w:b/>
          <w:sz w:val="28"/>
          <w:szCs w:val="20"/>
        </w:rPr>
        <w:t xml:space="preserve"> </w:t>
      </w:r>
      <w:r w:rsidRPr="00A30436">
        <w:rPr>
          <w:b/>
          <w:sz w:val="28"/>
          <w:szCs w:val="20"/>
        </w:rPr>
        <w:t>(ICD-10</w:t>
      </w:r>
      <w:r w:rsidR="00A30436">
        <w:rPr>
          <w:b/>
          <w:sz w:val="28"/>
          <w:szCs w:val="20"/>
        </w:rPr>
        <w:t>:</w:t>
      </w:r>
      <w:r w:rsidR="00254A40" w:rsidRPr="00A30436">
        <w:rPr>
          <w:b/>
          <w:sz w:val="28"/>
          <w:szCs w:val="20"/>
        </w:rPr>
        <w:t xml:space="preserve"> </w:t>
      </w:r>
      <w:r w:rsidRPr="00A30436">
        <w:rPr>
          <w:b/>
          <w:sz w:val="28"/>
          <w:szCs w:val="20"/>
        </w:rPr>
        <w:t>B18.2)</w:t>
      </w:r>
      <w:bookmarkEnd w:id="0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1"/>
        <w:gridCol w:w="4110"/>
        <w:gridCol w:w="5611"/>
      </w:tblGrid>
      <w:tr w:rsidR="00342604" w:rsidRPr="00342604" w14:paraId="02E21D08" w14:textId="77777777" w:rsidTr="00533D8A">
        <w:trPr>
          <w:trHeight w:val="567"/>
        </w:trPr>
        <w:tc>
          <w:tcPr>
            <w:tcW w:w="1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1"/>
          <w:p w14:paraId="26ED910B" w14:textId="5FF9D790" w:rsidR="004226D9" w:rsidRPr="00342604" w:rsidRDefault="004226D9" w:rsidP="00334B3A">
            <w:pPr>
              <w:ind w:left="357" w:hanging="357"/>
              <w:jc w:val="center"/>
              <w:rPr>
                <w:sz w:val="20"/>
                <w:szCs w:val="20"/>
              </w:rPr>
            </w:pPr>
            <w:r w:rsidRPr="00342604">
              <w:rPr>
                <w:b/>
                <w:bCs/>
                <w:sz w:val="20"/>
                <w:szCs w:val="20"/>
              </w:rPr>
              <w:t>ZAKRES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ŚWIADCZENIA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342604" w:rsidRPr="00342604" w14:paraId="1DA5F8DA" w14:textId="77777777" w:rsidTr="00533D8A">
        <w:trPr>
          <w:trHeight w:val="567"/>
        </w:trPr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5AB4" w14:textId="77777777" w:rsidR="004226D9" w:rsidRPr="00342604" w:rsidRDefault="004226D9" w:rsidP="00334B3A">
            <w:pPr>
              <w:ind w:left="357" w:hanging="357"/>
              <w:jc w:val="center"/>
              <w:rPr>
                <w:sz w:val="20"/>
                <w:szCs w:val="20"/>
              </w:rPr>
            </w:pPr>
            <w:r w:rsidRPr="00342604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77F8" w14:textId="1FE55495" w:rsidR="004226D9" w:rsidRPr="00342604" w:rsidRDefault="004226D9" w:rsidP="00334B3A">
            <w:pPr>
              <w:ind w:left="357" w:hanging="357"/>
              <w:jc w:val="center"/>
              <w:rPr>
                <w:sz w:val="20"/>
                <w:szCs w:val="20"/>
              </w:rPr>
            </w:pPr>
            <w:r w:rsidRPr="00342604">
              <w:rPr>
                <w:b/>
                <w:bCs/>
                <w:sz w:val="20"/>
                <w:szCs w:val="20"/>
              </w:rPr>
              <w:t>SCHEMAT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DAWKOWANIA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LEKÓW</w:t>
            </w:r>
            <w:r w:rsidR="00533D8A">
              <w:rPr>
                <w:b/>
                <w:bCs/>
                <w:sz w:val="20"/>
                <w:szCs w:val="20"/>
              </w:rPr>
              <w:t xml:space="preserve"> </w:t>
            </w:r>
            <w:r w:rsidR="00533D8A">
              <w:rPr>
                <w:b/>
                <w:bCs/>
                <w:sz w:val="20"/>
                <w:szCs w:val="20"/>
              </w:rPr>
              <w:br/>
            </w:r>
            <w:r w:rsidRPr="00342604">
              <w:rPr>
                <w:b/>
                <w:bCs/>
                <w:sz w:val="20"/>
                <w:szCs w:val="20"/>
              </w:rPr>
              <w:t>W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B47FF" w14:textId="3BEA9C9D" w:rsidR="004226D9" w:rsidRPr="00342604" w:rsidRDefault="004226D9" w:rsidP="00334B3A">
            <w:pPr>
              <w:ind w:left="357" w:hanging="357"/>
              <w:jc w:val="center"/>
              <w:rPr>
                <w:sz w:val="20"/>
                <w:szCs w:val="20"/>
              </w:rPr>
            </w:pPr>
            <w:r w:rsidRPr="00342604">
              <w:rPr>
                <w:b/>
                <w:bCs/>
                <w:sz w:val="20"/>
                <w:szCs w:val="20"/>
              </w:rPr>
              <w:t>BADANIA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DIAGNOSTYCZNE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WYKONYWANE</w:t>
            </w:r>
            <w:r w:rsidR="00533D8A">
              <w:rPr>
                <w:b/>
                <w:bCs/>
                <w:sz w:val="20"/>
                <w:szCs w:val="20"/>
              </w:rPr>
              <w:t xml:space="preserve"> </w:t>
            </w:r>
            <w:r w:rsidR="00533D8A">
              <w:rPr>
                <w:b/>
                <w:bCs/>
                <w:sz w:val="20"/>
                <w:szCs w:val="20"/>
              </w:rPr>
              <w:br/>
            </w:r>
            <w:r w:rsidRPr="00342604">
              <w:rPr>
                <w:b/>
                <w:bCs/>
                <w:sz w:val="20"/>
                <w:szCs w:val="20"/>
              </w:rPr>
              <w:t>W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RAMACH</w:t>
            </w:r>
            <w:r w:rsidR="00254A40">
              <w:rPr>
                <w:b/>
                <w:bCs/>
                <w:sz w:val="20"/>
                <w:szCs w:val="20"/>
              </w:rPr>
              <w:t xml:space="preserve"> </w:t>
            </w:r>
            <w:r w:rsidRPr="00342604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4226D9" w:rsidRPr="00342604" w14:paraId="564A6951" w14:textId="77777777" w:rsidTr="00533D8A"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764D" w14:textId="7BBA5C81" w:rsidR="004226D9" w:rsidRPr="00A30436" w:rsidRDefault="004226D9" w:rsidP="00A30436">
            <w:pPr>
              <w:pStyle w:val="Akapitzlist"/>
              <w:numPr>
                <w:ilvl w:val="0"/>
                <w:numId w:val="44"/>
              </w:numPr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30436">
              <w:rPr>
                <w:rFonts w:ascii="Times New Roman" w:hAnsi="Times New Roman"/>
                <w:b/>
                <w:sz w:val="20"/>
                <w:szCs w:val="20"/>
              </w:rPr>
              <w:t>Kryteria</w:t>
            </w:r>
            <w:r w:rsidR="00254A40" w:rsidRPr="00A3043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b/>
                <w:sz w:val="20"/>
                <w:szCs w:val="20"/>
              </w:rPr>
              <w:t>kwalifikacji</w:t>
            </w:r>
          </w:p>
          <w:p w14:paraId="41CA039B" w14:textId="4118E86A" w:rsidR="00D05FA6" w:rsidRPr="00BD6799" w:rsidRDefault="00BD6799" w:rsidP="00D05FA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 w:rsidR="007F6CD4" w:rsidRPr="00BD6799">
              <w:rPr>
                <w:rFonts w:ascii="Times New Roman" w:hAnsi="Times New Roman"/>
                <w:sz w:val="20"/>
                <w:szCs w:val="20"/>
              </w:rPr>
              <w:t>iek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2BD347B" w14:textId="72198C5E" w:rsidR="007F6CD4" w:rsidRPr="00BD6799" w:rsidRDefault="00D05FA6" w:rsidP="00CA1185">
            <w:pPr>
              <w:pStyle w:val="Akapitzlist"/>
              <w:numPr>
                <w:ilvl w:val="4"/>
                <w:numId w:val="44"/>
              </w:numPr>
              <w:spacing w:after="6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wiek 3 lat  i powyżej</w:t>
            </w:r>
            <w:r w:rsidR="00677DDF" w:rsidRPr="00BD6799">
              <w:rPr>
                <w:rFonts w:ascii="Times New Roman" w:hAnsi="Times New Roman"/>
                <w:sz w:val="20"/>
                <w:szCs w:val="20"/>
              </w:rPr>
              <w:t xml:space="preserve"> w przypadku kwalifikacji do terapii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s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ofosbu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 xml:space="preserve">irem + </w:t>
            </w:r>
            <w:r w:rsidR="001C30F5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elpatas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irem</w:t>
            </w:r>
            <w:r w:rsidR="00677DDF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A1185" w:rsidRPr="00BD6799">
              <w:rPr>
                <w:rFonts w:ascii="Times New Roman" w:hAnsi="Times New Roman"/>
                <w:sz w:val="20"/>
                <w:szCs w:val="20"/>
              </w:rPr>
              <w:t>albo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 xml:space="preserve"> s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ofosbu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irem</w:t>
            </w:r>
            <w:r w:rsidR="008507A3" w:rsidRPr="00BD6799">
              <w:rPr>
                <w:rFonts w:ascii="Times New Roman" w:hAnsi="Times New Roman"/>
                <w:sz w:val="20"/>
                <w:szCs w:val="20"/>
              </w:rPr>
              <w:t xml:space="preserve"> +</w:t>
            </w:r>
            <w:r w:rsidR="008507A3" w:rsidRPr="00BD6799">
              <w:rPr>
                <w:rFonts w:ascii="Times New Roman" w:hAnsi="Times New Roman"/>
              </w:rPr>
              <w:t xml:space="preserve"> </w:t>
            </w:r>
            <w:r w:rsidR="008507A3" w:rsidRPr="00BD6799">
              <w:rPr>
                <w:rFonts w:ascii="Times New Roman" w:hAnsi="Times New Roman"/>
                <w:sz w:val="20"/>
                <w:szCs w:val="20"/>
              </w:rPr>
              <w:t>ledipaswirem</w:t>
            </w:r>
            <w:r w:rsidR="00CA1185" w:rsidRPr="00BD6799">
              <w:rPr>
                <w:rFonts w:ascii="Times New Roman" w:hAnsi="Times New Roman"/>
                <w:sz w:val="20"/>
                <w:szCs w:val="20"/>
              </w:rPr>
              <w:t xml:space="preserve"> albo </w:t>
            </w:r>
            <w:r w:rsidR="001C30F5" w:rsidRPr="00BD6799">
              <w:rPr>
                <w:rFonts w:ascii="Times New Roman" w:hAnsi="Times New Roman"/>
                <w:sz w:val="20"/>
                <w:szCs w:val="20"/>
              </w:rPr>
              <w:t xml:space="preserve">glekaprewirem 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 xml:space="preserve">+ 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p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ibrentas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irem</w:t>
            </w:r>
            <w:r w:rsidR="00BD6799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14DFD92" w14:textId="592AF113" w:rsidR="001C30F5" w:rsidRPr="00BD6799" w:rsidRDefault="00D05FA6" w:rsidP="001C30F5">
            <w:pPr>
              <w:pStyle w:val="Akapitzlist"/>
              <w:numPr>
                <w:ilvl w:val="4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 xml:space="preserve">wiek 12 lat i powyżej w przypadku kwalifikacji do terapii 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s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ofosbu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 xml:space="preserve">irem + </w:t>
            </w:r>
            <w:r w:rsidR="001C30F5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>elpatas</w:t>
            </w:r>
            <w:r w:rsidR="001106CF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7C6CDF" w:rsidRPr="00BD6799">
              <w:rPr>
                <w:rFonts w:ascii="Times New Roman" w:hAnsi="Times New Roman"/>
                <w:sz w:val="20"/>
                <w:szCs w:val="20"/>
              </w:rPr>
              <w:t xml:space="preserve">irem + </w:t>
            </w:r>
            <w:r w:rsidR="001C30F5" w:rsidRPr="00BD6799">
              <w:rPr>
                <w:rFonts w:ascii="Times New Roman" w:hAnsi="Times New Roman"/>
                <w:sz w:val="20"/>
                <w:szCs w:val="20"/>
              </w:rPr>
              <w:t>woksylaprewirem</w:t>
            </w:r>
            <w:r w:rsidR="00BD6799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00C500D" w14:textId="49D70271" w:rsidR="007F6CD4" w:rsidRPr="00BD6799" w:rsidRDefault="0001712C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pacing w:val="-4"/>
                <w:sz w:val="20"/>
                <w:szCs w:val="20"/>
              </w:rPr>
              <w:t>r</w:t>
            </w:r>
            <w:r w:rsidR="007F6CD4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ozpoznanie</w:t>
            </w:r>
            <w:r w:rsidR="00254A40" w:rsidRPr="00BD6799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przewlekłe</w:t>
            </w:r>
            <w:r w:rsidR="007F6CD4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go</w:t>
            </w:r>
            <w:r w:rsidR="00254A40" w:rsidRPr="00BD6799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wirusowe</w:t>
            </w:r>
            <w:r w:rsidR="007F6CD4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go</w:t>
            </w:r>
            <w:r w:rsidR="00254A40" w:rsidRPr="00BD6799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zapaleni</w:t>
            </w:r>
            <w:r w:rsidR="007F6CD4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a</w:t>
            </w:r>
            <w:r w:rsidR="00254A40" w:rsidRPr="00BD6799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wątroby</w:t>
            </w:r>
            <w:r w:rsidR="00254A40" w:rsidRPr="00BD6799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typu</w:t>
            </w:r>
            <w:r w:rsidR="00254A40" w:rsidRPr="00BD6799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pacing w:val="-4"/>
                <w:sz w:val="20"/>
                <w:szCs w:val="20"/>
              </w:rPr>
              <w:t>C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FCD12B2" w14:textId="35BA9516" w:rsidR="007F6CD4" w:rsidRPr="00BD6799" w:rsidRDefault="00D25BF6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obecność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HCV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RN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krwi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tkance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wątrobowej;</w:t>
            </w:r>
          </w:p>
          <w:p w14:paraId="5EA2853A" w14:textId="1D63DB4D" w:rsidR="007F6CD4" w:rsidRPr="00BD6799" w:rsidRDefault="00E07A51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 xml:space="preserve">udokumentowany stopień </w:t>
            </w:r>
            <w:r w:rsidR="00422421" w:rsidRPr="00BD6799">
              <w:rPr>
                <w:rFonts w:ascii="Times New Roman" w:hAnsi="Times New Roman"/>
                <w:sz w:val="20"/>
                <w:szCs w:val="20"/>
              </w:rPr>
              <w:t xml:space="preserve">zaawansowania choroby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określon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wykorzystaniem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: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elastografii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wykonanej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techniką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umożliwiającą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pomiar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ilościowy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kPa</w:t>
            </w:r>
            <w:r w:rsidR="00422421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 xml:space="preserve">lub </w:t>
            </w:r>
            <w:r w:rsidR="00422421" w:rsidRPr="00BD6799">
              <w:rPr>
                <w:rFonts w:ascii="Times New Roman" w:hAnsi="Times New Roman"/>
                <w:sz w:val="20"/>
                <w:szCs w:val="20"/>
              </w:rPr>
              <w:t>wskaźnika APRI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 xml:space="preserve"> lub</w:t>
            </w:r>
            <w:r w:rsidR="00422421" w:rsidRPr="00BD6799">
              <w:rPr>
                <w:rFonts w:ascii="Times New Roman" w:hAnsi="Times New Roman"/>
                <w:sz w:val="20"/>
                <w:szCs w:val="20"/>
              </w:rPr>
              <w:t xml:space="preserve"> FIB-4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biopsji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wątroby.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podejrzenia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współistnienia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innej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etiologii,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niezgodności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wyniku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nieinwazyjnego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ze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stanem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klinicznym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chorego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rozbieżności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pomiędzy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wynikami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różnych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badań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nieinwazyjnych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zalecane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jest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wykonanie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biopsji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(o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ile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jest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ona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A7E67" w:rsidRPr="00BD6799">
              <w:rPr>
                <w:rFonts w:ascii="Times New Roman" w:hAnsi="Times New Roman"/>
                <w:sz w:val="20"/>
                <w:szCs w:val="20"/>
              </w:rPr>
              <w:t>przeciwwskazana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),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której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wynik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ma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wówczas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BD6799">
              <w:rPr>
                <w:rFonts w:ascii="Times New Roman" w:hAnsi="Times New Roman"/>
                <w:sz w:val="20"/>
                <w:szCs w:val="20"/>
              </w:rPr>
              <w:t>rozstrzygające;</w:t>
            </w:r>
          </w:p>
          <w:p w14:paraId="5914E32E" w14:textId="0511ADD4" w:rsidR="000F750B" w:rsidRPr="00BD6799" w:rsidRDefault="004226D9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potwierdzona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obecność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zakażenia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genotypem:</w:t>
            </w:r>
          </w:p>
          <w:p w14:paraId="2EC09871" w14:textId="0077D8E7" w:rsidR="009E5EE3" w:rsidRPr="00BD6799" w:rsidRDefault="004226D9" w:rsidP="00A30436">
            <w:pPr>
              <w:pStyle w:val="Akapitzlist"/>
              <w:numPr>
                <w:ilvl w:val="4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HCV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-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do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sofosbuwirem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skojarzeniu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ledipaswirem</w:t>
            </w:r>
          </w:p>
          <w:p w14:paraId="46729141" w14:textId="676E9ED5" w:rsidR="00C04A5E" w:rsidRPr="00BD6799" w:rsidRDefault="004226D9" w:rsidP="00BD6799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albo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229DBCA" w14:textId="6B1C5159" w:rsidR="009E5EE3" w:rsidRPr="00BD6799" w:rsidRDefault="00541ED6" w:rsidP="00A30436">
            <w:pPr>
              <w:pStyle w:val="Akapitzlist"/>
              <w:numPr>
                <w:ilvl w:val="4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1,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2,3,4,5,6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HCV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-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do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sofosbuwirem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skojarzeniu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A5E" w:rsidRPr="00BD6799">
              <w:rPr>
                <w:rFonts w:ascii="Times New Roman" w:hAnsi="Times New Roman"/>
                <w:sz w:val="20"/>
                <w:szCs w:val="20"/>
              </w:rPr>
              <w:t>welpataswirem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40EB" w:rsidRPr="00BD6799">
              <w:rPr>
                <w:rFonts w:ascii="Times New Roman" w:hAnsi="Times New Roman"/>
                <w:sz w:val="20"/>
                <w:szCs w:val="20"/>
              </w:rPr>
              <w:t>glekaprewirem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40EB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40EB" w:rsidRPr="00BD6799">
              <w:rPr>
                <w:rFonts w:ascii="Times New Roman" w:hAnsi="Times New Roman"/>
                <w:sz w:val="20"/>
                <w:szCs w:val="20"/>
              </w:rPr>
              <w:t>skojarzeniu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40EB"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40EB" w:rsidRPr="00BD6799">
              <w:rPr>
                <w:rFonts w:ascii="Times New Roman" w:hAnsi="Times New Roman"/>
                <w:sz w:val="20"/>
                <w:szCs w:val="20"/>
              </w:rPr>
              <w:t>pibrentaswirem</w:t>
            </w:r>
          </w:p>
          <w:p w14:paraId="67C02E39" w14:textId="6D15389D" w:rsidR="006C32EE" w:rsidRPr="00BD6799" w:rsidRDefault="006C32EE" w:rsidP="00A30436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043BAD2B" w14:textId="6ACD6AAA" w:rsidR="00162598" w:rsidRPr="00BD6799" w:rsidRDefault="006C32EE" w:rsidP="00A30436">
            <w:pPr>
              <w:pStyle w:val="Akapitzlist"/>
              <w:numPr>
                <w:ilvl w:val="4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1,2,3,4,5,6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HCV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–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do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sofosbu</w:t>
            </w:r>
            <w:r w:rsidR="00CD1513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skojarzeniu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welpataswirem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oraz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woksylaprewirem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niepowodzeniu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uprzedniej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inhibitorami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NS5A</w:t>
            </w:r>
          </w:p>
          <w:p w14:paraId="4A9DFA56" w14:textId="551B0FE1" w:rsidR="00A077DB" w:rsidRPr="00BD6799" w:rsidRDefault="00A077DB" w:rsidP="00A30436">
            <w:pPr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D6799">
              <w:rPr>
                <w:sz w:val="20"/>
                <w:szCs w:val="20"/>
              </w:rPr>
              <w:t>albo</w:t>
            </w:r>
          </w:p>
          <w:p w14:paraId="2CE67953" w14:textId="6581FE95" w:rsidR="00B46254" w:rsidRPr="00BD6799" w:rsidRDefault="00A077DB" w:rsidP="00A30436">
            <w:pPr>
              <w:pStyle w:val="Akapitzlist"/>
              <w:numPr>
                <w:ilvl w:val="4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162598" w:rsidRPr="00BD6799">
              <w:rPr>
                <w:rFonts w:ascii="Times New Roman" w:hAnsi="Times New Roman"/>
                <w:sz w:val="20"/>
                <w:szCs w:val="20"/>
              </w:rPr>
              <w:t xml:space="preserve"> przypadku niemożności oznaczenia genotypu należy zastosować lek pangenotypowy (glekaprewir/pibrentaswir lub sofosbuwir/welpataswir).</w:t>
            </w:r>
          </w:p>
          <w:p w14:paraId="3724FB2D" w14:textId="336D6610" w:rsidR="00E07A51" w:rsidRPr="00BD6799" w:rsidRDefault="00B46254" w:rsidP="00A3043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BD6799">
              <w:rPr>
                <w:sz w:val="20"/>
                <w:szCs w:val="20"/>
              </w:rPr>
              <w:t>Kryteria kwalifikacji muszą być spełnione łącznie.</w:t>
            </w:r>
          </w:p>
          <w:p w14:paraId="0B4294D1" w14:textId="0ACC8B01" w:rsidR="00F56F21" w:rsidRPr="00BD6799" w:rsidRDefault="00B51C4B" w:rsidP="00A3043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BD6799">
              <w:rPr>
                <w:sz w:val="20"/>
                <w:szCs w:val="20"/>
              </w:rPr>
              <w:t>U pacjentów kwalifikujących się pierwszorazowo do terapii pangenotypowej nie ma konieczności oznaczania genotypu HCV, w związku z tym nie muszą spełniać kryterium kwalifikacji określonego w pkt. 1.5.</w:t>
            </w:r>
          </w:p>
          <w:p w14:paraId="2812F9C0" w14:textId="77777777" w:rsidR="005F7521" w:rsidRPr="00BD6799" w:rsidRDefault="005F7521" w:rsidP="00A3043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462495B" w14:textId="6175FD2A" w:rsidR="002A7E67" w:rsidRPr="00BD6799" w:rsidRDefault="004226D9" w:rsidP="00A30436">
            <w:pPr>
              <w:pStyle w:val="Akapitzlist"/>
              <w:numPr>
                <w:ilvl w:val="0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254A40"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>uniemożliwiające</w:t>
            </w:r>
            <w:r w:rsidR="00254A40"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>kwalifikację</w:t>
            </w:r>
            <w:r w:rsidR="00254A40"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254A40"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09A4F936" w14:textId="42A0A708" w:rsidR="004226D9" w:rsidRPr="00BD6799" w:rsidRDefault="004226D9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nadwrażliwość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na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czynną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pomocniczą;</w:t>
            </w:r>
          </w:p>
          <w:p w14:paraId="18F9353B" w14:textId="006733B0" w:rsidR="004226D9" w:rsidRPr="00BD6799" w:rsidRDefault="004226D9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niestwierdzenie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HCV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RNA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surowicy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A7E67" w:rsidRPr="00BD6799">
              <w:rPr>
                <w:rFonts w:ascii="Times New Roman" w:hAnsi="Times New Roman"/>
                <w:sz w:val="20"/>
                <w:szCs w:val="20"/>
              </w:rPr>
              <w:t>l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tkance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wątrobowej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przy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obecności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przeciwciał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anty-HCV;</w:t>
            </w:r>
          </w:p>
          <w:p w14:paraId="2B7BDD25" w14:textId="62DD3605" w:rsidR="004226D9" w:rsidRPr="00BD6799" w:rsidRDefault="004226D9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ciężka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niewydolność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(stopień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C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wg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klasyfikacji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Child-Pugh)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-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dotyczy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A7E67" w:rsidRPr="00BD6799">
              <w:rPr>
                <w:rFonts w:ascii="Times New Roman" w:hAnsi="Times New Roman"/>
                <w:sz w:val="20"/>
                <w:szCs w:val="20"/>
              </w:rPr>
              <w:t>kwalifikowania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A7E67" w:rsidRPr="00BD6799">
              <w:rPr>
                <w:rFonts w:ascii="Times New Roman" w:hAnsi="Times New Roman"/>
                <w:sz w:val="20"/>
                <w:szCs w:val="20"/>
              </w:rPr>
              <w:t>do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użyciem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sofosbuwiru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skojarzeniu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ledipaswirem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A7E67"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07303" w:rsidRPr="00BD6799">
              <w:rPr>
                <w:rFonts w:ascii="Times New Roman" w:hAnsi="Times New Roman"/>
                <w:sz w:val="20"/>
                <w:szCs w:val="20"/>
              </w:rPr>
              <w:t>welpataswirem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5DC9C06" w14:textId="1188DE31" w:rsidR="00B541CE" w:rsidRPr="00BD6799" w:rsidRDefault="00B541CE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lastRenderedPageBreak/>
              <w:t>konieczność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przyjmowania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leków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mogących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obniżać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aktywność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osoczową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sofosbuwiru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ledipaswiru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albo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sofosbuwiru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welpataswiru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,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albo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sofosbuwiru,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welpataswiru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woksylaprewiru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szczególności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silnych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induktorów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glikoproteiny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P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jelitach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(o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ile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4651" w:rsidRPr="00BD6799">
              <w:rPr>
                <w:rFonts w:ascii="Times New Roman" w:hAnsi="Times New Roman"/>
                <w:sz w:val="20"/>
                <w:szCs w:val="20"/>
              </w:rPr>
              <w:t>dotyczy);</w:t>
            </w:r>
          </w:p>
          <w:p w14:paraId="5A814DC9" w14:textId="1D910EDD" w:rsidR="004226D9" w:rsidRPr="00BD6799" w:rsidRDefault="004226D9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ciąża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karmienie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2D9205CA" w14:textId="0E12EEE3" w:rsidR="004226D9" w:rsidRPr="00BD6799" w:rsidRDefault="004226D9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inne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przeciwwskazania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do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stosowania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określone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odpowiednich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charakterystykach:</w:t>
            </w:r>
          </w:p>
          <w:p w14:paraId="4228A58A" w14:textId="6461EB49" w:rsidR="00A218A4" w:rsidRPr="00BD6799" w:rsidRDefault="004226D9" w:rsidP="00A30436">
            <w:pPr>
              <w:pStyle w:val="Akapitzlist"/>
              <w:numPr>
                <w:ilvl w:val="4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sofosbu</w:t>
            </w:r>
            <w:r w:rsidR="00046335" w:rsidRPr="00BD6799">
              <w:rPr>
                <w:rFonts w:ascii="Times New Roman" w:hAnsi="Times New Roman"/>
                <w:sz w:val="20"/>
                <w:szCs w:val="20"/>
              </w:rPr>
              <w:t>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5102F"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46335" w:rsidRPr="00BD6799">
              <w:rPr>
                <w:rFonts w:ascii="Times New Roman" w:hAnsi="Times New Roman"/>
                <w:sz w:val="20"/>
                <w:szCs w:val="20"/>
              </w:rPr>
              <w:t>ledipaswir</w:t>
            </w:r>
            <w:r w:rsidR="00A5102F" w:rsidRPr="00BD6799">
              <w:rPr>
                <w:rFonts w:ascii="Times New Roman" w:hAnsi="Times New Roman"/>
                <w:sz w:val="20"/>
                <w:szCs w:val="20"/>
              </w:rPr>
              <w:t>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07303"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07303" w:rsidRPr="00BD6799">
              <w:rPr>
                <w:rFonts w:ascii="Times New Roman" w:hAnsi="Times New Roman"/>
                <w:sz w:val="20"/>
                <w:szCs w:val="20"/>
              </w:rPr>
              <w:t>sofosbuwiru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07303"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07303" w:rsidRPr="00BD6799">
              <w:rPr>
                <w:rFonts w:ascii="Times New Roman" w:hAnsi="Times New Roman"/>
                <w:sz w:val="20"/>
                <w:szCs w:val="20"/>
              </w:rPr>
              <w:t>welpataswirem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sofosbuwiru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welpataswirem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2EE" w:rsidRPr="00BD6799">
              <w:rPr>
                <w:rFonts w:ascii="Times New Roman" w:hAnsi="Times New Roman"/>
                <w:sz w:val="20"/>
                <w:szCs w:val="20"/>
              </w:rPr>
              <w:t>woksylaprewirem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07303" w:rsidRPr="00BD6799">
              <w:rPr>
                <w:rFonts w:ascii="Times New Roman" w:hAnsi="Times New Roman"/>
                <w:sz w:val="20"/>
                <w:szCs w:val="20"/>
              </w:rPr>
              <w:t>(o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07303" w:rsidRPr="00BD6799">
              <w:rPr>
                <w:rFonts w:ascii="Times New Roman" w:hAnsi="Times New Roman"/>
                <w:sz w:val="20"/>
                <w:szCs w:val="20"/>
              </w:rPr>
              <w:t>ile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07303" w:rsidRPr="00BD6799">
              <w:rPr>
                <w:rFonts w:ascii="Times New Roman" w:hAnsi="Times New Roman"/>
                <w:sz w:val="20"/>
                <w:szCs w:val="20"/>
              </w:rPr>
              <w:t>dotyczy)</w:t>
            </w:r>
          </w:p>
          <w:p w14:paraId="549A2AD5" w14:textId="1419F069" w:rsidR="00046335" w:rsidRPr="00BD6799" w:rsidRDefault="000F2BDF" w:rsidP="00A30436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34DFF2CA" w14:textId="27AB915C" w:rsidR="004226D9" w:rsidRPr="00BD6799" w:rsidRDefault="006E40EB" w:rsidP="00A30436">
            <w:pPr>
              <w:pStyle w:val="Akapitzlist"/>
              <w:numPr>
                <w:ilvl w:val="4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glekaprewiru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pibrentaswirem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162C8" w:rsidRPr="00BD6799">
              <w:rPr>
                <w:rFonts w:ascii="Times New Roman" w:hAnsi="Times New Roman"/>
                <w:sz w:val="20"/>
                <w:szCs w:val="20"/>
              </w:rPr>
              <w:t>(o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162C8" w:rsidRPr="00BD6799">
              <w:rPr>
                <w:rFonts w:ascii="Times New Roman" w:hAnsi="Times New Roman"/>
                <w:sz w:val="20"/>
                <w:szCs w:val="20"/>
              </w:rPr>
              <w:t>ile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162C8" w:rsidRPr="00BD6799">
              <w:rPr>
                <w:rFonts w:ascii="Times New Roman" w:hAnsi="Times New Roman"/>
                <w:sz w:val="20"/>
                <w:szCs w:val="20"/>
              </w:rPr>
              <w:t>dotyczy)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62FEA1B" w14:textId="77777777" w:rsidR="005F7521" w:rsidRPr="00BD6799" w:rsidRDefault="005F7521" w:rsidP="00A30436">
            <w:pPr>
              <w:pStyle w:val="Akapitzlist"/>
              <w:spacing w:after="60"/>
              <w:ind w:left="68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E720FD2" w14:textId="0957B4C6" w:rsidR="004226D9" w:rsidRPr="00BD6799" w:rsidRDefault="004226D9" w:rsidP="00A30436">
            <w:pPr>
              <w:pStyle w:val="Akapitzlist"/>
              <w:numPr>
                <w:ilvl w:val="0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D6799">
              <w:rPr>
                <w:rFonts w:ascii="Times New Roman" w:hAnsi="Times New Roman"/>
                <w:b/>
                <w:sz w:val="20"/>
                <w:szCs w:val="20"/>
              </w:rPr>
              <w:t>Kryteria</w:t>
            </w:r>
            <w:r w:rsidR="00254A40" w:rsidRPr="00BD6799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b/>
                <w:sz w:val="20"/>
                <w:szCs w:val="20"/>
              </w:rPr>
              <w:t>wyłączenia</w:t>
            </w:r>
            <w:r w:rsidR="00254A40" w:rsidRPr="00BD6799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b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48D595FF" w14:textId="3BF50036" w:rsidR="004226D9" w:rsidRPr="00BD6799" w:rsidRDefault="004226D9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ujawnienie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okoliczności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określonych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ust.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2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421" w:rsidRPr="00BD6799">
              <w:rPr>
                <w:rFonts w:ascii="Times New Roman" w:hAnsi="Times New Roman"/>
                <w:sz w:val="20"/>
                <w:szCs w:val="20"/>
              </w:rPr>
              <w:t xml:space="preserve">(z wyłączeniem pkt 2.2)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trakcie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44E84602" w14:textId="3F4B0A6D" w:rsidR="004226D9" w:rsidRPr="00BD6799" w:rsidRDefault="004226D9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działania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niepożądane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stosowanych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programie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leków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uzasadniające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przerwanie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leczenia:</w:t>
            </w:r>
          </w:p>
          <w:p w14:paraId="442A0394" w14:textId="261D77A6" w:rsidR="00A218A4" w:rsidRPr="00BD6799" w:rsidRDefault="004226D9" w:rsidP="00A30436">
            <w:pPr>
              <w:pStyle w:val="Akapitzlist"/>
              <w:numPr>
                <w:ilvl w:val="5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opinii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terapię</w:t>
            </w:r>
          </w:p>
          <w:p w14:paraId="1DD2838F" w14:textId="2EC484DE" w:rsidR="004226D9" w:rsidRPr="00BD6799" w:rsidRDefault="004226D9" w:rsidP="00A30436">
            <w:pPr>
              <w:pStyle w:val="Akapitzlist"/>
              <w:spacing w:after="60"/>
              <w:ind w:left="68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05CD8CD6" w14:textId="7A8C681A" w:rsidR="008721CB" w:rsidRPr="00BD6799" w:rsidRDefault="004226D9" w:rsidP="00A30436">
            <w:pPr>
              <w:pStyle w:val="Akapitzlist"/>
              <w:numPr>
                <w:ilvl w:val="5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charakterystykami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odpowiednich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produktów</w:t>
            </w:r>
            <w:r w:rsidR="00254A40" w:rsidRPr="00BD6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799">
              <w:rPr>
                <w:rFonts w:ascii="Times New Roman" w:hAnsi="Times New Roman"/>
                <w:sz w:val="20"/>
                <w:szCs w:val="20"/>
              </w:rPr>
              <w:t>leczn</w:t>
            </w:r>
            <w:r w:rsidR="006768D6" w:rsidRPr="00BD6799">
              <w:rPr>
                <w:rFonts w:ascii="Times New Roman" w:hAnsi="Times New Roman"/>
                <w:sz w:val="20"/>
                <w:szCs w:val="20"/>
              </w:rPr>
              <w:t>iczych</w:t>
            </w:r>
            <w:r w:rsidR="003230F4" w:rsidRPr="00BD6799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BF0AD80" w14:textId="77777777" w:rsidR="005F7521" w:rsidRPr="00BD6799" w:rsidRDefault="00B51C4B" w:rsidP="00A30436">
            <w:pPr>
              <w:pStyle w:val="Akapitzlist"/>
              <w:numPr>
                <w:ilvl w:val="3"/>
                <w:numId w:val="44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6799">
              <w:rPr>
                <w:rFonts w:ascii="Times New Roman" w:hAnsi="Times New Roman"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</w:t>
            </w:r>
            <w:r w:rsidR="003230F4" w:rsidRPr="00BD6799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C995A8B" w14:textId="09C093BF" w:rsidR="006B3145" w:rsidRPr="006B3145" w:rsidRDefault="006B3145" w:rsidP="006B3145">
            <w:pPr>
              <w:spacing w:after="60"/>
              <w:ind w:left="227"/>
              <w:jc w:val="both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C63F" w14:textId="19D04466" w:rsidR="005F7521" w:rsidRPr="00A30436" w:rsidRDefault="00FB07B8" w:rsidP="00A30436">
            <w:pPr>
              <w:pStyle w:val="Akapitzlist"/>
              <w:numPr>
                <w:ilvl w:val="0"/>
                <w:numId w:val="45"/>
              </w:numPr>
              <w:spacing w:before="120"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</w:t>
            </w:r>
            <w:r w:rsidR="004226D9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ofosbuwir+ledipaswir</w:t>
            </w:r>
            <w:r w:rsidR="00254A40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A3B5B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i</w:t>
            </w:r>
            <w:r w:rsidR="00254A40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A3B5B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sofosbuwir</w:t>
            </w:r>
            <w:r w:rsidR="00254A40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A3B5B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+welpataswir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ramach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programu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046335" w:rsidRPr="00A30436">
              <w:rPr>
                <w:rFonts w:ascii="Times New Roman" w:hAnsi="Times New Roman"/>
                <w:bCs/>
                <w:sz w:val="20"/>
                <w:szCs w:val="20"/>
              </w:rPr>
              <w:t>dawkuje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się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zgodnie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z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odpowiednimi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aktualnymi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na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dzień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wydania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decyzji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Charakterystykami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Produktów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bCs/>
                <w:sz w:val="20"/>
                <w:szCs w:val="20"/>
              </w:rPr>
              <w:t>Leczniczych</w:t>
            </w:r>
            <w:r w:rsidR="00071395" w:rsidRPr="00A30436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7152F4F2" w14:textId="18F7597D" w:rsidR="005F7521" w:rsidRPr="00A30436" w:rsidRDefault="006E40EB" w:rsidP="00A30436">
            <w:pPr>
              <w:pStyle w:val="Akapitzlist"/>
              <w:numPr>
                <w:ilvl w:val="0"/>
                <w:numId w:val="45"/>
              </w:numPr>
              <w:spacing w:after="60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Glekaprewir+pibrentaswir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ramach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programu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dawkuje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się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zgodnie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z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odpowiednią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aktualną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na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dzień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wydania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5F7AF1" w:rsidRPr="00A30436">
              <w:rPr>
                <w:rFonts w:ascii="Times New Roman" w:hAnsi="Times New Roman"/>
                <w:bCs/>
                <w:sz w:val="20"/>
                <w:szCs w:val="20"/>
              </w:rPr>
              <w:t>decyzji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Charakterystyką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Produktu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Leczniczego.</w:t>
            </w:r>
          </w:p>
          <w:p w14:paraId="3603239D" w14:textId="34EBECEF" w:rsidR="006C32EE" w:rsidRPr="00A30436" w:rsidRDefault="006C32EE" w:rsidP="00A30436">
            <w:pPr>
              <w:pStyle w:val="Akapitzlist"/>
              <w:numPr>
                <w:ilvl w:val="0"/>
                <w:numId w:val="45"/>
              </w:numPr>
              <w:spacing w:after="60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Sofosbuvir+welpataswir+woksyleprewir</w:t>
            </w:r>
            <w:r w:rsidR="00254A40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ramach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programu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dawkuje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się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zgodnie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z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odpowiednią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aktualną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na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dzień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wydania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decyzji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Charakterystyką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Produktu</w:t>
            </w:r>
            <w:r w:rsidR="00254A40" w:rsidRPr="00A30436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Cs/>
                <w:sz w:val="20"/>
                <w:szCs w:val="20"/>
              </w:rPr>
              <w:t>Leczniczego.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06CB" w14:textId="00B3AFEF" w:rsidR="004226D9" w:rsidRPr="00A30436" w:rsidRDefault="004226D9" w:rsidP="00A30436">
            <w:pPr>
              <w:pStyle w:val="Akapitzlist"/>
              <w:numPr>
                <w:ilvl w:val="0"/>
                <w:numId w:val="46"/>
              </w:numPr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254A40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254A40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254A40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254A40"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31635B89" w14:textId="3168D159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HCV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25BF6" w:rsidRPr="00A30436">
              <w:rPr>
                <w:rFonts w:ascii="Times New Roman" w:hAnsi="Times New Roman"/>
                <w:sz w:val="20"/>
                <w:szCs w:val="20"/>
              </w:rPr>
              <w:t>RNA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metodą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ilościową;</w:t>
            </w:r>
          </w:p>
          <w:p w14:paraId="4BBB5CAD" w14:textId="6FD1FAE0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krwi;</w:t>
            </w:r>
          </w:p>
          <w:p w14:paraId="6DDF44BE" w14:textId="1440D29F" w:rsidR="003926D5" w:rsidRPr="00A30436" w:rsidRDefault="008C520F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Al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AT</w:t>
            </w:r>
            <w:r w:rsidR="003926D5" w:rsidRPr="00A3043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418F8C9" w14:textId="35EACB9E" w:rsidR="004226D9" w:rsidRPr="00A30436" w:rsidRDefault="0037036E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albumin;</w:t>
            </w:r>
          </w:p>
          <w:p w14:paraId="7D0D19C6" w14:textId="50AC3EB8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bilirubiny;</w:t>
            </w:r>
          </w:p>
          <w:p w14:paraId="7AA2AA5A" w14:textId="1AEA159A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czas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wskaźnik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protrombinowy;</w:t>
            </w:r>
          </w:p>
          <w:p w14:paraId="16F76BC2" w14:textId="3FF03111" w:rsidR="004226D9" w:rsidRPr="00A30436" w:rsidRDefault="00B1697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poziomu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kreatyniny;</w:t>
            </w:r>
          </w:p>
          <w:p w14:paraId="2CED9D63" w14:textId="47CCA5B3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przeciwciał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anty-HIV</w:t>
            </w:r>
            <w:r w:rsidR="003A4FF2" w:rsidRPr="00A3043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2BBA360" w14:textId="3C8F1F05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antygenu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HBs;</w:t>
            </w:r>
          </w:p>
          <w:p w14:paraId="63776D7E" w14:textId="7FE32756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USG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jamy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brzusznej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(jeśli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było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okresie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ostatnich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6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miesięcy);</w:t>
            </w:r>
          </w:p>
          <w:p w14:paraId="46C12DA2" w14:textId="33ED22B9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określające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zaawansowanie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włóknienia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-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elastografia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wykonana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techniką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umożliwiającą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pomiar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ilościowy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kPa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biopsja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wątroby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(jeśli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było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wcześniej)</w:t>
            </w:r>
            <w:r w:rsidR="00422421" w:rsidRPr="00A30436">
              <w:rPr>
                <w:rFonts w:ascii="Times New Roman" w:hAnsi="Times New Roman"/>
                <w:sz w:val="20"/>
                <w:szCs w:val="20"/>
              </w:rPr>
              <w:t xml:space="preserve"> lub oznaczenie wskaźników APRI lub FIB-4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CB39C1F" w14:textId="45617E8F" w:rsidR="00FD2978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genotypu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HCV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(z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podtypem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genotypu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1)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-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jeśli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było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wcześniej</w:t>
            </w:r>
            <w:r w:rsidR="00A5102F" w:rsidRPr="00A30436">
              <w:rPr>
                <w:rFonts w:ascii="Times New Roman" w:hAnsi="Times New Roman"/>
                <w:sz w:val="20"/>
                <w:szCs w:val="20"/>
              </w:rPr>
              <w:t>.</w:t>
            </w:r>
            <w:r w:rsidR="00422421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E379D" w:rsidRPr="00A30436">
              <w:rPr>
                <w:rFonts w:ascii="Times New Roman" w:hAnsi="Times New Roman"/>
                <w:sz w:val="20"/>
                <w:szCs w:val="20"/>
              </w:rPr>
              <w:t>Przy czym, d</w:t>
            </w:r>
            <w:r w:rsidR="00422421" w:rsidRPr="00A30436">
              <w:rPr>
                <w:rFonts w:ascii="Times New Roman" w:hAnsi="Times New Roman"/>
                <w:sz w:val="20"/>
                <w:szCs w:val="20"/>
              </w:rPr>
              <w:t xml:space="preserve">opuszczalne jest odstąpienie z oznaczania genotypu w </w:t>
            </w:r>
            <w:r w:rsidR="00422421" w:rsidRPr="00A30436">
              <w:rPr>
                <w:rFonts w:ascii="Times New Roman" w:hAnsi="Times New Roman"/>
                <w:sz w:val="20"/>
                <w:szCs w:val="20"/>
              </w:rPr>
              <w:lastRenderedPageBreak/>
              <w:t>przypadku kwalifikacji do pierwszorazowej terapii pangenotypowej.</w:t>
            </w:r>
          </w:p>
          <w:p w14:paraId="22564FD4" w14:textId="77777777" w:rsidR="005F7521" w:rsidRPr="00A30436" w:rsidRDefault="005F7521" w:rsidP="00A30436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1791873" w14:textId="04C79305" w:rsidR="004226D9" w:rsidRPr="00A30436" w:rsidRDefault="004226D9" w:rsidP="00A30436">
            <w:pPr>
              <w:pStyle w:val="Akapitzlist"/>
              <w:numPr>
                <w:ilvl w:val="0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30436">
              <w:rPr>
                <w:rFonts w:ascii="Times New Roman" w:hAnsi="Times New Roman"/>
                <w:b/>
                <w:sz w:val="20"/>
                <w:szCs w:val="20"/>
              </w:rPr>
              <w:t>Monitorowanie</w:t>
            </w:r>
            <w:r w:rsidR="00254A40" w:rsidRPr="00A3043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/>
                <w:sz w:val="20"/>
                <w:szCs w:val="20"/>
              </w:rPr>
              <w:t>leczenia</w:t>
            </w:r>
          </w:p>
          <w:p w14:paraId="7E0BF2BC" w14:textId="176AE25E" w:rsidR="004226D9" w:rsidRPr="00A30436" w:rsidRDefault="004226D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1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dniu,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przed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podaniem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leków:</w:t>
            </w:r>
          </w:p>
          <w:p w14:paraId="2B6C0DF5" w14:textId="5ACE1C84" w:rsidR="004226D9" w:rsidRPr="00A30436" w:rsidRDefault="004226D9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krwi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B604CFD" w14:textId="13E02CD8" w:rsidR="004226D9" w:rsidRPr="00A30436" w:rsidRDefault="004226D9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A6039" w:rsidRPr="00A30436">
              <w:rPr>
                <w:rFonts w:ascii="Times New Roman" w:hAnsi="Times New Roman"/>
                <w:sz w:val="20"/>
                <w:szCs w:val="20"/>
              </w:rPr>
              <w:t>Al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AT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8766FB5" w14:textId="1F6A405F" w:rsidR="004226D9" w:rsidRPr="00A30436" w:rsidRDefault="00675622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</w:t>
            </w:r>
            <w:r w:rsidR="00706419" w:rsidRPr="00A30436">
              <w:rPr>
                <w:rFonts w:ascii="Times New Roman" w:hAnsi="Times New Roman"/>
                <w:sz w:val="20"/>
                <w:szCs w:val="20"/>
              </w:rPr>
              <w:t>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06419" w:rsidRPr="00A30436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06419" w:rsidRPr="00A30436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2A85EE1" w14:textId="54A3C661" w:rsidR="004226D9" w:rsidRPr="00A30436" w:rsidRDefault="004226D9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próba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ciążowa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kobiet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wieku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rozrodczym;</w:t>
            </w:r>
          </w:p>
          <w:p w14:paraId="304C9556" w14:textId="47BC5ABF" w:rsidR="004226D9" w:rsidRPr="00A30436" w:rsidRDefault="00F47305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4,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8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tygodniu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oraz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51E1D" w:rsidRPr="00A30436">
              <w:rPr>
                <w:rFonts w:ascii="Times New Roman" w:hAnsi="Times New Roman"/>
                <w:sz w:val="20"/>
                <w:szCs w:val="20"/>
              </w:rPr>
              <w:t>(</w:t>
            </w:r>
            <w:r w:rsidR="005C7F87" w:rsidRPr="00A30436">
              <w:rPr>
                <w:rFonts w:ascii="Times New Roman" w:hAnsi="Times New Roman"/>
                <w:sz w:val="20"/>
                <w:szCs w:val="20"/>
              </w:rPr>
              <w:t>j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eżeli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dotyczy</w:t>
            </w:r>
            <w:r w:rsidR="00651E1D" w:rsidRPr="00A30436">
              <w:rPr>
                <w:rFonts w:ascii="Times New Roman" w:hAnsi="Times New Roman"/>
                <w:sz w:val="20"/>
                <w:szCs w:val="20"/>
              </w:rPr>
              <w:t>)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0615" w:rsidRPr="00A30436">
              <w:rPr>
                <w:rFonts w:ascii="Times New Roman" w:hAnsi="Times New Roman"/>
                <w:sz w:val="20"/>
                <w:szCs w:val="20"/>
              </w:rPr>
              <w:t>12,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16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24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tygodniu:</w:t>
            </w:r>
          </w:p>
          <w:p w14:paraId="0509D58B" w14:textId="26E47397" w:rsidR="004226D9" w:rsidRPr="00A30436" w:rsidRDefault="004226D9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krwi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6551EC0B" w14:textId="5C98809C" w:rsidR="004226D9" w:rsidRPr="00A30436" w:rsidRDefault="001A6039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Al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AT;</w:t>
            </w:r>
          </w:p>
          <w:p w14:paraId="73134B06" w14:textId="6D89A663" w:rsidR="005974CD" w:rsidRPr="00A30436" w:rsidRDefault="005974CD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4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tygodniu</w:t>
            </w:r>
            <w:r w:rsidR="002C79A9" w:rsidRPr="00A3043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46322648" w14:textId="71578FFC" w:rsidR="005974CD" w:rsidRPr="00A30436" w:rsidRDefault="005974CD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–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występowania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zwiększonego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4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tygodniu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3E561E" w:rsidRPr="00A30436">
              <w:rPr>
                <w:rFonts w:ascii="Times New Roman" w:hAnsi="Times New Roman"/>
                <w:sz w:val="20"/>
                <w:szCs w:val="20"/>
              </w:rPr>
              <w:t>,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powtórzyć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oznacz</w:t>
            </w:r>
            <w:r w:rsidR="003E561E" w:rsidRPr="00A30436">
              <w:rPr>
                <w:rFonts w:ascii="Times New Roman" w:hAnsi="Times New Roman"/>
                <w:sz w:val="20"/>
                <w:szCs w:val="20"/>
              </w:rPr>
              <w:t>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8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tyg</w:t>
            </w:r>
            <w:r w:rsidR="00F47305" w:rsidRPr="00A30436">
              <w:rPr>
                <w:rFonts w:ascii="Times New Roman" w:hAnsi="Times New Roman"/>
                <w:sz w:val="20"/>
                <w:szCs w:val="20"/>
              </w:rPr>
              <w:t>odniu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oraz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jeżeli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dotyczy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12,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16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24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tyg</w:t>
            </w:r>
            <w:r w:rsidR="00F47305" w:rsidRPr="00A30436">
              <w:rPr>
                <w:rFonts w:ascii="Times New Roman" w:hAnsi="Times New Roman"/>
                <w:sz w:val="20"/>
                <w:szCs w:val="20"/>
              </w:rPr>
              <w:t>odniu</w:t>
            </w:r>
            <w:r w:rsidR="00DF775E" w:rsidRPr="00A3043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9057425" w14:textId="7D1DE46C" w:rsidR="00DF775E" w:rsidRPr="00A30436" w:rsidRDefault="00706419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po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12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226D9" w:rsidRPr="00A30436">
              <w:rPr>
                <w:rFonts w:ascii="Times New Roman" w:hAnsi="Times New Roman"/>
                <w:sz w:val="20"/>
                <w:szCs w:val="20"/>
              </w:rPr>
              <w:t>tygo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dniach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od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F775E" w:rsidRPr="00A30436">
              <w:rPr>
                <w:rFonts w:ascii="Times New Roman" w:hAnsi="Times New Roman"/>
                <w:sz w:val="20"/>
                <w:szCs w:val="20"/>
              </w:rPr>
              <w:t>zakończenia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F775E" w:rsidRPr="00A30436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6B3145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2C91D772" w14:textId="3F54E7FE" w:rsidR="00DF775E" w:rsidRPr="00A30436" w:rsidRDefault="004226D9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oznac</w:t>
            </w:r>
            <w:r w:rsidR="002C79A9" w:rsidRPr="00A30436">
              <w:rPr>
                <w:rFonts w:ascii="Times New Roman" w:hAnsi="Times New Roman"/>
                <w:sz w:val="20"/>
                <w:szCs w:val="20"/>
              </w:rPr>
              <w:t>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C79A9" w:rsidRPr="00A30436">
              <w:rPr>
                <w:rFonts w:ascii="Times New Roman" w:hAnsi="Times New Roman"/>
                <w:sz w:val="20"/>
                <w:szCs w:val="20"/>
              </w:rPr>
              <w:t>HCV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C79A9" w:rsidRPr="00A30436">
              <w:rPr>
                <w:rFonts w:ascii="Times New Roman" w:hAnsi="Times New Roman"/>
                <w:sz w:val="20"/>
                <w:szCs w:val="20"/>
              </w:rPr>
              <w:t>RNA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C79A9" w:rsidRPr="00A30436">
              <w:rPr>
                <w:rFonts w:ascii="Times New Roman" w:hAnsi="Times New Roman"/>
                <w:sz w:val="20"/>
                <w:szCs w:val="20"/>
              </w:rPr>
              <w:t>metodą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C79A9" w:rsidRPr="00A30436">
              <w:rPr>
                <w:rFonts w:ascii="Times New Roman" w:hAnsi="Times New Roman"/>
                <w:sz w:val="20"/>
                <w:szCs w:val="20"/>
              </w:rPr>
              <w:t>jakościową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4586761" w14:textId="3754C2C2" w:rsidR="00C02385" w:rsidRPr="00A30436" w:rsidRDefault="004226D9" w:rsidP="00A30436">
            <w:pPr>
              <w:pStyle w:val="Akapitzlist"/>
              <w:numPr>
                <w:ilvl w:val="4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USG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jamy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brzusznej</w:t>
            </w:r>
            <w:r w:rsidR="009438AD" w:rsidRPr="00A3043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7DC410D" w14:textId="3157A0CD" w:rsidR="00422421" w:rsidRPr="00A30436" w:rsidRDefault="00B56015" w:rsidP="00A3043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A30436">
              <w:rPr>
                <w:sz w:val="20"/>
                <w:szCs w:val="20"/>
              </w:rPr>
              <w:t>Dopuszczalne jest, po wyrażeniu zgody przez lekarza rozpoczynającego terapię, odstąpienie od</w:t>
            </w:r>
            <w:r w:rsidR="006B3145">
              <w:rPr>
                <w:sz w:val="20"/>
                <w:szCs w:val="20"/>
              </w:rPr>
              <w:t xml:space="preserve"> </w:t>
            </w:r>
            <w:r w:rsidRPr="00A30436">
              <w:rPr>
                <w:sz w:val="20"/>
                <w:szCs w:val="20"/>
              </w:rPr>
              <w:t xml:space="preserve">wizyt pacjenta i procedur monitorowania leczenia określonych w punktach 2.2 i 2.3 w trakcie leczenia, jeżeli podczas kwalifikacji w ocenie zaawansowania choroby wątroby wykazano w elastografii sztywność &lt;12,5 kPa lub APRI&lt;1 lub FIB-4&lt;1,3 lub brak histologicznych cech marskości w biopsji wątroby. U takich pacjentów możliwe jest wydanie leków w ilości niezbędnej do zabezpieczenia pełnego czasu terapii o ile nie przekracza 12 tygodni (w zależności od wybranej terapii, </w:t>
            </w:r>
            <w:r w:rsidRPr="00A30436">
              <w:rPr>
                <w:sz w:val="20"/>
                <w:szCs w:val="20"/>
              </w:rPr>
              <w:lastRenderedPageBreak/>
              <w:t>indywidualnie przyjętego schematu dawkowania oraz wielkości opakowań poszczególnych leków). Opisana powyżej decyzja lekarza rozpoczynającego leczenie, powinna zostać odnotowana w dokumentacji medycznej pacjenta</w:t>
            </w:r>
            <w:r w:rsidR="00115BE7" w:rsidRPr="00A30436">
              <w:rPr>
                <w:sz w:val="20"/>
                <w:szCs w:val="20"/>
              </w:rPr>
              <w:t xml:space="preserve"> oraz </w:t>
            </w:r>
            <w:r w:rsidR="006B3145" w:rsidRPr="00A30436">
              <w:rPr>
                <w:sz w:val="20"/>
                <w:szCs w:val="20"/>
              </w:rPr>
              <w:t>w elektronicznym systemie monitorowania programów lekowych</w:t>
            </w:r>
            <w:r w:rsidRPr="00A30436">
              <w:rPr>
                <w:sz w:val="20"/>
                <w:szCs w:val="20"/>
              </w:rPr>
              <w:t xml:space="preserve">. Decyzja ta może zostać zmieniona w trakcie trwania leczenia w przypadku zmiany stanu klinicznego pacjenta lub podejrzenia braku adherencji. Niezależnie od przypadku klinicznego, osobiste stawiennictwo pacjenta w ośrodku prowadzącym terapię musi mieć miejsce 12 tygodni po zakończeniu terapii w celu określenia skuteczności zastosowanego </w:t>
            </w:r>
            <w:r w:rsidR="006B3145" w:rsidRPr="00A30436">
              <w:rPr>
                <w:sz w:val="20"/>
                <w:szCs w:val="20"/>
              </w:rPr>
              <w:t>leczenia.</w:t>
            </w:r>
          </w:p>
          <w:p w14:paraId="2985E825" w14:textId="77777777" w:rsidR="003230F4" w:rsidRPr="00A30436" w:rsidRDefault="003230F4" w:rsidP="00A3043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3288019" w14:textId="2F1C4D39" w:rsidR="000F750B" w:rsidRPr="00A30436" w:rsidRDefault="000F750B" w:rsidP="00A30436">
            <w:pPr>
              <w:pStyle w:val="Akapitzlist"/>
              <w:numPr>
                <w:ilvl w:val="0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30436">
              <w:rPr>
                <w:rFonts w:ascii="Times New Roman" w:hAnsi="Times New Roman"/>
                <w:b/>
                <w:sz w:val="20"/>
                <w:szCs w:val="20"/>
              </w:rPr>
              <w:t>Monitorowanie</w:t>
            </w:r>
            <w:r w:rsidR="00254A40" w:rsidRPr="00A3043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b/>
                <w:sz w:val="20"/>
                <w:szCs w:val="20"/>
              </w:rPr>
              <w:t>programu</w:t>
            </w:r>
          </w:p>
          <w:p w14:paraId="23C736E5" w14:textId="11713D58" w:rsidR="000F750B" w:rsidRPr="00A30436" w:rsidRDefault="000F750B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gromadzenie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danych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ich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na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2C91B3AD" w14:textId="7ED108C1" w:rsidR="000F750B" w:rsidRPr="00A30436" w:rsidRDefault="0020287F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uzupełnia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danych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E379D" w:rsidRPr="00A30436">
              <w:rPr>
                <w:rFonts w:ascii="Times New Roman" w:hAnsi="Times New Roman"/>
                <w:sz w:val="20"/>
                <w:szCs w:val="20"/>
              </w:rPr>
              <w:t xml:space="preserve">elektronicznym systemie monitorowania programów lekowych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za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przez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OW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NFZ,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opisem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oraz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na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50B" w:rsidRPr="00A30436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6CA6CE6F" w14:textId="0717B452" w:rsidR="00C02385" w:rsidRPr="00A30436" w:rsidRDefault="000F750B" w:rsidP="00A30436">
            <w:pPr>
              <w:pStyle w:val="Akapitzlist"/>
              <w:numPr>
                <w:ilvl w:val="3"/>
                <w:numId w:val="46"/>
              </w:numPr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0436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do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NFZ: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informacje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przekazuje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się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do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NFZ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formie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papierowej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lub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formie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elektronicznej,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przez</w:t>
            </w:r>
            <w:r w:rsidR="00254A40" w:rsidRPr="00A30436">
              <w:rPr>
                <w:rFonts w:ascii="Times New Roman" w:hAnsi="Times New Roman"/>
                <w:sz w:val="20"/>
                <w:szCs w:val="20"/>
              </w:rPr>
              <w:t xml:space="preserve"> NFZ</w:t>
            </w:r>
            <w:r w:rsidRPr="00A3043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14:paraId="7FB71EF7" w14:textId="21457966" w:rsidR="00C52F67" w:rsidRPr="00DF775E" w:rsidRDefault="00C52F67" w:rsidP="00115BE7">
      <w:pPr>
        <w:pStyle w:val="Style2"/>
        <w:widowControl/>
        <w:rPr>
          <w:b/>
          <w:sz w:val="2"/>
        </w:rPr>
      </w:pPr>
    </w:p>
    <w:sectPr w:rsidR="00C52F67" w:rsidRPr="00DF775E" w:rsidSect="00342604">
      <w:pgSz w:w="16838" w:h="11906" w:orient="landscape" w:code="9"/>
      <w:pgMar w:top="1588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09047" w14:textId="77777777" w:rsidR="002F22F5" w:rsidRDefault="002F22F5" w:rsidP="00913AAA">
      <w:r>
        <w:separator/>
      </w:r>
    </w:p>
  </w:endnote>
  <w:endnote w:type="continuationSeparator" w:id="0">
    <w:p w14:paraId="3FB4C550" w14:textId="77777777" w:rsidR="002F22F5" w:rsidRDefault="002F22F5" w:rsidP="00913AAA">
      <w:r>
        <w:continuationSeparator/>
      </w:r>
    </w:p>
  </w:endnote>
  <w:endnote w:type="continuationNotice" w:id="1">
    <w:p w14:paraId="1508E0BE" w14:textId="77777777" w:rsidR="002F22F5" w:rsidRDefault="002F2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80ED5" w14:textId="77777777" w:rsidR="002F22F5" w:rsidRDefault="002F22F5" w:rsidP="00913AAA">
      <w:r>
        <w:separator/>
      </w:r>
    </w:p>
  </w:footnote>
  <w:footnote w:type="continuationSeparator" w:id="0">
    <w:p w14:paraId="1A749668" w14:textId="77777777" w:rsidR="002F22F5" w:rsidRDefault="002F22F5" w:rsidP="00913AAA">
      <w:r>
        <w:continuationSeparator/>
      </w:r>
    </w:p>
  </w:footnote>
  <w:footnote w:type="continuationNotice" w:id="1">
    <w:p w14:paraId="689DAA9B" w14:textId="77777777" w:rsidR="002F22F5" w:rsidRDefault="002F22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040"/>
    <w:multiLevelType w:val="hybridMultilevel"/>
    <w:tmpl w:val="4E98A1F4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2454931"/>
    <w:multiLevelType w:val="hybridMultilevel"/>
    <w:tmpl w:val="1FC4E788"/>
    <w:lvl w:ilvl="0" w:tplc="6BB0A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119E3"/>
    <w:multiLevelType w:val="hybridMultilevel"/>
    <w:tmpl w:val="7DC455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F62EB"/>
    <w:multiLevelType w:val="multilevel"/>
    <w:tmpl w:val="E1A29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60A4ED2"/>
    <w:multiLevelType w:val="hybridMultilevel"/>
    <w:tmpl w:val="70EEDA86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6767F80"/>
    <w:multiLevelType w:val="hybridMultilevel"/>
    <w:tmpl w:val="37FC33A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B68FF"/>
    <w:multiLevelType w:val="hybridMultilevel"/>
    <w:tmpl w:val="9A8430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5264C"/>
    <w:multiLevelType w:val="hybridMultilevel"/>
    <w:tmpl w:val="BE3A54B6"/>
    <w:lvl w:ilvl="0" w:tplc="5DB07D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2F48"/>
    <w:multiLevelType w:val="hybridMultilevel"/>
    <w:tmpl w:val="2CD094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1E90"/>
    <w:multiLevelType w:val="hybridMultilevel"/>
    <w:tmpl w:val="6BE820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92F52"/>
    <w:multiLevelType w:val="hybridMultilevel"/>
    <w:tmpl w:val="4238BF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B0CDF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17845C82"/>
    <w:multiLevelType w:val="hybridMultilevel"/>
    <w:tmpl w:val="88B29E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95511"/>
    <w:multiLevelType w:val="hybridMultilevel"/>
    <w:tmpl w:val="53A2C1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B45870"/>
    <w:multiLevelType w:val="hybridMultilevel"/>
    <w:tmpl w:val="126068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FB7A59"/>
    <w:multiLevelType w:val="hybridMultilevel"/>
    <w:tmpl w:val="8370D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EE5422"/>
    <w:multiLevelType w:val="hybridMultilevel"/>
    <w:tmpl w:val="5B8A2E30"/>
    <w:lvl w:ilvl="0" w:tplc="0B4483A8">
      <w:start w:val="1"/>
      <w:numFmt w:val="lowerLetter"/>
      <w:lvlText w:val="%1)"/>
      <w:lvlJc w:val="left"/>
      <w:pPr>
        <w:ind w:left="71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6" w:hanging="360"/>
      </w:pPr>
    </w:lvl>
    <w:lvl w:ilvl="2" w:tplc="0415001B" w:tentative="1">
      <w:start w:val="1"/>
      <w:numFmt w:val="lowerRoman"/>
      <w:lvlText w:val="%3."/>
      <w:lvlJc w:val="right"/>
      <w:pPr>
        <w:ind w:left="2156" w:hanging="180"/>
      </w:pPr>
    </w:lvl>
    <w:lvl w:ilvl="3" w:tplc="0415000F" w:tentative="1">
      <w:start w:val="1"/>
      <w:numFmt w:val="decimal"/>
      <w:lvlText w:val="%4."/>
      <w:lvlJc w:val="left"/>
      <w:pPr>
        <w:ind w:left="2876" w:hanging="360"/>
      </w:pPr>
    </w:lvl>
    <w:lvl w:ilvl="4" w:tplc="04150019" w:tentative="1">
      <w:start w:val="1"/>
      <w:numFmt w:val="lowerLetter"/>
      <w:lvlText w:val="%5."/>
      <w:lvlJc w:val="left"/>
      <w:pPr>
        <w:ind w:left="3596" w:hanging="360"/>
      </w:pPr>
    </w:lvl>
    <w:lvl w:ilvl="5" w:tplc="0415001B" w:tentative="1">
      <w:start w:val="1"/>
      <w:numFmt w:val="lowerRoman"/>
      <w:lvlText w:val="%6."/>
      <w:lvlJc w:val="right"/>
      <w:pPr>
        <w:ind w:left="4316" w:hanging="180"/>
      </w:pPr>
    </w:lvl>
    <w:lvl w:ilvl="6" w:tplc="0415000F" w:tentative="1">
      <w:start w:val="1"/>
      <w:numFmt w:val="decimal"/>
      <w:lvlText w:val="%7."/>
      <w:lvlJc w:val="left"/>
      <w:pPr>
        <w:ind w:left="5036" w:hanging="360"/>
      </w:pPr>
    </w:lvl>
    <w:lvl w:ilvl="7" w:tplc="04150019" w:tentative="1">
      <w:start w:val="1"/>
      <w:numFmt w:val="lowerLetter"/>
      <w:lvlText w:val="%8."/>
      <w:lvlJc w:val="left"/>
      <w:pPr>
        <w:ind w:left="5756" w:hanging="360"/>
      </w:pPr>
    </w:lvl>
    <w:lvl w:ilvl="8" w:tplc="0415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7" w15:restartNumberingAfterBreak="0">
    <w:nsid w:val="1C7D238E"/>
    <w:multiLevelType w:val="hybridMultilevel"/>
    <w:tmpl w:val="EBD4E13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1DD10A2C"/>
    <w:multiLevelType w:val="hybridMultilevel"/>
    <w:tmpl w:val="DBF4D9A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9536A7"/>
    <w:multiLevelType w:val="hybridMultilevel"/>
    <w:tmpl w:val="9104E0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50837"/>
    <w:multiLevelType w:val="multilevel"/>
    <w:tmpl w:val="88CC6AC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263C7F07"/>
    <w:multiLevelType w:val="hybridMultilevel"/>
    <w:tmpl w:val="EBF80F9A"/>
    <w:lvl w:ilvl="0" w:tplc="62443A26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F7E30"/>
    <w:multiLevelType w:val="hybridMultilevel"/>
    <w:tmpl w:val="DC94BD0E"/>
    <w:lvl w:ilvl="0" w:tplc="7D0A743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731F7"/>
    <w:multiLevelType w:val="hybridMultilevel"/>
    <w:tmpl w:val="21AE84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A287A"/>
    <w:multiLevelType w:val="hybridMultilevel"/>
    <w:tmpl w:val="0276EBB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D238C5"/>
    <w:multiLevelType w:val="hybridMultilevel"/>
    <w:tmpl w:val="43CE88D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465E6"/>
    <w:multiLevelType w:val="hybridMultilevel"/>
    <w:tmpl w:val="59EC0CB6"/>
    <w:lvl w:ilvl="0" w:tplc="26505470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A0619A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3E9B7496"/>
    <w:multiLevelType w:val="hybridMultilevel"/>
    <w:tmpl w:val="FABA4F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F5214"/>
    <w:multiLevelType w:val="hybridMultilevel"/>
    <w:tmpl w:val="FFB8C3A2"/>
    <w:lvl w:ilvl="0" w:tplc="21EEFA1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426A0C9B"/>
    <w:multiLevelType w:val="hybridMultilevel"/>
    <w:tmpl w:val="1FC4E788"/>
    <w:lvl w:ilvl="0" w:tplc="6BB0A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5440A7"/>
    <w:multiLevelType w:val="hybridMultilevel"/>
    <w:tmpl w:val="20526A14"/>
    <w:lvl w:ilvl="0" w:tplc="E18C765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4DC001EE"/>
    <w:multiLevelType w:val="multilevel"/>
    <w:tmpl w:val="8A7065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4F257F45"/>
    <w:multiLevelType w:val="hybridMultilevel"/>
    <w:tmpl w:val="00F63FD0"/>
    <w:lvl w:ilvl="0" w:tplc="C7CA22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D41FF7"/>
    <w:multiLevelType w:val="hybridMultilevel"/>
    <w:tmpl w:val="B8D65C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491A6A"/>
    <w:multiLevelType w:val="hybridMultilevel"/>
    <w:tmpl w:val="00F63FD0"/>
    <w:lvl w:ilvl="0" w:tplc="C7CA22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83E43"/>
    <w:multiLevelType w:val="hybridMultilevel"/>
    <w:tmpl w:val="FFB8C3A2"/>
    <w:lvl w:ilvl="0" w:tplc="21EEFA1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7" w15:restartNumberingAfterBreak="0">
    <w:nsid w:val="598F0A77"/>
    <w:multiLevelType w:val="hybridMultilevel"/>
    <w:tmpl w:val="F5B6FB22"/>
    <w:lvl w:ilvl="0" w:tplc="065E9A3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308DF"/>
    <w:multiLevelType w:val="hybridMultilevel"/>
    <w:tmpl w:val="0CD24D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87EA8"/>
    <w:multiLevelType w:val="hybridMultilevel"/>
    <w:tmpl w:val="699042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6B07D9"/>
    <w:multiLevelType w:val="hybridMultilevel"/>
    <w:tmpl w:val="0A0829A6"/>
    <w:lvl w:ilvl="0" w:tplc="69B4829C">
      <w:start w:val="1"/>
      <w:numFmt w:val="lowerLetter"/>
      <w:lvlText w:val="%1)"/>
      <w:lvlJc w:val="left"/>
      <w:pPr>
        <w:ind w:left="10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2" w:hanging="360"/>
      </w:pPr>
    </w:lvl>
    <w:lvl w:ilvl="2" w:tplc="0415001B" w:tentative="1">
      <w:start w:val="1"/>
      <w:numFmt w:val="lowerRoman"/>
      <w:lvlText w:val="%3."/>
      <w:lvlJc w:val="right"/>
      <w:pPr>
        <w:ind w:left="2502" w:hanging="180"/>
      </w:pPr>
    </w:lvl>
    <w:lvl w:ilvl="3" w:tplc="0415000F" w:tentative="1">
      <w:start w:val="1"/>
      <w:numFmt w:val="decimal"/>
      <w:lvlText w:val="%4."/>
      <w:lvlJc w:val="left"/>
      <w:pPr>
        <w:ind w:left="3222" w:hanging="360"/>
      </w:pPr>
    </w:lvl>
    <w:lvl w:ilvl="4" w:tplc="04150019" w:tentative="1">
      <w:start w:val="1"/>
      <w:numFmt w:val="lowerLetter"/>
      <w:lvlText w:val="%5."/>
      <w:lvlJc w:val="left"/>
      <w:pPr>
        <w:ind w:left="3942" w:hanging="360"/>
      </w:pPr>
    </w:lvl>
    <w:lvl w:ilvl="5" w:tplc="0415001B" w:tentative="1">
      <w:start w:val="1"/>
      <w:numFmt w:val="lowerRoman"/>
      <w:lvlText w:val="%6."/>
      <w:lvlJc w:val="right"/>
      <w:pPr>
        <w:ind w:left="4662" w:hanging="180"/>
      </w:pPr>
    </w:lvl>
    <w:lvl w:ilvl="6" w:tplc="0415000F" w:tentative="1">
      <w:start w:val="1"/>
      <w:numFmt w:val="decimal"/>
      <w:lvlText w:val="%7."/>
      <w:lvlJc w:val="left"/>
      <w:pPr>
        <w:ind w:left="5382" w:hanging="360"/>
      </w:pPr>
    </w:lvl>
    <w:lvl w:ilvl="7" w:tplc="04150019" w:tentative="1">
      <w:start w:val="1"/>
      <w:numFmt w:val="lowerLetter"/>
      <w:lvlText w:val="%8."/>
      <w:lvlJc w:val="left"/>
      <w:pPr>
        <w:ind w:left="6102" w:hanging="360"/>
      </w:pPr>
    </w:lvl>
    <w:lvl w:ilvl="8" w:tplc="0415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1" w15:restartNumberingAfterBreak="0">
    <w:nsid w:val="669C42AC"/>
    <w:multiLevelType w:val="hybridMultilevel"/>
    <w:tmpl w:val="E91A3856"/>
    <w:lvl w:ilvl="0" w:tplc="04150011">
      <w:start w:val="1"/>
      <w:numFmt w:val="decimal"/>
      <w:lvlText w:val="%1)"/>
      <w:lvlJc w:val="left"/>
      <w:pPr>
        <w:ind w:left="1352" w:hanging="360"/>
      </w:pPr>
    </w:lvl>
    <w:lvl w:ilvl="1" w:tplc="04150019">
      <w:start w:val="1"/>
      <w:numFmt w:val="lowerLetter"/>
      <w:lvlText w:val="%2."/>
      <w:lvlJc w:val="left"/>
      <w:pPr>
        <w:ind w:left="1478" w:hanging="360"/>
      </w:pPr>
    </w:lvl>
    <w:lvl w:ilvl="2" w:tplc="0415001B" w:tentative="1">
      <w:start w:val="1"/>
      <w:numFmt w:val="lowerRoman"/>
      <w:lvlText w:val="%3."/>
      <w:lvlJc w:val="right"/>
      <w:pPr>
        <w:ind w:left="2198" w:hanging="180"/>
      </w:pPr>
    </w:lvl>
    <w:lvl w:ilvl="3" w:tplc="0415000F" w:tentative="1">
      <w:start w:val="1"/>
      <w:numFmt w:val="decimal"/>
      <w:lvlText w:val="%4."/>
      <w:lvlJc w:val="left"/>
      <w:pPr>
        <w:ind w:left="2918" w:hanging="360"/>
      </w:pPr>
    </w:lvl>
    <w:lvl w:ilvl="4" w:tplc="04150019" w:tentative="1">
      <w:start w:val="1"/>
      <w:numFmt w:val="lowerLetter"/>
      <w:lvlText w:val="%5."/>
      <w:lvlJc w:val="left"/>
      <w:pPr>
        <w:ind w:left="3638" w:hanging="360"/>
      </w:pPr>
    </w:lvl>
    <w:lvl w:ilvl="5" w:tplc="0415001B" w:tentative="1">
      <w:start w:val="1"/>
      <w:numFmt w:val="lowerRoman"/>
      <w:lvlText w:val="%6."/>
      <w:lvlJc w:val="right"/>
      <w:pPr>
        <w:ind w:left="4358" w:hanging="180"/>
      </w:pPr>
    </w:lvl>
    <w:lvl w:ilvl="6" w:tplc="0415000F" w:tentative="1">
      <w:start w:val="1"/>
      <w:numFmt w:val="decimal"/>
      <w:lvlText w:val="%7."/>
      <w:lvlJc w:val="left"/>
      <w:pPr>
        <w:ind w:left="5078" w:hanging="360"/>
      </w:pPr>
    </w:lvl>
    <w:lvl w:ilvl="7" w:tplc="04150019" w:tentative="1">
      <w:start w:val="1"/>
      <w:numFmt w:val="lowerLetter"/>
      <w:lvlText w:val="%8."/>
      <w:lvlJc w:val="left"/>
      <w:pPr>
        <w:ind w:left="5798" w:hanging="360"/>
      </w:pPr>
    </w:lvl>
    <w:lvl w:ilvl="8" w:tplc="0415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2" w15:restartNumberingAfterBreak="0">
    <w:nsid w:val="74B052DB"/>
    <w:multiLevelType w:val="hybridMultilevel"/>
    <w:tmpl w:val="BB9CFF46"/>
    <w:lvl w:ilvl="0" w:tplc="62443A26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C6FA2"/>
    <w:multiLevelType w:val="hybridMultilevel"/>
    <w:tmpl w:val="F3CED486"/>
    <w:lvl w:ilvl="0" w:tplc="62443A26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73E9E"/>
    <w:multiLevelType w:val="hybridMultilevel"/>
    <w:tmpl w:val="0B0E9A9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80E73EA"/>
    <w:multiLevelType w:val="hybridMultilevel"/>
    <w:tmpl w:val="36581B06"/>
    <w:lvl w:ilvl="0" w:tplc="0F36E3E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007057418">
    <w:abstractNumId w:val="15"/>
  </w:num>
  <w:num w:numId="2" w16cid:durableId="539167752">
    <w:abstractNumId w:val="7"/>
  </w:num>
  <w:num w:numId="3" w16cid:durableId="1829514790">
    <w:abstractNumId w:val="3"/>
  </w:num>
  <w:num w:numId="4" w16cid:durableId="697124014">
    <w:abstractNumId w:val="24"/>
  </w:num>
  <w:num w:numId="5" w16cid:durableId="2011836428">
    <w:abstractNumId w:val="18"/>
  </w:num>
  <w:num w:numId="6" w16cid:durableId="1396317025">
    <w:abstractNumId w:val="41"/>
  </w:num>
  <w:num w:numId="7" w16cid:durableId="1069427842">
    <w:abstractNumId w:val="6"/>
  </w:num>
  <w:num w:numId="8" w16cid:durableId="501287407">
    <w:abstractNumId w:val="14"/>
  </w:num>
  <w:num w:numId="9" w16cid:durableId="1212496319">
    <w:abstractNumId w:val="13"/>
  </w:num>
  <w:num w:numId="10" w16cid:durableId="926958668">
    <w:abstractNumId w:val="12"/>
  </w:num>
  <w:num w:numId="11" w16cid:durableId="46295215">
    <w:abstractNumId w:val="37"/>
  </w:num>
  <w:num w:numId="12" w16cid:durableId="1707176752">
    <w:abstractNumId w:val="21"/>
  </w:num>
  <w:num w:numId="13" w16cid:durableId="641615702">
    <w:abstractNumId w:val="22"/>
  </w:num>
  <w:num w:numId="14" w16cid:durableId="555554501">
    <w:abstractNumId w:val="34"/>
  </w:num>
  <w:num w:numId="15" w16cid:durableId="1539314205">
    <w:abstractNumId w:val="43"/>
  </w:num>
  <w:num w:numId="16" w16cid:durableId="2081101583">
    <w:abstractNumId w:val="8"/>
  </w:num>
  <w:num w:numId="17" w16cid:durableId="1358655253">
    <w:abstractNumId w:val="42"/>
  </w:num>
  <w:num w:numId="18" w16cid:durableId="1709261798">
    <w:abstractNumId w:val="0"/>
  </w:num>
  <w:num w:numId="19" w16cid:durableId="1395161356">
    <w:abstractNumId w:val="38"/>
  </w:num>
  <w:num w:numId="20" w16cid:durableId="1315793440">
    <w:abstractNumId w:val="44"/>
  </w:num>
  <w:num w:numId="21" w16cid:durableId="1456750354">
    <w:abstractNumId w:val="4"/>
  </w:num>
  <w:num w:numId="22" w16cid:durableId="540827965">
    <w:abstractNumId w:val="17"/>
  </w:num>
  <w:num w:numId="23" w16cid:durableId="1049260628">
    <w:abstractNumId w:val="5"/>
  </w:num>
  <w:num w:numId="24" w16cid:durableId="856847404">
    <w:abstractNumId w:val="19"/>
  </w:num>
  <w:num w:numId="25" w16cid:durableId="1734542434">
    <w:abstractNumId w:val="28"/>
  </w:num>
  <w:num w:numId="26" w16cid:durableId="1526093906">
    <w:abstractNumId w:val="23"/>
  </w:num>
  <w:num w:numId="27" w16cid:durableId="842551765">
    <w:abstractNumId w:val="10"/>
  </w:num>
  <w:num w:numId="28" w16cid:durableId="1674184224">
    <w:abstractNumId w:val="2"/>
  </w:num>
  <w:num w:numId="29" w16cid:durableId="1943174622">
    <w:abstractNumId w:val="9"/>
  </w:num>
  <w:num w:numId="30" w16cid:durableId="391541058">
    <w:abstractNumId w:val="25"/>
  </w:num>
  <w:num w:numId="31" w16cid:durableId="191310882">
    <w:abstractNumId w:val="31"/>
  </w:num>
  <w:num w:numId="32" w16cid:durableId="757752118">
    <w:abstractNumId w:val="1"/>
  </w:num>
  <w:num w:numId="33" w16cid:durableId="2134201993">
    <w:abstractNumId w:val="26"/>
  </w:num>
  <w:num w:numId="34" w16cid:durableId="164248017">
    <w:abstractNumId w:val="35"/>
  </w:num>
  <w:num w:numId="35" w16cid:durableId="1783694169">
    <w:abstractNumId w:val="45"/>
  </w:num>
  <w:num w:numId="36" w16cid:durableId="536698638">
    <w:abstractNumId w:val="29"/>
  </w:num>
  <w:num w:numId="37" w16cid:durableId="845898373">
    <w:abstractNumId w:val="40"/>
  </w:num>
  <w:num w:numId="38" w16cid:durableId="553502">
    <w:abstractNumId w:val="30"/>
  </w:num>
  <w:num w:numId="39" w16cid:durableId="1245840027">
    <w:abstractNumId w:val="33"/>
  </w:num>
  <w:num w:numId="40" w16cid:durableId="72436065">
    <w:abstractNumId w:val="36"/>
  </w:num>
  <w:num w:numId="41" w16cid:durableId="1448157751">
    <w:abstractNumId w:val="32"/>
  </w:num>
  <w:num w:numId="42" w16cid:durableId="445348892">
    <w:abstractNumId w:val="16"/>
  </w:num>
  <w:num w:numId="43" w16cid:durableId="1841696006">
    <w:abstractNumId w:val="39"/>
  </w:num>
  <w:num w:numId="44" w16cid:durableId="528951798">
    <w:abstractNumId w:val="20"/>
  </w:num>
  <w:num w:numId="45" w16cid:durableId="1516460946">
    <w:abstractNumId w:val="27"/>
  </w:num>
  <w:num w:numId="46" w16cid:durableId="1167209627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A12"/>
    <w:rsid w:val="00000643"/>
    <w:rsid w:val="00003256"/>
    <w:rsid w:val="00006FD8"/>
    <w:rsid w:val="0001712C"/>
    <w:rsid w:val="00046335"/>
    <w:rsid w:val="0005344F"/>
    <w:rsid w:val="00071395"/>
    <w:rsid w:val="00081D5A"/>
    <w:rsid w:val="000869B0"/>
    <w:rsid w:val="00094467"/>
    <w:rsid w:val="000A0490"/>
    <w:rsid w:val="000B2708"/>
    <w:rsid w:val="000E1CAB"/>
    <w:rsid w:val="000F2BDF"/>
    <w:rsid w:val="000F4C3E"/>
    <w:rsid w:val="000F5F7F"/>
    <w:rsid w:val="000F750B"/>
    <w:rsid w:val="00100A37"/>
    <w:rsid w:val="001106CF"/>
    <w:rsid w:val="00115BE7"/>
    <w:rsid w:val="00134A21"/>
    <w:rsid w:val="001357D6"/>
    <w:rsid w:val="001400C6"/>
    <w:rsid w:val="001415E6"/>
    <w:rsid w:val="001509B8"/>
    <w:rsid w:val="0015222E"/>
    <w:rsid w:val="00162598"/>
    <w:rsid w:val="00164257"/>
    <w:rsid w:val="001A6039"/>
    <w:rsid w:val="001A6A05"/>
    <w:rsid w:val="001B43E5"/>
    <w:rsid w:val="001B566C"/>
    <w:rsid w:val="001C11E4"/>
    <w:rsid w:val="001C243F"/>
    <w:rsid w:val="001C30F5"/>
    <w:rsid w:val="001E2E25"/>
    <w:rsid w:val="001F73BF"/>
    <w:rsid w:val="00201A12"/>
    <w:rsid w:val="0020287F"/>
    <w:rsid w:val="00254A40"/>
    <w:rsid w:val="00266598"/>
    <w:rsid w:val="002818A3"/>
    <w:rsid w:val="002A2D05"/>
    <w:rsid w:val="002A349D"/>
    <w:rsid w:val="002A3B55"/>
    <w:rsid w:val="002A659C"/>
    <w:rsid w:val="002A7E67"/>
    <w:rsid w:val="002B6B12"/>
    <w:rsid w:val="002C4E34"/>
    <w:rsid w:val="002C79A9"/>
    <w:rsid w:val="002F22F5"/>
    <w:rsid w:val="0031597D"/>
    <w:rsid w:val="00322C3F"/>
    <w:rsid w:val="003230F4"/>
    <w:rsid w:val="003242DB"/>
    <w:rsid w:val="00334B3A"/>
    <w:rsid w:val="00342604"/>
    <w:rsid w:val="003558AD"/>
    <w:rsid w:val="00367D6B"/>
    <w:rsid w:val="0037036E"/>
    <w:rsid w:val="0038490E"/>
    <w:rsid w:val="003926D5"/>
    <w:rsid w:val="003A1059"/>
    <w:rsid w:val="003A4FF2"/>
    <w:rsid w:val="003E561E"/>
    <w:rsid w:val="00404D79"/>
    <w:rsid w:val="00407D55"/>
    <w:rsid w:val="00411732"/>
    <w:rsid w:val="00422421"/>
    <w:rsid w:val="004226D9"/>
    <w:rsid w:val="00430939"/>
    <w:rsid w:val="0043324A"/>
    <w:rsid w:val="00434D4C"/>
    <w:rsid w:val="0046790F"/>
    <w:rsid w:val="004B77C9"/>
    <w:rsid w:val="004C182B"/>
    <w:rsid w:val="004E2D35"/>
    <w:rsid w:val="004F0615"/>
    <w:rsid w:val="004F1712"/>
    <w:rsid w:val="004F72E8"/>
    <w:rsid w:val="00503320"/>
    <w:rsid w:val="00513883"/>
    <w:rsid w:val="00513B65"/>
    <w:rsid w:val="0051513C"/>
    <w:rsid w:val="005158AB"/>
    <w:rsid w:val="00517F20"/>
    <w:rsid w:val="00521693"/>
    <w:rsid w:val="005257D7"/>
    <w:rsid w:val="00533D8A"/>
    <w:rsid w:val="00537457"/>
    <w:rsid w:val="00541ED6"/>
    <w:rsid w:val="005525E9"/>
    <w:rsid w:val="0058394C"/>
    <w:rsid w:val="0059283F"/>
    <w:rsid w:val="005974CD"/>
    <w:rsid w:val="00597BE8"/>
    <w:rsid w:val="005A3B5B"/>
    <w:rsid w:val="005C04F5"/>
    <w:rsid w:val="005C4C92"/>
    <w:rsid w:val="005C7F87"/>
    <w:rsid w:val="005E1548"/>
    <w:rsid w:val="005E574F"/>
    <w:rsid w:val="005E7ED2"/>
    <w:rsid w:val="005F6058"/>
    <w:rsid w:val="005F7521"/>
    <w:rsid w:val="005F7AF1"/>
    <w:rsid w:val="00612C4F"/>
    <w:rsid w:val="00622253"/>
    <w:rsid w:val="006314D9"/>
    <w:rsid w:val="00631AD7"/>
    <w:rsid w:val="00634ABA"/>
    <w:rsid w:val="00635EB7"/>
    <w:rsid w:val="00651E1D"/>
    <w:rsid w:val="0065225A"/>
    <w:rsid w:val="00656255"/>
    <w:rsid w:val="0066127E"/>
    <w:rsid w:val="00675622"/>
    <w:rsid w:val="006768D6"/>
    <w:rsid w:val="00677DDF"/>
    <w:rsid w:val="006A77AA"/>
    <w:rsid w:val="006B3145"/>
    <w:rsid w:val="006B6526"/>
    <w:rsid w:val="006C017E"/>
    <w:rsid w:val="006C1B22"/>
    <w:rsid w:val="006C32EE"/>
    <w:rsid w:val="006C4D75"/>
    <w:rsid w:val="006E40EB"/>
    <w:rsid w:val="00706419"/>
    <w:rsid w:val="00717EF9"/>
    <w:rsid w:val="00725F8A"/>
    <w:rsid w:val="00765D79"/>
    <w:rsid w:val="00777BFC"/>
    <w:rsid w:val="007A4DD8"/>
    <w:rsid w:val="007C53C5"/>
    <w:rsid w:val="007C6CDF"/>
    <w:rsid w:val="007D1A59"/>
    <w:rsid w:val="007D36EF"/>
    <w:rsid w:val="007D53EB"/>
    <w:rsid w:val="007D7064"/>
    <w:rsid w:val="007D75E6"/>
    <w:rsid w:val="007E3553"/>
    <w:rsid w:val="007F41CA"/>
    <w:rsid w:val="007F6CD4"/>
    <w:rsid w:val="0083165D"/>
    <w:rsid w:val="008507A3"/>
    <w:rsid w:val="00865166"/>
    <w:rsid w:val="00866296"/>
    <w:rsid w:val="00866BBD"/>
    <w:rsid w:val="008721CB"/>
    <w:rsid w:val="00875809"/>
    <w:rsid w:val="008A229F"/>
    <w:rsid w:val="008C520F"/>
    <w:rsid w:val="008C54D4"/>
    <w:rsid w:val="008D057B"/>
    <w:rsid w:val="008D289E"/>
    <w:rsid w:val="008E20DF"/>
    <w:rsid w:val="008E4D12"/>
    <w:rsid w:val="008F7921"/>
    <w:rsid w:val="009023E7"/>
    <w:rsid w:val="00904799"/>
    <w:rsid w:val="00907303"/>
    <w:rsid w:val="009111DC"/>
    <w:rsid w:val="00913AAA"/>
    <w:rsid w:val="009174F7"/>
    <w:rsid w:val="00922889"/>
    <w:rsid w:val="00927FEA"/>
    <w:rsid w:val="009438AD"/>
    <w:rsid w:val="00956373"/>
    <w:rsid w:val="00964651"/>
    <w:rsid w:val="00991CD0"/>
    <w:rsid w:val="009A6AC5"/>
    <w:rsid w:val="009B78BE"/>
    <w:rsid w:val="009D6876"/>
    <w:rsid w:val="009D7505"/>
    <w:rsid w:val="009E2C03"/>
    <w:rsid w:val="009E3430"/>
    <w:rsid w:val="009E5506"/>
    <w:rsid w:val="009E5EE3"/>
    <w:rsid w:val="009E6D50"/>
    <w:rsid w:val="00A0009F"/>
    <w:rsid w:val="00A046A3"/>
    <w:rsid w:val="00A056F5"/>
    <w:rsid w:val="00A077DB"/>
    <w:rsid w:val="00A162C8"/>
    <w:rsid w:val="00A2008E"/>
    <w:rsid w:val="00A218A4"/>
    <w:rsid w:val="00A30436"/>
    <w:rsid w:val="00A44B14"/>
    <w:rsid w:val="00A5102F"/>
    <w:rsid w:val="00A86969"/>
    <w:rsid w:val="00A94DF9"/>
    <w:rsid w:val="00A96385"/>
    <w:rsid w:val="00AB57BB"/>
    <w:rsid w:val="00AC66D4"/>
    <w:rsid w:val="00AD2D70"/>
    <w:rsid w:val="00AF71C9"/>
    <w:rsid w:val="00B16979"/>
    <w:rsid w:val="00B2319A"/>
    <w:rsid w:val="00B32907"/>
    <w:rsid w:val="00B36FAE"/>
    <w:rsid w:val="00B46254"/>
    <w:rsid w:val="00B51C4B"/>
    <w:rsid w:val="00B541CE"/>
    <w:rsid w:val="00B56015"/>
    <w:rsid w:val="00B57A19"/>
    <w:rsid w:val="00B718B0"/>
    <w:rsid w:val="00B92D8E"/>
    <w:rsid w:val="00B9696C"/>
    <w:rsid w:val="00BA2816"/>
    <w:rsid w:val="00BA3598"/>
    <w:rsid w:val="00BB49F8"/>
    <w:rsid w:val="00BD6799"/>
    <w:rsid w:val="00BE5A22"/>
    <w:rsid w:val="00BE73C3"/>
    <w:rsid w:val="00BF2A36"/>
    <w:rsid w:val="00C02385"/>
    <w:rsid w:val="00C04A5E"/>
    <w:rsid w:val="00C252D8"/>
    <w:rsid w:val="00C27AD7"/>
    <w:rsid w:val="00C347DC"/>
    <w:rsid w:val="00C3573A"/>
    <w:rsid w:val="00C51E26"/>
    <w:rsid w:val="00C52F67"/>
    <w:rsid w:val="00C54EC7"/>
    <w:rsid w:val="00C725CD"/>
    <w:rsid w:val="00C87E8E"/>
    <w:rsid w:val="00CA1185"/>
    <w:rsid w:val="00CA3704"/>
    <w:rsid w:val="00CA500C"/>
    <w:rsid w:val="00CC1C5D"/>
    <w:rsid w:val="00CD1513"/>
    <w:rsid w:val="00CD7C22"/>
    <w:rsid w:val="00CF44A2"/>
    <w:rsid w:val="00CF4575"/>
    <w:rsid w:val="00D05FA6"/>
    <w:rsid w:val="00D20D07"/>
    <w:rsid w:val="00D24207"/>
    <w:rsid w:val="00D25756"/>
    <w:rsid w:val="00D25BF6"/>
    <w:rsid w:val="00D303C1"/>
    <w:rsid w:val="00D470B3"/>
    <w:rsid w:val="00D544CD"/>
    <w:rsid w:val="00D61FC0"/>
    <w:rsid w:val="00D74224"/>
    <w:rsid w:val="00D85ABB"/>
    <w:rsid w:val="00DB27D4"/>
    <w:rsid w:val="00DE248E"/>
    <w:rsid w:val="00DE379D"/>
    <w:rsid w:val="00DF3792"/>
    <w:rsid w:val="00DF775E"/>
    <w:rsid w:val="00E07A51"/>
    <w:rsid w:val="00E13A86"/>
    <w:rsid w:val="00E37852"/>
    <w:rsid w:val="00E51524"/>
    <w:rsid w:val="00E62CB6"/>
    <w:rsid w:val="00E82BFD"/>
    <w:rsid w:val="00E91E36"/>
    <w:rsid w:val="00E934C6"/>
    <w:rsid w:val="00EA5960"/>
    <w:rsid w:val="00EB47D0"/>
    <w:rsid w:val="00EC7808"/>
    <w:rsid w:val="00ED76A6"/>
    <w:rsid w:val="00EF24BE"/>
    <w:rsid w:val="00EF42DF"/>
    <w:rsid w:val="00F03C0B"/>
    <w:rsid w:val="00F12A78"/>
    <w:rsid w:val="00F20DED"/>
    <w:rsid w:val="00F33D9B"/>
    <w:rsid w:val="00F40101"/>
    <w:rsid w:val="00F47305"/>
    <w:rsid w:val="00F51865"/>
    <w:rsid w:val="00F55B4D"/>
    <w:rsid w:val="00F56F21"/>
    <w:rsid w:val="00F61817"/>
    <w:rsid w:val="00F6279E"/>
    <w:rsid w:val="00F65BAB"/>
    <w:rsid w:val="00F96A16"/>
    <w:rsid w:val="00F96DC7"/>
    <w:rsid w:val="00FB07B8"/>
    <w:rsid w:val="00FB4C7B"/>
    <w:rsid w:val="00FB60BE"/>
    <w:rsid w:val="00FC529D"/>
    <w:rsid w:val="00FD2978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676464"/>
  <w15:docId w15:val="{0C502647-A2A0-4D7D-A963-E8431C2C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652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0869B0"/>
    <w:rPr>
      <w:rFonts w:cs="Times New Roman"/>
      <w:color w:val="0000FF"/>
      <w:u w:val="single"/>
    </w:rPr>
  </w:style>
  <w:style w:type="paragraph" w:customStyle="1" w:styleId="Style1">
    <w:name w:val="Style1"/>
    <w:basedOn w:val="Normalny"/>
    <w:uiPriority w:val="99"/>
    <w:rsid w:val="006B6526"/>
    <w:pPr>
      <w:jc w:val="both"/>
    </w:pPr>
  </w:style>
  <w:style w:type="paragraph" w:customStyle="1" w:styleId="Style2">
    <w:name w:val="Style2"/>
    <w:basedOn w:val="Normalny"/>
    <w:uiPriority w:val="99"/>
    <w:rsid w:val="006B6526"/>
    <w:pPr>
      <w:spacing w:line="331" w:lineRule="exact"/>
      <w:jc w:val="both"/>
    </w:pPr>
  </w:style>
  <w:style w:type="paragraph" w:customStyle="1" w:styleId="Style4">
    <w:name w:val="Style4"/>
    <w:basedOn w:val="Normalny"/>
    <w:uiPriority w:val="99"/>
    <w:rsid w:val="006B6526"/>
    <w:pPr>
      <w:spacing w:line="266" w:lineRule="exact"/>
      <w:ind w:hanging="367"/>
    </w:pPr>
  </w:style>
  <w:style w:type="paragraph" w:customStyle="1" w:styleId="Style5">
    <w:name w:val="Style5"/>
    <w:basedOn w:val="Normalny"/>
    <w:uiPriority w:val="99"/>
    <w:rsid w:val="006B6526"/>
    <w:pPr>
      <w:spacing w:line="266" w:lineRule="exact"/>
    </w:pPr>
  </w:style>
  <w:style w:type="paragraph" w:customStyle="1" w:styleId="Style6">
    <w:name w:val="Style6"/>
    <w:basedOn w:val="Normalny"/>
    <w:uiPriority w:val="99"/>
    <w:rsid w:val="006B6526"/>
    <w:pPr>
      <w:spacing w:line="259" w:lineRule="exact"/>
      <w:ind w:hanging="353"/>
    </w:pPr>
  </w:style>
  <w:style w:type="paragraph" w:customStyle="1" w:styleId="Style7">
    <w:name w:val="Style7"/>
    <w:basedOn w:val="Normalny"/>
    <w:uiPriority w:val="99"/>
    <w:rsid w:val="006B6526"/>
    <w:pPr>
      <w:spacing w:line="266" w:lineRule="exact"/>
    </w:pPr>
  </w:style>
  <w:style w:type="character" w:customStyle="1" w:styleId="FontStyle19">
    <w:name w:val="Font Style19"/>
    <w:basedOn w:val="Domylnaczcionkaakapitu"/>
    <w:uiPriority w:val="99"/>
    <w:rsid w:val="006B6526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0">
    <w:name w:val="Font Style20"/>
    <w:basedOn w:val="Domylnaczcionkaakapitu"/>
    <w:uiPriority w:val="99"/>
    <w:rsid w:val="006B6526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1">
    <w:name w:val="Font Style21"/>
    <w:basedOn w:val="Domylnaczcionkaakapitu"/>
    <w:uiPriority w:val="99"/>
    <w:rsid w:val="006B6526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2">
    <w:name w:val="Font Style22"/>
    <w:basedOn w:val="Domylnaczcionkaakapitu"/>
    <w:uiPriority w:val="99"/>
    <w:rsid w:val="006B6526"/>
    <w:rPr>
      <w:rFonts w:ascii="Times New Roman" w:hAnsi="Times New Roman" w:cs="Times New Roman"/>
      <w:color w:val="000000"/>
      <w:sz w:val="18"/>
      <w:szCs w:val="18"/>
    </w:rPr>
  </w:style>
  <w:style w:type="paragraph" w:styleId="Nagwek">
    <w:name w:val="header"/>
    <w:basedOn w:val="Normalny"/>
    <w:link w:val="NagwekZnak"/>
    <w:uiPriority w:val="99"/>
    <w:rsid w:val="00913A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913AAA"/>
    <w:rPr>
      <w:rFonts w:ascii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913AA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913AAA"/>
    <w:rPr>
      <w:rFonts w:ascii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4B1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B14"/>
    <w:rPr>
      <w:rFonts w:ascii="Segoe UI" w:eastAsia="Times New Roman" w:hAnsi="Segoe UI" w:cs="Segoe UI"/>
      <w:sz w:val="18"/>
      <w:szCs w:val="18"/>
    </w:rPr>
  </w:style>
  <w:style w:type="paragraph" w:styleId="Akapitzlist">
    <w:name w:val="List Paragraph"/>
    <w:basedOn w:val="Normalny"/>
    <w:uiPriority w:val="99"/>
    <w:qFormat/>
    <w:rsid w:val="004226D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7A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27AD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27AD7"/>
    <w:rPr>
      <w:rFonts w:ascii="Times New Roman" w:eastAsia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7A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7AD7"/>
    <w:rPr>
      <w:rFonts w:ascii="Times New Roman" w:eastAsia="Times New Roman" w:hAnsi="Times New Roman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422421"/>
    <w:rPr>
      <w:rFonts w:ascii="Times New Roman" w:eastAsia="Times New Roman" w:hAnsi="Times New Roman"/>
      <w:sz w:val="24"/>
      <w:szCs w:val="24"/>
    </w:rPr>
  </w:style>
  <w:style w:type="character" w:customStyle="1" w:styleId="ui-provider">
    <w:name w:val="ui-provider"/>
    <w:basedOn w:val="Domylnaczcionkaakapitu"/>
    <w:rsid w:val="00B5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FCE4A-44B9-43D9-B19C-D90BC34C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962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Gilead Sciences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Mierzejewski</dc:creator>
  <cp:lastModifiedBy>Wilk Justyna</cp:lastModifiedBy>
  <cp:revision>4</cp:revision>
  <cp:lastPrinted>2018-07-16T11:55:00Z</cp:lastPrinted>
  <dcterms:created xsi:type="dcterms:W3CDTF">2025-03-05T07:59:00Z</dcterms:created>
  <dcterms:modified xsi:type="dcterms:W3CDTF">2025-03-05T11:41:00Z</dcterms:modified>
</cp:coreProperties>
</file>