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C2C" w14:textId="4E3247C4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4320">
        <w:rPr>
          <w:rFonts w:ascii="Times New Roman" w:eastAsia="Times New Roman" w:hAnsi="Times New Roman" w:cs="Times New Roman"/>
          <w:lang w:eastAsia="pl-PL"/>
        </w:rPr>
        <w:t>Załącznik</w:t>
      </w:r>
      <w:r w:rsidR="00C705DC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lang w:eastAsia="pl-PL"/>
        </w:rPr>
        <w:t>B.</w:t>
      </w:r>
      <w:r w:rsidR="00E20DDD">
        <w:rPr>
          <w:rFonts w:ascii="Times New Roman" w:eastAsia="Times New Roman" w:hAnsi="Times New Roman" w:cs="Times New Roman"/>
          <w:lang w:eastAsia="pl-PL"/>
        </w:rPr>
        <w:t>79</w:t>
      </w:r>
      <w:r w:rsidR="00FC5BF5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259A4BF3" w:rsidR="0094142F" w:rsidRPr="00284320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76996" w:rsidRPr="0067699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PRZEWLEKŁĄ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76996" w:rsidRPr="0067699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BIAŁACZKĘ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76996" w:rsidRPr="0067699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LIMFOCYTOWĄ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76996" w:rsidRPr="0067699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C705DC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676996" w:rsidRPr="0067699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C91.1)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2"/>
      </w:tblGrid>
      <w:tr w:rsidR="009C2DB3" w:rsidRPr="00284320" w14:paraId="6FC2E653" w14:textId="77777777" w:rsidTr="00A46543">
        <w:trPr>
          <w:trHeight w:val="567"/>
        </w:trPr>
        <w:tc>
          <w:tcPr>
            <w:tcW w:w="15388" w:type="dxa"/>
            <w:gridSpan w:val="3"/>
            <w:vAlign w:val="center"/>
          </w:tcPr>
          <w:p w14:paraId="1FC1FAE5" w14:textId="6F0989BA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84320" w14:paraId="4D3A9B77" w14:textId="77777777" w:rsidTr="00C705DC">
        <w:trPr>
          <w:trHeight w:val="567"/>
        </w:trPr>
        <w:tc>
          <w:tcPr>
            <w:tcW w:w="5665" w:type="dxa"/>
            <w:vAlign w:val="center"/>
          </w:tcPr>
          <w:p w14:paraId="230AF4C4" w14:textId="77777777" w:rsidR="009C2DB3" w:rsidRPr="00284320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765CCB5B" w14:textId="6114BA77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12" w:type="dxa"/>
            <w:vAlign w:val="center"/>
          </w:tcPr>
          <w:p w14:paraId="60F25F30" w14:textId="4FC16178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284320" w14:paraId="407F48B7" w14:textId="77777777" w:rsidTr="00C705DC">
        <w:trPr>
          <w:trHeight w:val="20"/>
        </w:trPr>
        <w:tc>
          <w:tcPr>
            <w:tcW w:w="5665" w:type="dxa"/>
          </w:tcPr>
          <w:p w14:paraId="4A1D4B05" w14:textId="0A9B773A" w:rsidR="00676996" w:rsidRPr="00FA6436" w:rsidRDefault="00676996" w:rsidP="00301463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lekowego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chorym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przewlekłą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białaczkę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limfocytową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udostępnia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się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poniższe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terapie,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pierwszej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92B69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kolejnych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liniach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leczenia,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zgodnie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ze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wskazanymi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opisie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programu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warunkami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kryteriami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60D3D103" w14:textId="54CA8820" w:rsidR="00676996" w:rsidRPr="00FA6436" w:rsidRDefault="00676996" w:rsidP="00301463">
            <w:pPr>
              <w:pStyle w:val="Akapitzlist"/>
              <w:numPr>
                <w:ilvl w:val="3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C2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leczenia:</w:t>
            </w:r>
          </w:p>
          <w:p w14:paraId="473BD2D7" w14:textId="36E8B356" w:rsidR="003A3198" w:rsidRPr="00FA6436" w:rsidRDefault="00676996" w:rsidP="00301463">
            <w:pPr>
              <w:pStyle w:val="Akapitzlist"/>
              <w:numPr>
                <w:ilvl w:val="4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delecją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mutacją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niezmutowanym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statusem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IgHV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:</w:t>
            </w:r>
          </w:p>
          <w:p w14:paraId="0738BCC6" w14:textId="1319132F" w:rsidR="0005531F" w:rsidRPr="00870B34" w:rsidRDefault="00676996" w:rsidP="00870B34">
            <w:pPr>
              <w:pStyle w:val="Akapitzlist"/>
              <w:numPr>
                <w:ilvl w:val="5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C81D3A" w:rsidRPr="00870B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;</w:t>
            </w:r>
          </w:p>
          <w:p w14:paraId="7A0C5338" w14:textId="124610C7" w:rsidR="003A3198" w:rsidRPr="00FA6436" w:rsidRDefault="00676996" w:rsidP="00301463">
            <w:pPr>
              <w:pStyle w:val="Akapitzlist"/>
              <w:numPr>
                <w:ilvl w:val="4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względu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):</w:t>
            </w:r>
          </w:p>
          <w:p w14:paraId="6E2848F9" w14:textId="769E060B" w:rsidR="006477AD" w:rsidRPr="006477AD" w:rsidRDefault="006477AD" w:rsidP="00301463">
            <w:pPr>
              <w:pStyle w:val="Akapitzlist"/>
              <w:numPr>
                <w:ilvl w:val="5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akalabrutynib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19CABE2A" w14:textId="35C5754F" w:rsidR="006477AD" w:rsidRPr="006477AD" w:rsidRDefault="006477AD" w:rsidP="00FD54D1">
            <w:pPr>
              <w:ind w:left="68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258F20E6" w14:textId="0849FF10" w:rsidR="00676996" w:rsidRPr="00FA6436" w:rsidRDefault="00676996" w:rsidP="00301463">
            <w:pPr>
              <w:pStyle w:val="Akapitzlist"/>
              <w:numPr>
                <w:ilvl w:val="5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chlorambucylem</w:t>
            </w:r>
            <w:proofErr w:type="spellEnd"/>
          </w:p>
          <w:p w14:paraId="7EEDE507" w14:textId="72C99E3C" w:rsidR="00676996" w:rsidRPr="00FA6436" w:rsidRDefault="00C81D3A" w:rsidP="00301463">
            <w:pPr>
              <w:pStyle w:val="Akapitzlist"/>
              <w:autoSpaceDE w:val="0"/>
              <w:autoSpaceDN w:val="0"/>
              <w:adjustRightInd w:val="0"/>
              <w:ind w:left="6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3A3198"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lbo</w:t>
            </w:r>
          </w:p>
          <w:p w14:paraId="077836B5" w14:textId="7F9BC0F4" w:rsidR="00676996" w:rsidRPr="00FA6436" w:rsidRDefault="00676996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obinutuzumabem</w:t>
            </w:r>
            <w:proofErr w:type="spellEnd"/>
          </w:p>
          <w:p w14:paraId="1E25E6E9" w14:textId="70BA023A" w:rsidR="00801553" w:rsidRPr="00FA6436" w:rsidRDefault="00801553" w:rsidP="00301463">
            <w:pPr>
              <w:pStyle w:val="Akapitzlist"/>
              <w:autoSpaceDE w:val="0"/>
              <w:autoSpaceDN w:val="0"/>
              <w:adjustRightInd w:val="0"/>
              <w:ind w:left="68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303D8349" w14:textId="15465544" w:rsidR="00801553" w:rsidRPr="00AC2CF3" w:rsidRDefault="00801553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zanubrutynib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729687B6" w14:textId="18C7A94F" w:rsidR="00AC2CF3" w:rsidRPr="00AC2CF3" w:rsidRDefault="00AC2CF3" w:rsidP="00301463">
            <w:pPr>
              <w:autoSpaceDE w:val="0"/>
              <w:autoSpaceDN w:val="0"/>
              <w:adjustRightInd w:val="0"/>
              <w:ind w:left="68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0DA67C6E" w14:textId="09B9B5B1" w:rsidR="00AC2CF3" w:rsidRPr="006477AD" w:rsidRDefault="00AC2CF3" w:rsidP="006477AD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ibrutynib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wenetoklaksem</w:t>
            </w:r>
            <w:proofErr w:type="spellEnd"/>
            <w:r w:rsidR="00EB5B68" w:rsidRPr="006477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;</w:t>
            </w:r>
          </w:p>
          <w:p w14:paraId="477C08FD" w14:textId="143760D2" w:rsidR="00676996" w:rsidRPr="00FA6436" w:rsidRDefault="00676996" w:rsidP="00301463">
            <w:pPr>
              <w:pStyle w:val="Akapitzlist"/>
              <w:numPr>
                <w:ilvl w:val="3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C2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667ED8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kolejnych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liniach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leczenia:</w:t>
            </w:r>
          </w:p>
          <w:p w14:paraId="5D18230C" w14:textId="11505181" w:rsidR="00676996" w:rsidRPr="00FA6436" w:rsidRDefault="00676996" w:rsidP="00301463">
            <w:pPr>
              <w:pStyle w:val="Akapitzlist"/>
              <w:numPr>
                <w:ilvl w:val="4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pacjentom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delecją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mutacją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):</w:t>
            </w:r>
          </w:p>
          <w:p w14:paraId="64136B96" w14:textId="50C14CD5" w:rsidR="00E52DEA" w:rsidRPr="00FA6436" w:rsidRDefault="00CE5F87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rytuksymabem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64C802E0" w14:textId="6B903D36" w:rsidR="00CE5F87" w:rsidRPr="00FA6436" w:rsidRDefault="0035672C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741373"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70AF8C6A" w14:textId="0687098D" w:rsidR="0067254F" w:rsidRPr="00FA6436" w:rsidRDefault="00741373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akalabrutynib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67254F"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DF3CC26" w14:textId="5EB0CB4E" w:rsidR="00676996" w:rsidRPr="00FA6436" w:rsidRDefault="00676996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801553"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2B9AE5D3" w14:textId="3D16A6B1" w:rsidR="00801553" w:rsidRPr="00FA6436" w:rsidRDefault="00801553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zanubrutynib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;</w:t>
            </w:r>
          </w:p>
          <w:p w14:paraId="7CEBA924" w14:textId="1308F1CB" w:rsidR="00676996" w:rsidRPr="00FA6436" w:rsidRDefault="00676996" w:rsidP="00301463">
            <w:pPr>
              <w:pStyle w:val="Akapitzlist"/>
              <w:numPr>
                <w:ilvl w:val="4"/>
                <w:numId w:val="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):</w:t>
            </w:r>
          </w:p>
          <w:p w14:paraId="57052212" w14:textId="28438DD6" w:rsidR="0035672C" w:rsidRPr="00FA6436" w:rsidRDefault="0035672C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rytuksymabem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503B4463" w14:textId="50228B19" w:rsidR="00676996" w:rsidRPr="00FA6436" w:rsidRDefault="00676996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0CBB6DB3" w14:textId="269ED279" w:rsidR="00676996" w:rsidRPr="00FA6436" w:rsidRDefault="00676996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akalabrutynib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801553"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419AB2EC" w14:textId="4C99B7C6" w:rsidR="00801553" w:rsidRPr="00FA6436" w:rsidRDefault="00801553" w:rsidP="00301463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zanubrutynib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.</w:t>
            </w:r>
          </w:p>
          <w:p w14:paraId="46670DAB" w14:textId="77777777" w:rsidR="006C0C20" w:rsidRPr="00FA6436" w:rsidRDefault="006C0C20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7326573C" w:rsidR="001B2161" w:rsidRPr="00FA6436" w:rsidRDefault="00CC1C62" w:rsidP="00301463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12BC6B90" w:rsidR="00105681" w:rsidRPr="00FA6436" w:rsidRDefault="00890119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(1.2.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1.3.</w:t>
            </w:r>
            <w:r w:rsidR="00B7400E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19955CDF" w14:textId="462D7545" w:rsidR="001D15F3" w:rsidRPr="00FA6436" w:rsidRDefault="00481ACF" w:rsidP="00301463">
            <w:pPr>
              <w:pStyle w:val="Akapitzlist"/>
              <w:numPr>
                <w:ilvl w:val="1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56CEB38B" w14:textId="60DF36AA" w:rsidR="009E7222" w:rsidRPr="00FA6436" w:rsidRDefault="009E7222" w:rsidP="00301463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powyżej;</w:t>
            </w:r>
          </w:p>
          <w:p w14:paraId="1F221D36" w14:textId="45888595" w:rsidR="00AE555D" w:rsidRPr="00FA6436" w:rsidRDefault="00AE555D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A25" w:rsidRPr="00FA6436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A25" w:rsidRPr="00FA643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A25" w:rsidRPr="00FA6436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A25" w:rsidRPr="00FA6436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B8D7FA" w14:textId="0115FAFE" w:rsidR="005E4D46" w:rsidRPr="00FA6436" w:rsidRDefault="005E4D46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limfocytowej</w:t>
            </w:r>
            <w:r w:rsidR="00E20DDD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D385BF" w14:textId="085A28C2" w:rsidR="0001368F" w:rsidRPr="00C705DC" w:rsidRDefault="0001368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obecność</w:t>
            </w:r>
            <w:proofErr w:type="spellEnd"/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wskazań</w:t>
            </w:r>
            <w:proofErr w:type="spellEnd"/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do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leczenia</w:t>
            </w:r>
            <w:proofErr w:type="spellEnd"/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wg</w:t>
            </w:r>
            <w:proofErr w:type="spellEnd"/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International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Workshop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on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Chronic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Lymphocytic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Leukemia</w:t>
            </w:r>
            <w:proofErr w:type="spellEnd"/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updating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(the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National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Cancer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Institute-Working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Group</w:t>
            </w:r>
            <w:r w:rsidR="00C705DC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pl-PL"/>
              </w:rPr>
              <w:t>(IWCLL);</w:t>
            </w:r>
          </w:p>
          <w:p w14:paraId="311B6B11" w14:textId="2E1116A5" w:rsidR="001D15F3" w:rsidRPr="00FA6436" w:rsidRDefault="001D15F3" w:rsidP="00301463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CDE" w:rsidRPr="00FA643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3716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D88" w:rsidRPr="00FA6436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3D5" w:rsidRPr="00FA6436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A40D6A" w:rsidRPr="00FA6436">
              <w:rPr>
                <w:rFonts w:ascii="Times New Roman" w:hAnsi="Times New Roman" w:cs="Times New Roman"/>
                <w:sz w:val="20"/>
                <w:szCs w:val="20"/>
              </w:rPr>
              <w:t>arak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terystyką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A6436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40D6A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DA3445" w14:textId="4FBB4887" w:rsidR="00390885" w:rsidRPr="00FA6436" w:rsidRDefault="001D15F3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6819" w:rsidRPr="00FA6436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6819" w:rsidRPr="00FA6436">
              <w:rPr>
                <w:rFonts w:ascii="Times New Roman" w:hAnsi="Times New Roman" w:cs="Times New Roman"/>
                <w:sz w:val="20"/>
                <w:szCs w:val="20"/>
              </w:rPr>
              <w:t>mysie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6819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40D6A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7E52DF45" w:rsidR="001D15F3" w:rsidRPr="00FA6436" w:rsidRDefault="001D15F3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wykluczenie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65513543" w14:textId="5B02BB7F" w:rsidR="00BF0A25" w:rsidRPr="00FA6436" w:rsidRDefault="00BF0A25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prowadzenie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antykoncepcji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odpowiednią,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Leczniczego;</w:t>
            </w:r>
          </w:p>
          <w:p w14:paraId="73699D32" w14:textId="619561B0" w:rsidR="008A1C09" w:rsidRPr="00FA6436" w:rsidRDefault="001D15F3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nieobecność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aktywnych,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ciężkich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zakażeń;</w:t>
            </w:r>
          </w:p>
          <w:p w14:paraId="66073A73" w14:textId="347962DB" w:rsidR="00BF0A25" w:rsidRPr="00FA6436" w:rsidRDefault="00BF0A25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istotnych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schorzeń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stanów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klinicznych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oparciu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odpowiednie,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Leczniczego;</w:t>
            </w:r>
          </w:p>
          <w:p w14:paraId="62306DBA" w14:textId="0A777FF8" w:rsidR="00C4195F" w:rsidRPr="00FA6436" w:rsidRDefault="00481AC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27E5B11D" w14:textId="77777777" w:rsidR="00C4195F" w:rsidRPr="00FA6436" w:rsidRDefault="00C4195F" w:rsidP="00301463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6AA83F" w14:textId="1339F911" w:rsidR="00671D12" w:rsidRPr="00FA6436" w:rsidRDefault="00890119" w:rsidP="00301463">
            <w:pPr>
              <w:pStyle w:val="Akapitzlist"/>
              <w:numPr>
                <w:ilvl w:val="1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terapii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C2C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linii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</w:p>
          <w:p w14:paraId="16CCF2D7" w14:textId="7AA79793" w:rsidR="00EF32EB" w:rsidRPr="00FA6436" w:rsidRDefault="000554E0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DB13E31" w14:textId="10C0E7B9" w:rsidR="0039744B" w:rsidRPr="00FA6436" w:rsidRDefault="0039744B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brak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limfocytowej;</w:t>
            </w:r>
          </w:p>
          <w:p w14:paraId="18CF7AA2" w14:textId="071BD7D9" w:rsidR="00E9387D" w:rsidRPr="00FA6436" w:rsidRDefault="00ED3875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udokumentowana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(mut</w:t>
            </w:r>
            <w:r w:rsidR="0039744B"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niezmutowanego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744B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statusu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39744B"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IgHV</w:t>
            </w:r>
            <w:proofErr w:type="spellEnd"/>
            <w:r w:rsidR="00B52646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49C46F69" w14:textId="77777777" w:rsidR="00671D12" w:rsidRPr="00FA6436" w:rsidRDefault="00671D12" w:rsidP="00301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0302C5BC" w14:textId="1468FBBB" w:rsidR="0041228D" w:rsidRPr="00FA6436" w:rsidRDefault="00192642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akalabrutynib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228D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1228D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38D5416D" w14:textId="2CAC08C2" w:rsidR="005E6DE1" w:rsidRPr="007E6F89" w:rsidRDefault="0041228D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brak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limfocytowej</w:t>
            </w:r>
            <w:r w:rsidR="007E6F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C8FC784" w14:textId="77777777" w:rsidR="007E6F89" w:rsidRPr="00FD54D1" w:rsidRDefault="007E6F89" w:rsidP="007E6F89">
            <w:pPr>
              <w:rPr>
                <w:rFonts w:ascii="Times New Roman" w:hAnsi="Times New Roman"/>
                <w:color w:val="000000"/>
                <w:sz w:val="20"/>
              </w:rPr>
            </w:pPr>
          </w:p>
          <w:p w14:paraId="33603E74" w14:textId="0F8E05D5" w:rsidR="00546572" w:rsidRPr="00FA6436" w:rsidRDefault="00AC5E91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chlorambucylem</w:t>
            </w:r>
            <w:proofErr w:type="spellEnd"/>
          </w:p>
          <w:p w14:paraId="4862DDF0" w14:textId="33C0BD97" w:rsidR="0041288D" w:rsidRPr="00FA6436" w:rsidRDefault="0041288D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brak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="00A42E8F"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2E8F"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2E8F" w:rsidRPr="00FA6436">
              <w:rPr>
                <w:rFonts w:ascii="Times New Roman" w:hAnsi="Times New Roman" w:cs="Times New Roman"/>
                <w:sz w:val="20"/>
                <w:szCs w:val="20"/>
              </w:rPr>
              <w:t>limfocytowej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242" w:rsidRPr="00FA6436">
              <w:rPr>
                <w:rFonts w:ascii="Times New Roman" w:hAnsi="Times New Roman" w:cs="Times New Roman"/>
                <w:sz w:val="20"/>
                <w:szCs w:val="20"/>
              </w:rPr>
              <w:t>CD20+</w:t>
            </w:r>
            <w:r w:rsidR="00A42E8F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C7D113C" w14:textId="5F320CA3" w:rsidR="00D056DE" w:rsidRPr="00FA6436" w:rsidRDefault="00D056DE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parametrów: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5FA96ED" w14:textId="535FF8F5" w:rsidR="00C81D3A" w:rsidRPr="00FA6436" w:rsidRDefault="00D056DE" w:rsidP="00301463">
            <w:pPr>
              <w:pStyle w:val="Akapitzlist"/>
              <w:numPr>
                <w:ilvl w:val="4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CrCl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(klirens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kreatyniny):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12483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&gt;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12483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0ml/min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&lt;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70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ml/min</w:t>
            </w:r>
          </w:p>
          <w:p w14:paraId="750B0588" w14:textId="6A0ED47C" w:rsidR="00D056DE" w:rsidRPr="00FA6436" w:rsidRDefault="00D056DE" w:rsidP="00301463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5F28DB19" w14:textId="311D4FA5" w:rsidR="005049B9" w:rsidRPr="00FA6436" w:rsidRDefault="00D056DE" w:rsidP="00301463">
            <w:pPr>
              <w:pStyle w:val="Akapitzlist"/>
              <w:numPr>
                <w:ilvl w:val="4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liczba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punktów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skali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CIRS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&gt;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</w:t>
            </w:r>
            <w:r w:rsidR="00C81D3A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F2AA192" w14:textId="36ABB1E9" w:rsidR="001F691A" w:rsidRPr="00FA6436" w:rsidRDefault="00D056DE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ujemny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HBsAg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HBcAb,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dodatniego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HBsAg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HBcAb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konieczna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konsultacja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hepatologa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chorób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zakaźnych;</w:t>
            </w:r>
          </w:p>
          <w:p w14:paraId="4AD5CA4D" w14:textId="39D4834E" w:rsidR="005E6DE1" w:rsidRPr="00FA6436" w:rsidRDefault="00D056DE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powodu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chorób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opartego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pełnej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fludarabiny</w:t>
            </w:r>
            <w:proofErr w:type="spellEnd"/>
            <w:r w:rsidR="005500F7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1FBFEF7E" w14:textId="77777777" w:rsidR="005E6DE1" w:rsidRPr="00FA6436" w:rsidRDefault="005E6DE1" w:rsidP="0030146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</w:p>
          <w:p w14:paraId="63C9F181" w14:textId="7627E66C" w:rsidR="002C3BC0" w:rsidRPr="00FA6436" w:rsidRDefault="002C3BC0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obinutuzumabem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EA818DE" w14:textId="2643B023" w:rsidR="002C3BC0" w:rsidRPr="00FA6436" w:rsidRDefault="002C3BC0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brak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limfocytowej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0242" w:rsidRPr="00FA6436">
              <w:rPr>
                <w:rFonts w:ascii="Times New Roman" w:hAnsi="Times New Roman" w:cs="Times New Roman"/>
                <w:sz w:val="20"/>
                <w:szCs w:val="20"/>
              </w:rPr>
              <w:t>CD20+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562A32" w14:textId="27E7F8B3" w:rsidR="00DD24E6" w:rsidRPr="00FA6436" w:rsidRDefault="002C3BC0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ujemny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HBsAg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HBcAb,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dodatniego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HBsAg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HBcAb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konieczna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konsultacja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hepatologa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chorób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zakaźnych.</w:t>
            </w:r>
          </w:p>
          <w:p w14:paraId="528B1899" w14:textId="77777777" w:rsidR="00DD24E6" w:rsidRPr="00FA6436" w:rsidRDefault="00DD24E6" w:rsidP="00301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01FA12F2" w14:textId="01BBFA3F" w:rsidR="00BF0A25" w:rsidRPr="00FA6436" w:rsidRDefault="00BF0A25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zanubrutynib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56DDBB13" w14:textId="0CE053F3" w:rsidR="00BF0A25" w:rsidRPr="00FA6436" w:rsidRDefault="00BF0A25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wcześniejszego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limfocytowej;</w:t>
            </w:r>
          </w:p>
          <w:p w14:paraId="135EB800" w14:textId="1C3CC020" w:rsidR="00BF0A25" w:rsidRPr="00FA6436" w:rsidRDefault="00BF0A25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wykorzystaniem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schematu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FCR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fludarabina</w:t>
            </w:r>
            <w:proofErr w:type="spellEnd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  <w:r w:rsidR="00C705DC"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cyklofosfamid</w:t>
            </w:r>
            <w:proofErr w:type="spellEnd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  <w:r w:rsidR="00C705DC"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rytuksymab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zdefiniowane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jako:</w:t>
            </w:r>
          </w:p>
          <w:p w14:paraId="33C58149" w14:textId="0772D7CA" w:rsidR="00BF0A25" w:rsidRPr="00FA6436" w:rsidRDefault="00BF0A25" w:rsidP="00301463">
            <w:pPr>
              <w:pStyle w:val="Akapitzlist"/>
              <w:numPr>
                <w:ilvl w:val="4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65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</w:t>
            </w:r>
          </w:p>
          <w:p w14:paraId="3AFDAA95" w14:textId="77777777" w:rsidR="00BF0A25" w:rsidRPr="00FA6436" w:rsidRDefault="00BF0A25" w:rsidP="00301463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0C5FCEE8" w14:textId="432E51FA" w:rsidR="008274B8" w:rsidRPr="00FA6436" w:rsidRDefault="00BF0A25" w:rsidP="00301463">
            <w:pPr>
              <w:pStyle w:val="Akapitzlist"/>
              <w:numPr>
                <w:ilvl w:val="4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18-64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poniższych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parametrów:</w:t>
            </w:r>
          </w:p>
          <w:p w14:paraId="38B5609A" w14:textId="23DEB0A3" w:rsidR="002D2A61" w:rsidRPr="00FA6436" w:rsidRDefault="00BF0A25" w:rsidP="00301463">
            <w:pPr>
              <w:pStyle w:val="Akapitzlist"/>
              <w:numPr>
                <w:ilvl w:val="5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CrCl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(klirens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kreatyniny)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30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ml/min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&lt;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70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ml/min</w:t>
            </w:r>
          </w:p>
          <w:p w14:paraId="0C044E00" w14:textId="610C2130" w:rsidR="002D2A61" w:rsidRPr="00FA6436" w:rsidRDefault="002D2A61" w:rsidP="00301463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</w:t>
            </w:r>
            <w:r w:rsidR="008274B8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ub</w:t>
            </w:r>
          </w:p>
          <w:p w14:paraId="56154B42" w14:textId="312B2AB1" w:rsidR="002D2A61" w:rsidRPr="00FA6436" w:rsidRDefault="00BF0A25" w:rsidP="00301463">
            <w:pPr>
              <w:pStyle w:val="Akapitzlist"/>
              <w:numPr>
                <w:ilvl w:val="5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liczba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punktów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skali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CIRS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&gt;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</w:t>
            </w:r>
          </w:p>
          <w:p w14:paraId="423C6409" w14:textId="77777777" w:rsidR="002D2A61" w:rsidRPr="00FA6436" w:rsidRDefault="008274B8" w:rsidP="00301463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lub</w:t>
            </w:r>
          </w:p>
          <w:p w14:paraId="75E1269C" w14:textId="519BCD03" w:rsidR="00BF0A25" w:rsidRDefault="00BF0A25" w:rsidP="00301463">
            <w:pPr>
              <w:pStyle w:val="Akapitzlist"/>
              <w:numPr>
                <w:ilvl w:val="5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ciągu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ostatnich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705DC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705DC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ciężkiej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infekcji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(wymagającej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hospitalizacji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pozajelitowej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antybiotykoterapii)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infekcji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(wymagających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doustnej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antybiotykoterapii)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potwierdzonych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dokumentacji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medycznej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pacjenta.</w:t>
            </w:r>
          </w:p>
          <w:p w14:paraId="5374A4BD" w14:textId="77777777" w:rsidR="00AC2CF3" w:rsidRPr="00405144" w:rsidRDefault="00AC2CF3" w:rsidP="00301463">
            <w:pPr>
              <w:pStyle w:val="Akapitzlist"/>
              <w:ind w:left="907"/>
              <w:contextualSpacing w:val="0"/>
              <w:rPr>
                <w:rFonts w:ascii="Times New Roman" w:hAnsi="Times New Roman"/>
                <w:color w:val="000000"/>
                <w:sz w:val="20"/>
              </w:rPr>
            </w:pPr>
          </w:p>
          <w:p w14:paraId="23218EBF" w14:textId="77777777" w:rsidR="00AC2CF3" w:rsidRDefault="00AC2CF3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ibrutynib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wenetoklaksem</w:t>
            </w:r>
            <w:proofErr w:type="spellEnd"/>
          </w:p>
          <w:p w14:paraId="596E00D7" w14:textId="77777777" w:rsidR="00AC2CF3" w:rsidRDefault="00AC2CF3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 wcześniejszego leczenia przewlekłej białaczki limfocytowej.</w:t>
            </w:r>
          </w:p>
          <w:p w14:paraId="1D6C330A" w14:textId="484D3FCA" w:rsidR="00BF0A25" w:rsidRPr="00AC2CF3" w:rsidRDefault="00BF0A25" w:rsidP="00301463">
            <w:pPr>
              <w:pStyle w:val="Akapitzlist"/>
              <w:ind w:left="22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12592CFA" w14:textId="773ABE95" w:rsidR="00DD24E6" w:rsidRPr="00FA6436" w:rsidRDefault="00650F7E" w:rsidP="00301463">
            <w:pPr>
              <w:pStyle w:val="Akapitzlist"/>
              <w:numPr>
                <w:ilvl w:val="1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terapii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C2C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B38C9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kolejnych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liniach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</w:p>
          <w:p w14:paraId="40FCEA31" w14:textId="56B3C304" w:rsidR="00CE5F87" w:rsidRPr="00FA6436" w:rsidRDefault="00CE5F87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rytuksymabem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delecją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mutacją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87DE4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C5240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C5240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C5240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C5240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</w:p>
          <w:p w14:paraId="43650B4A" w14:textId="770549BF" w:rsidR="00CE5F87" w:rsidRPr="00FA6436" w:rsidRDefault="00CE5F87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opornością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leczeniu;</w:t>
            </w:r>
          </w:p>
          <w:p w14:paraId="660F2D24" w14:textId="5CF32389" w:rsidR="00DD24E6" w:rsidRPr="00FA6436" w:rsidRDefault="00CE5F87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względu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status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).</w:t>
            </w:r>
          </w:p>
          <w:p w14:paraId="5337D81A" w14:textId="77777777" w:rsidR="00DD24E6" w:rsidRPr="00FA6436" w:rsidRDefault="00DD24E6" w:rsidP="00301463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5A5C15B3" w14:textId="58D99900" w:rsidR="00CE5F87" w:rsidRPr="00FA6436" w:rsidRDefault="00CE5F87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chorych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delecją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17p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mutacją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C4D58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</w:p>
          <w:p w14:paraId="6BFFE9BC" w14:textId="274928A7" w:rsidR="009C5240" w:rsidRPr="00FA6436" w:rsidRDefault="009C5240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opornością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leczeniu;</w:t>
            </w:r>
          </w:p>
          <w:p w14:paraId="091A9CC3" w14:textId="07E4CC2D" w:rsidR="007C4D58" w:rsidRPr="00FA6436" w:rsidRDefault="007C4D58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względu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status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E06D10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0D2CD9D5" w14:textId="77777777" w:rsidR="00DD24E6" w:rsidRPr="00FA6436" w:rsidRDefault="00DD24E6" w:rsidP="00301463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FAABD18" w14:textId="050C78D2" w:rsidR="00CE5F87" w:rsidRPr="00FA6436" w:rsidRDefault="00CE5F87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akalabrutynib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chorych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delecją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17p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mutacją</w:t>
            </w:r>
            <w:r w:rsidR="00DB4A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B4A1F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TP53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oraz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bez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delecji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17p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r w:rsidR="00DB4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B4A1F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</w:p>
          <w:p w14:paraId="2F527DB6" w14:textId="2A769BC5" w:rsidR="009C5240" w:rsidRPr="00FA6436" w:rsidRDefault="009C5240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opornością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leczeniu;</w:t>
            </w:r>
          </w:p>
          <w:p w14:paraId="65E71012" w14:textId="424B2D04" w:rsidR="00187DF4" w:rsidRPr="00187DF4" w:rsidRDefault="00187DF4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187D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ab/>
              <w:t xml:space="preserve">stosowano uprzednio co najmniej jedną linię leczenia, bez względu na status delecji 17p (del17p) / mutacji w genie </w:t>
            </w:r>
            <w:r w:rsidRPr="00405144">
              <w:rPr>
                <w:rFonts w:ascii="Times New Roman" w:hAnsi="Times New Roman"/>
                <w:color w:val="000000"/>
                <w:sz w:val="20"/>
              </w:rPr>
              <w:t>TP53</w:t>
            </w:r>
            <w:r w:rsidRPr="00187D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(mut</w:t>
            </w:r>
            <w:r w:rsidRPr="00405144">
              <w:rPr>
                <w:rFonts w:ascii="Times New Roman" w:hAnsi="Times New Roman"/>
                <w:color w:val="000000"/>
                <w:sz w:val="20"/>
              </w:rPr>
              <w:t>TP53</w:t>
            </w:r>
            <w:r w:rsidRPr="00187D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).</w:t>
            </w:r>
          </w:p>
          <w:p w14:paraId="3CC884DA" w14:textId="77777777" w:rsidR="00DD24E6" w:rsidRPr="00FA6436" w:rsidRDefault="00DD24E6" w:rsidP="0030146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</w:p>
          <w:p w14:paraId="61B9A579" w14:textId="7134FEEC" w:rsidR="00E86C32" w:rsidRPr="00FA6436" w:rsidRDefault="00E86C32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dla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chorych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delecją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17p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mutacją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TP53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których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nie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powiodło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się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67FC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inhibitorem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67FC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BTK</w:t>
            </w:r>
          </w:p>
          <w:p w14:paraId="5FE0FDAA" w14:textId="11A53A6C" w:rsidR="00E52DEA" w:rsidRPr="00FA6436" w:rsidRDefault="00E52DEA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niepowodzenie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167FC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inhibitorem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167FC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BTK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17B870C" w14:textId="248AC41A" w:rsidR="00DD24E6" w:rsidRPr="00FA6436" w:rsidRDefault="00E86C32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udokumentowana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E52DEA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42B45F88" w14:textId="77777777" w:rsidR="00270B7F" w:rsidRPr="00405144" w:rsidRDefault="00270B7F" w:rsidP="00301463">
            <w:pPr>
              <w:rPr>
                <w:rFonts w:ascii="Times New Roman" w:hAnsi="Times New Roman"/>
                <w:sz w:val="20"/>
              </w:rPr>
            </w:pPr>
          </w:p>
          <w:p w14:paraId="700E86B0" w14:textId="30C6D49E" w:rsidR="00EC5C78" w:rsidRPr="00FA6436" w:rsidRDefault="00EC5C78" w:rsidP="00301463">
            <w:pPr>
              <w:pStyle w:val="Akapitzlist"/>
              <w:numPr>
                <w:ilvl w:val="2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zanubrutynib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chorych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delecją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17p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mutacją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dla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chorych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</w:p>
          <w:p w14:paraId="7851FFC0" w14:textId="47239EE3" w:rsidR="00EC5C78" w:rsidRPr="00FA6436" w:rsidRDefault="00EC5C78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opornością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nawrotem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leczeniu;</w:t>
            </w:r>
          </w:p>
          <w:p w14:paraId="7CCD65A7" w14:textId="3037087C" w:rsidR="00EC5C78" w:rsidRPr="00FA6436" w:rsidRDefault="00EC5C78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względu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status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delecji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17p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(del17p)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(mut</w:t>
            </w:r>
            <w:r w:rsidRPr="00FA643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TP53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).</w:t>
            </w:r>
          </w:p>
          <w:p w14:paraId="34056CA7" w14:textId="108C3F98" w:rsidR="00B700FB" w:rsidRPr="00FA6436" w:rsidRDefault="00B700FB" w:rsidP="003014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71A11EA" w14:textId="6D7D89C0" w:rsidR="000E2051" w:rsidRPr="00FA6436" w:rsidRDefault="00270B7F" w:rsidP="00301463">
            <w:pPr>
              <w:pStyle w:val="Akapitzlist"/>
              <w:numPr>
                <w:ilvl w:val="1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trwających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leków),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18ED491F" w14:textId="77777777" w:rsidR="000E2051" w:rsidRPr="00FA6436" w:rsidRDefault="000E2051" w:rsidP="0030146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6D186C41" w14:textId="6716A729" w:rsidR="001B2161" w:rsidRPr="00FA6436" w:rsidRDefault="009C2DB3" w:rsidP="00301463">
            <w:pPr>
              <w:pStyle w:val="Akapitzlist"/>
              <w:numPr>
                <w:ilvl w:val="0"/>
                <w:numId w:val="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5BDFBE34" w14:textId="32A98FA4" w:rsidR="000E2051" w:rsidRPr="00C705DC" w:rsidRDefault="00044D2A" w:rsidP="00301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DC1C94" w:rsidRPr="00C705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640C" w:rsidRPr="00C705DC">
              <w:rPr>
                <w:rFonts w:ascii="Times New Roman" w:hAnsi="Times New Roman" w:cs="Times New Roman"/>
                <w:sz w:val="20"/>
                <w:szCs w:val="20"/>
              </w:rPr>
              <w:t>jednak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5F6"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5F6" w:rsidRPr="00C705DC">
              <w:rPr>
                <w:rFonts w:ascii="Times New Roman" w:hAnsi="Times New Roman" w:cs="Times New Roman"/>
                <w:sz w:val="20"/>
                <w:szCs w:val="20"/>
              </w:rPr>
              <w:t>zastrzeżeniem,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5F6" w:rsidRPr="00C705DC">
              <w:rPr>
                <w:rFonts w:ascii="Times New Roman" w:hAnsi="Times New Roman" w:cs="Times New Roman"/>
                <w:sz w:val="20"/>
                <w:szCs w:val="20"/>
              </w:rPr>
              <w:t>iż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terapii:</w:t>
            </w:r>
          </w:p>
          <w:p w14:paraId="159DB7FE" w14:textId="7E2DBFC5" w:rsidR="00044D2A" w:rsidRPr="00FA6436" w:rsidRDefault="00DC1C94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</w:t>
            </w:r>
            <w:r w:rsidR="00044D2A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binutuzumabem</w:t>
            </w:r>
            <w:proofErr w:type="spellEnd"/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44D2A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chlorambucylem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5F6" w:rsidRPr="00FA643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2135F6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601392C" w14:textId="1A228003" w:rsidR="002135F6" w:rsidRDefault="002135F6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obinutuzmabem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maksymalny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trwania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podawany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obinutuzumabem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natomiast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kolejne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(od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cyklu)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podawany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5993E4" w14:textId="1EA24C57" w:rsidR="0050430E" w:rsidRPr="0050430E" w:rsidRDefault="0050430E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maksymalny czas trwania leczenia wynosi 15 cykli po 28 dni, przy czym przez 3 pierwsze cykle </w:t>
            </w:r>
            <w:proofErr w:type="spellStart"/>
            <w:r w:rsidRPr="006719E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jest 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natomiast przez kolejne 12 cykli (od 4 do 15 cyklu) </w:t>
            </w:r>
            <w:proofErr w:type="spellStart"/>
            <w:r w:rsidRPr="006719E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jest wraz z </w:t>
            </w:r>
            <w:proofErr w:type="spellStart"/>
            <w:r w:rsidRPr="006719E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51A90A" w14:textId="3280496C" w:rsidR="000E2051" w:rsidRPr="00FA6436" w:rsidRDefault="002135F6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rytuksymabem</w:t>
            </w:r>
            <w:proofErr w:type="spellEnd"/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licząc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jednoczesnego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D1594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D1594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D1594" w:rsidRPr="00FA6436">
              <w:rPr>
                <w:rFonts w:ascii="Times New Roman" w:hAnsi="Times New Roman" w:cs="Times New Roman"/>
                <w:sz w:val="20"/>
                <w:szCs w:val="20"/>
              </w:rPr>
              <w:t>yklu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czym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01993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</w:t>
            </w:r>
            <w:r w:rsidR="00F861C3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ks</w:t>
            </w:r>
            <w:r w:rsidR="00101993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ymab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993" w:rsidRPr="00FA6436">
              <w:rPr>
                <w:rFonts w:ascii="Times New Roman" w:hAnsi="Times New Roman" w:cs="Times New Roman"/>
                <w:sz w:val="20"/>
                <w:szCs w:val="20"/>
              </w:rPr>
              <w:t>cykli.</w:t>
            </w:r>
          </w:p>
          <w:p w14:paraId="46B28FCA" w14:textId="77777777" w:rsidR="000E2051" w:rsidRPr="00FA6436" w:rsidRDefault="000E2051" w:rsidP="00301463">
            <w:pPr>
              <w:ind w:left="22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7CDA0C70" w14:textId="5AD0A5BA" w:rsidR="00C37C7F" w:rsidRPr="00FA6436" w:rsidRDefault="009C2DB3" w:rsidP="00301463">
            <w:pPr>
              <w:pStyle w:val="Akapitzlist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E0215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E0215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</w:t>
            </w:r>
            <w:r w:rsidR="00BE0215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131A8C27" w14:textId="09F18886" w:rsidR="007415B0" w:rsidRPr="00FA6436" w:rsidRDefault="00DD660E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transformacja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bardziej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agresywnego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chłoniaka</w:t>
            </w:r>
            <w:proofErr w:type="spellEnd"/>
            <w:r w:rsidR="00DC1C94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BFEF0C" w14:textId="070AD3F3" w:rsidR="00044D2A" w:rsidRPr="00FA6436" w:rsidRDefault="00044D2A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mysie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substancję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270B7F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0B7F" w:rsidRPr="00FA6436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0B7F" w:rsidRPr="00FA6436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0B7F"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C4287BC" w14:textId="5E66F49B" w:rsidR="00044D2A" w:rsidRPr="00FA6436" w:rsidRDefault="00270B7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toksyczności,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postępowania</w:t>
            </w:r>
            <w:r w:rsidR="00044D2A" w:rsidRPr="00FA643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21417B1" w14:textId="027B53B9" w:rsidR="009C6E48" w:rsidRPr="00FA6436" w:rsidRDefault="003F0B59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postępującej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wieloogniskowej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leukoencefalopatii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ciężkich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reakcji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skórnych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(toksyczna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nekroliza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naskórka,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Stevensa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Jonhsona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5252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5252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połączeniu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przeciwciałem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="00F84FB3" w:rsidRPr="00FA6436">
              <w:rPr>
                <w:rFonts w:ascii="Times New Roman" w:hAnsi="Times New Roman" w:cs="Times New Roman"/>
                <w:sz w:val="20"/>
                <w:szCs w:val="20"/>
              </w:rPr>
              <w:t>ty-CD20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1823D8" w14:textId="342337AF" w:rsidR="003F0B59" w:rsidRPr="001D5F1E" w:rsidRDefault="00F84FB3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niekontrolowanej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autoimmunologicznej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anemii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hemolitycznej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immunologicznej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trombocytopenii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FA643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E48" w:rsidRPr="001D5F1E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705DC" w:rsidRPr="001D5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5F1E" w:rsidRPr="001D5F1E">
              <w:rPr>
                <w:rFonts w:ascii="Times New Roman" w:hAnsi="Times New Roman" w:cs="Times New Roman"/>
                <w:sz w:val="20"/>
                <w:szCs w:val="20"/>
              </w:rPr>
              <w:t xml:space="preserve">z zastosowaniem </w:t>
            </w:r>
            <w:proofErr w:type="spellStart"/>
            <w:r w:rsidR="001D5F1E" w:rsidRPr="00AF10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3B22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B2271">
              <w:rPr>
                <w:rFonts w:ascii="Times New Roman" w:hAnsi="Times New Roman" w:cs="Times New Roman"/>
                <w:sz w:val="20"/>
                <w:szCs w:val="20"/>
              </w:rPr>
              <w:t xml:space="preserve">w </w:t>
            </w:r>
            <w:proofErr w:type="spellStart"/>
            <w:r w:rsidR="003B2271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3B2271">
              <w:rPr>
                <w:rFonts w:ascii="Times New Roman" w:hAnsi="Times New Roman" w:cs="Times New Roman"/>
                <w:sz w:val="20"/>
                <w:szCs w:val="20"/>
              </w:rPr>
              <w:t xml:space="preserve"> lub w połączeniu z przeciwciałem monoklonalnym anty-CD20 albo </w:t>
            </w:r>
            <w:proofErr w:type="spellStart"/>
            <w:r w:rsidR="003B2271" w:rsidRPr="005C15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ibrutynibem</w:t>
            </w:r>
            <w:proofErr w:type="spellEnd"/>
            <w:r w:rsidR="009C6E48" w:rsidRPr="001D5F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5E121C" w14:textId="11EED294" w:rsidR="00044D2A" w:rsidRPr="00FA6436" w:rsidRDefault="00270B7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4D2A" w:rsidRPr="00FA6436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3BE4DC3" w14:textId="7CDC3466" w:rsidR="00270B7F" w:rsidRPr="00FA6436" w:rsidRDefault="00270B7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2EA4F706" w14:textId="41BB9DC4" w:rsidR="00842007" w:rsidRDefault="00270B7F" w:rsidP="00301463">
            <w:pPr>
              <w:pStyle w:val="Akapitzlist"/>
              <w:numPr>
                <w:ilvl w:val="3"/>
                <w:numId w:val="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prawnego.</w:t>
            </w:r>
          </w:p>
          <w:p w14:paraId="5A343931" w14:textId="28ED3414" w:rsidR="00C705DC" w:rsidRPr="00C705DC" w:rsidRDefault="00C705DC" w:rsidP="00301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C4F671D" w14:textId="00D5E8E1" w:rsidR="00871857" w:rsidRPr="00FA6436" w:rsidRDefault="00F5640E" w:rsidP="00301463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AE6812"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5960374D" w14:textId="3E962EFA" w:rsidR="005C3FE9" w:rsidRPr="00FA6436" w:rsidRDefault="005C3FE9" w:rsidP="00301463">
            <w:pPr>
              <w:pStyle w:val="Akapitzlist"/>
              <w:numPr>
                <w:ilvl w:val="1"/>
                <w:numId w:val="1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1CD3D62B" w14:textId="5159B7E3" w:rsidR="005C3FE9" w:rsidRPr="00C705DC" w:rsidRDefault="005C3F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86A"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podawan</w:t>
            </w:r>
            <w:r w:rsidR="00CA786A" w:rsidRPr="00C705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dobę.</w:t>
            </w:r>
          </w:p>
          <w:p w14:paraId="3A0E87C6" w14:textId="77777777" w:rsidR="005C3FE9" w:rsidRPr="00FA6436" w:rsidRDefault="005C3FE9" w:rsidP="0030146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</w:p>
          <w:p w14:paraId="1BFFD26B" w14:textId="5F682C85" w:rsidR="005C3FE9" w:rsidRPr="00FA6436" w:rsidRDefault="005C3FE9" w:rsidP="00301463">
            <w:pPr>
              <w:pStyle w:val="Akapitzlist"/>
              <w:numPr>
                <w:ilvl w:val="1"/>
                <w:numId w:val="1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akalabrutynib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7F4634E0" w14:textId="239CEB3D" w:rsidR="00142FE4" w:rsidRPr="00C705DC" w:rsidRDefault="00142FE4" w:rsidP="003014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Zalecana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A22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akalabrutynibu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wynosi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100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</w:t>
            </w:r>
            <w:r w:rsidR="00CA786A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dobowej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200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mg).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D58E6B6" w14:textId="01A0A759" w:rsidR="00142FE4" w:rsidRPr="00C705DC" w:rsidRDefault="00142FE4" w:rsidP="003014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Odstęp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pomiędzy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kolejnymi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dawkami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E2D87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powinien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wynosi</w:t>
            </w:r>
            <w:r w:rsidR="00AE2D87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około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12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godzin.</w:t>
            </w:r>
          </w:p>
          <w:p w14:paraId="0EF5B1B0" w14:textId="77777777" w:rsidR="00142FE4" w:rsidRPr="00FA6436" w:rsidRDefault="00142FE4" w:rsidP="003014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6009B6E" w14:textId="576412CE" w:rsidR="005C3FE9" w:rsidRPr="00FA6436" w:rsidRDefault="005C3FE9" w:rsidP="00301463">
            <w:pPr>
              <w:pStyle w:val="Akapitzlist"/>
              <w:numPr>
                <w:ilvl w:val="1"/>
                <w:numId w:val="1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chlorambucylem</w:t>
            </w:r>
            <w:proofErr w:type="spellEnd"/>
          </w:p>
          <w:p w14:paraId="1723310F" w14:textId="0683CB67" w:rsidR="005C3FE9" w:rsidRPr="00C705DC" w:rsidRDefault="005C3FE9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1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.: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(kontynuacja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1.),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72EB"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72EB"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28-dniowego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72EB"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72EB"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</w:p>
          <w:p w14:paraId="3C1DDD4C" w14:textId="414A4FB1" w:rsidR="005C3FE9" w:rsidRPr="00C705DC" w:rsidRDefault="005C3FE9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przygotować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infuzyjne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(100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2.).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pierwszej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konieczności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modyfikacji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prędkości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drugą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(bez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konieczności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opóźnienia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podania),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warunkiem,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zapewnione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właściwe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nadzór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personelu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medycznego.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jakichkolwiek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prędkości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produktem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dnia.</w:t>
            </w:r>
          </w:p>
          <w:p w14:paraId="0218CB6C" w14:textId="54BE603C" w:rsidR="005C3FE9" w:rsidRPr="00C705DC" w:rsidRDefault="005C3FE9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proofErr w:type="spellStart"/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cyklach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2-6.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podaje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Pr="00EB5B6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4F7F21B" w14:textId="5112C7E6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Chlorambucyl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cyklach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1-6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mc.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cyklu.</w:t>
            </w:r>
          </w:p>
          <w:p w14:paraId="23499318" w14:textId="525CFC75" w:rsidR="00B55369" w:rsidRPr="00FA6436" w:rsidRDefault="00B55369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084F96E" w14:textId="1A5422EB" w:rsidR="00130873" w:rsidRPr="00FA6436" w:rsidRDefault="00281512" w:rsidP="00301463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wenetoklaks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CA786A" w:rsidRPr="00FA64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obinutuzumabem</w:t>
            </w:r>
            <w:proofErr w:type="spellEnd"/>
          </w:p>
          <w:p w14:paraId="0D350DAA" w14:textId="65548AB9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Wenetoklaks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początkowa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stopniowo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zwiększać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osiągnięcia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pokazano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schemacie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poniżej:</w:t>
            </w:r>
          </w:p>
          <w:p w14:paraId="4759E389" w14:textId="31075200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5E7AE21F" w14:textId="72CEC051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2B41B9EC" w14:textId="6980AD59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1386537A" w14:textId="33A58B7A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233D2067" w14:textId="1B34F945" w:rsidR="00CA786A" w:rsidRPr="00C705DC" w:rsidRDefault="00CA786A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kolejne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6DA278F2" w14:textId="286CE87C" w:rsidR="00130873" w:rsidRPr="00C705DC" w:rsidRDefault="00F45EC8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podaje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28-dniowego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kontynuuje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fazę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dostosowania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osiągnięcia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przyjmuje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30873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rozpadu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873" w:rsidRPr="00C705DC">
              <w:rPr>
                <w:rFonts w:ascii="Times New Roman" w:hAnsi="Times New Roman" w:cs="Times New Roman"/>
                <w:sz w:val="20"/>
                <w:szCs w:val="20"/>
              </w:rPr>
              <w:t>(TLS).</w:t>
            </w:r>
          </w:p>
          <w:p w14:paraId="2D0A5F8D" w14:textId="035BB199" w:rsidR="009C4D53" w:rsidRPr="00C705DC" w:rsidRDefault="00130873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lekarza,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niektórych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zwłaszcza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wysokim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TLS,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konieczne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szpitalne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intensywnej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profilaktyki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godzin.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powtórnej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hospitalizację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kolejnego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zwiększania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E304CB8" w14:textId="35D730A8" w:rsidR="008C3308" w:rsidRPr="00C705DC" w:rsidRDefault="008C3308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1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.: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podaje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(kontynuacja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1.),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28-dniowego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</w:p>
          <w:p w14:paraId="7DFC20E2" w14:textId="7A22CB6F" w:rsidR="008C3308" w:rsidRPr="00C705DC" w:rsidRDefault="008C3308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przygotować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infuzyjne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(100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2.).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pierwszej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konieczności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modyfikacji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prędkości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(bez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konieczności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opóźnienia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podania),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warunkiem,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zapewnione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właściwe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nadzór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personelu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medycznego.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jakichkolwiek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prędkości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torebkę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produktem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dnia.</w:t>
            </w:r>
          </w:p>
          <w:p w14:paraId="4C866979" w14:textId="46D550D1" w:rsidR="008C3308" w:rsidRPr="00C705DC" w:rsidRDefault="008C3308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proofErr w:type="spellStart"/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Obinutuzumab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cyklach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2-6.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podaje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Pr="00EB5B6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41D9D6F" w14:textId="3F2D7C8C" w:rsidR="00F45EC8" w:rsidRPr="00FA6436" w:rsidRDefault="00F45EC8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DB6388B" w14:textId="061B6D74" w:rsidR="00597300" w:rsidRPr="00FA6436" w:rsidRDefault="00597300" w:rsidP="00301463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zanubrutynib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3707DA6B" w14:textId="41F500EE" w:rsidR="00597300" w:rsidRPr="00C705DC" w:rsidRDefault="00597300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zanubrutynibu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dobę.</w:t>
            </w:r>
          </w:p>
          <w:p w14:paraId="4353086C" w14:textId="4EAEE170" w:rsidR="00597300" w:rsidRDefault="00597300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dobową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przyjmować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05DC"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podzielić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dwie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przyjmować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dobę.</w:t>
            </w:r>
          </w:p>
          <w:p w14:paraId="68AB9506" w14:textId="77777777" w:rsidR="002124BA" w:rsidRPr="00405144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</w:p>
          <w:p w14:paraId="3A6CC943" w14:textId="16F8199D" w:rsidR="002124BA" w:rsidRPr="002124BA" w:rsidRDefault="002124BA" w:rsidP="00301463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124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ibrutynib</w:t>
            </w:r>
            <w:proofErr w:type="spellEnd"/>
            <w:r w:rsidRPr="002124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2124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wenetoklaksem</w:t>
            </w:r>
            <w:proofErr w:type="spellEnd"/>
          </w:p>
          <w:p w14:paraId="7A71E6C7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Ibrutynib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(cykle 1-15):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wynosi 420 mg podawana 1 raz na dobę.</w:t>
            </w:r>
          </w:p>
          <w:p w14:paraId="7EAF5F85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Wenetoklaks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(cykle 4-15):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Dawka początkowa wynosi 20 mg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raz na dobę przez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7 dni. Dawkę należy stopniowo zwiększać przez okres 5 tygodni aż do osiągnięcia zalecanej dawki dobowej 400 mg jak pokazano na schemacie poniżej:</w:t>
            </w:r>
          </w:p>
          <w:p w14:paraId="28F05BA4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Tydzień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doustnie 20 mg na dobę w jednej dawce.</w:t>
            </w:r>
          </w:p>
          <w:p w14:paraId="27F872D4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doustnie 50 mg na dobę w jednej dawce.</w:t>
            </w:r>
          </w:p>
          <w:p w14:paraId="0159F71A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doustnie 100 mg na dobę w jednej dawce.</w:t>
            </w:r>
          </w:p>
          <w:p w14:paraId="736949E1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doustnie 200 mg na dobę w jednej dawce.</w:t>
            </w:r>
          </w:p>
          <w:p w14:paraId="294427BD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 5 i kolejne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zalecana dawka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doustnie 400 mg na dobę w jednej dawce.</w:t>
            </w:r>
          </w:p>
          <w:p w14:paraId="36B54B5D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E286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podaje się pierwszy raz w 1. dniu czwartego 28-dniowego cyklu w dawce 20 mg, a następnie kontynuuje się fazę dostosowania dawki zgodnie z opisem powyżej aż do osiągnięcia zalecanej dawki leku tj. 400 mg na dobę. Następnie dawkę 400 mg podaje się raz na dobę aż do czasu zakończenia cyklu 15. </w:t>
            </w:r>
          </w:p>
          <w:p w14:paraId="6418F01F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Przed rozpoczęciem leczenia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należy dokonać oceny ryzyka zespołu rozpadu guza (TLS).</w:t>
            </w:r>
          </w:p>
          <w:p w14:paraId="2BC0BE17" w14:textId="77777777" w:rsidR="002124BA" w:rsidRDefault="002124BA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 podstawie oceny lekarza, u niektórych pacjentów, zwłaszcza tych z wysokim ryzykiem wystąpienia TLS może być konieczne leczenie szpitalne w dniu przyjęcia pierwszej dawki </w:t>
            </w:r>
            <w:proofErr w:type="spellStart"/>
            <w:r w:rsidRPr="003C52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 celu intensywnej profilaktyki i monitorowania w ciągu pierwszych 24 godzin. Po powtórnej ocenie ryzyka należy rozważyć hospitalizację podczas kolejnego zwiększania dawki.</w:t>
            </w:r>
          </w:p>
          <w:p w14:paraId="53A4CC34" w14:textId="77777777" w:rsidR="00597300" w:rsidRPr="00FA6436" w:rsidRDefault="00597300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F0FDCCD" w14:textId="1E015860" w:rsidR="00F45EC8" w:rsidRPr="00FA6436" w:rsidRDefault="00F45EC8" w:rsidP="00301463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rytuksymabem</w:t>
            </w:r>
            <w:proofErr w:type="spellEnd"/>
          </w:p>
          <w:p w14:paraId="7A561ABB" w14:textId="44031995" w:rsidR="00774C20" w:rsidRPr="00C705DC" w:rsidRDefault="008C3308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Wenetoklaks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początkowa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4C20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Dawkę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stopniowo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zwiększać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osiągnięcia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zalecanej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dobowej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pokazano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schemacie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4C20" w:rsidRPr="00C705DC">
              <w:rPr>
                <w:rFonts w:ascii="Times New Roman" w:hAnsi="Times New Roman" w:cs="Times New Roman"/>
                <w:sz w:val="20"/>
                <w:szCs w:val="20"/>
              </w:rPr>
              <w:t>poniżej:</w:t>
            </w:r>
          </w:p>
          <w:p w14:paraId="544C676D" w14:textId="2B5DE8C1" w:rsidR="00774C20" w:rsidRPr="00C705DC" w:rsidRDefault="00774C20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1228A53B" w14:textId="09004E42" w:rsidR="00774C20" w:rsidRPr="00C705DC" w:rsidRDefault="00774C20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3C5779BD" w14:textId="69660C0C" w:rsidR="00774C20" w:rsidRPr="00C705DC" w:rsidRDefault="00774C20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02E60F12" w14:textId="584EBCF4" w:rsidR="00774C20" w:rsidRPr="00C705DC" w:rsidRDefault="00774C20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4EDCDCFC" w14:textId="79E7B705" w:rsidR="00774C20" w:rsidRPr="00C705DC" w:rsidRDefault="00774C20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kolejne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67C30A5A" w14:textId="573B2EB6" w:rsidR="00937E2E" w:rsidRPr="00C705DC" w:rsidRDefault="00937E2E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rozpadu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(TLS).</w:t>
            </w:r>
          </w:p>
          <w:p w14:paraId="476FD39C" w14:textId="7D599892" w:rsidR="00F45EC8" w:rsidRPr="00C705DC" w:rsidRDefault="00937E2E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lekarza,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niektórych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zwłaszcza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wysokim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TLS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konieczne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szpitalne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intensywnej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profilaktyki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godzin.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powtórnej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hospitalizację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kolejnego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zwiększania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dawki.</w:t>
            </w:r>
          </w:p>
          <w:p w14:paraId="217A380E" w14:textId="1945815E" w:rsidR="003936F0" w:rsidRPr="00C705DC" w:rsidRDefault="00937E2E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kontynuowane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licząc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cyklu.</w:t>
            </w:r>
          </w:p>
          <w:p w14:paraId="0F524ECE" w14:textId="61AFC7FC" w:rsidR="00937E2E" w:rsidRPr="00C705DC" w:rsidRDefault="008C3308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Rytuksymab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Rozpoczęcie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73E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następuje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miareczkowania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73E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(osiągnięcie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mg/dobę).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początkowa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73E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rytuksymabu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28-dniowego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mg/m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podawanego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dożylnie,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mg/m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28-dniowego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cyklu,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sumie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3E9" w:rsidRPr="00C705DC">
              <w:rPr>
                <w:rFonts w:ascii="Times New Roman" w:hAnsi="Times New Roman" w:cs="Times New Roman"/>
                <w:sz w:val="20"/>
                <w:szCs w:val="20"/>
              </w:rPr>
              <w:t>cykli.</w:t>
            </w:r>
          </w:p>
          <w:p w14:paraId="6AC5BB4D" w14:textId="3EAF7B6C" w:rsidR="001973E9" w:rsidRPr="00FA6436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EC136" w14:textId="3A229E8D" w:rsidR="001973E9" w:rsidRPr="00FA6436" w:rsidRDefault="001973E9" w:rsidP="00301463">
            <w:pPr>
              <w:pStyle w:val="Akapitzlist"/>
              <w:numPr>
                <w:ilvl w:val="1"/>
                <w:numId w:val="1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06190AEE" w14:textId="2C5C0B31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początkowa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stopniowo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zwiększać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osiągnięcia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pokazano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schemacie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poniżej:</w:t>
            </w:r>
          </w:p>
          <w:p w14:paraId="09C50A95" w14:textId="2B2BAAB6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6733997E" w14:textId="688BCB00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41946CC9" w14:textId="7EAD9820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761E3814" w14:textId="414316C4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005A4809" w14:textId="485247A5" w:rsidR="001973E9" w:rsidRPr="00C705DC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kolejne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dawce.</w:t>
            </w:r>
          </w:p>
          <w:p w14:paraId="228A42FC" w14:textId="33EA6694" w:rsidR="001973E9" w:rsidRPr="00C705DC" w:rsidRDefault="001973E9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rozpadu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(TLS).</w:t>
            </w:r>
          </w:p>
          <w:p w14:paraId="2D387C7D" w14:textId="0C512335" w:rsidR="001973E9" w:rsidRPr="00C705DC" w:rsidRDefault="001973E9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lekarza,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niektórych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zwłaszcza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wysokim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TLS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konieczne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szpitalne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przyjęcia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intensywnej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profilaktyki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godzin.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powtórnej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hospitalizację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kolejnego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zwiększania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5DC">
              <w:rPr>
                <w:rFonts w:ascii="Times New Roman" w:hAnsi="Times New Roman" w:cs="Times New Roman"/>
                <w:sz w:val="20"/>
                <w:szCs w:val="20"/>
              </w:rPr>
              <w:t>dawki.</w:t>
            </w:r>
          </w:p>
          <w:p w14:paraId="185D2640" w14:textId="77777777" w:rsidR="001973E9" w:rsidRPr="00FA6436" w:rsidRDefault="001973E9" w:rsidP="00301463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0BDCC526" w:rsidR="005A652A" w:rsidRPr="00FA6436" w:rsidRDefault="00BC3CB9" w:rsidP="00301463">
            <w:pPr>
              <w:pStyle w:val="Akapitzlist"/>
              <w:numPr>
                <w:ilvl w:val="0"/>
                <w:numId w:val="1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C705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72ADA5A3" w14:textId="65AA2178" w:rsidR="00BC3CB9" w:rsidRPr="00C705DC" w:rsidRDefault="00930C9F" w:rsidP="00301463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zmniejszania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odpowiedniego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leku.</w:t>
            </w:r>
          </w:p>
        </w:tc>
        <w:tc>
          <w:tcPr>
            <w:tcW w:w="5612" w:type="dxa"/>
          </w:tcPr>
          <w:p w14:paraId="32BBCCA9" w14:textId="1D8A8EFA" w:rsidR="00D34AD7" w:rsidRPr="00FA6436" w:rsidRDefault="00D34AD7" w:rsidP="00301463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11E5AE29" w14:textId="678B65A0" w:rsidR="004A50DE" w:rsidRPr="00FA6436" w:rsidRDefault="004A50DE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niezbędne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ustalenia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rozpoznania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limfocytowej,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były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wcześniej:</w:t>
            </w:r>
          </w:p>
          <w:p w14:paraId="713C172F" w14:textId="71B2743D" w:rsidR="004A50DE" w:rsidRPr="00FA6436" w:rsidRDefault="004A50D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CD20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(szczególnie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stosowaniu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przeciwciałami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anty-CD20)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87DFA0" w14:textId="4ACDB656" w:rsidR="00C5381E" w:rsidRPr="00FA6436" w:rsidRDefault="004A50D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rozmazem,</w:t>
            </w:r>
          </w:p>
          <w:p w14:paraId="7DC59AF6" w14:textId="3EB7D54B" w:rsidR="00C5381E" w:rsidRPr="00FA6436" w:rsidRDefault="00C5381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delecji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17p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(del17p)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0153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TP53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(mut</w:t>
            </w:r>
            <w:r w:rsidR="005E6763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TP53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statusu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763" w:rsidRPr="00FA6436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E6763"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IgHV</w:t>
            </w:r>
            <w:proofErr w:type="spellEnd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poszczególnych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schematów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9B4"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A6FF9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DADA86" w14:textId="4C2FCA71" w:rsidR="005857BA" w:rsidRPr="00FA6436" w:rsidRDefault="004A50D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wydolności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346982F" w14:textId="32395EE3" w:rsidR="005857BA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E5B929" w14:textId="705901B3" w:rsidR="005857BA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wskaźnika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B3621F" w14:textId="358CBE73" w:rsidR="005857BA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kwas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moczow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7878D6E" w14:textId="0D8A2F57" w:rsidR="005857BA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(LDH),</w:t>
            </w:r>
          </w:p>
          <w:p w14:paraId="4FDCD1FA" w14:textId="2A8EFA1E" w:rsidR="005857BA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3A62385F" w14:textId="065B357A" w:rsidR="0021321C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3BE425E" w14:textId="52F93102" w:rsidR="004A50DE" w:rsidRPr="00FA6436" w:rsidRDefault="0021321C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dodatkowo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6B5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7E6" w:rsidRPr="00FA643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7E6" w:rsidRPr="00FA6436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F136B5"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F27E6" w:rsidRP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7E6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F27E6" w:rsidRP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akalabrutynibem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3807"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3807" w:rsidRP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zanubrutynibem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protrombinowego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(PT)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D40742" w14:textId="6EAA48CB" w:rsidR="0021321C" w:rsidRPr="00FA6436" w:rsidRDefault="0021321C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7E6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7E6" w:rsidRPr="00FA643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769C">
              <w:rPr>
                <w:rFonts w:ascii="Times New Roman" w:hAnsi="Times New Roman" w:cs="Times New Roman"/>
                <w:sz w:val="20"/>
                <w:szCs w:val="20"/>
              </w:rPr>
              <w:t xml:space="preserve">terapii z zastosowaniem </w:t>
            </w:r>
            <w:proofErr w:type="spellStart"/>
            <w:r w:rsidR="006F769C" w:rsidRPr="005C15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0F0CCB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proofErr w:type="spellStart"/>
            <w:r w:rsidR="000F0CCB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0F0CCB">
              <w:rPr>
                <w:rFonts w:ascii="Times New Roman" w:hAnsi="Times New Roman" w:cs="Times New Roman"/>
                <w:sz w:val="20"/>
                <w:szCs w:val="20"/>
              </w:rPr>
              <w:t xml:space="preserve"> lub w połączeniu z przeciwciałem monoklonalnym anty-CD20 albo </w:t>
            </w:r>
            <w:proofErr w:type="spellStart"/>
            <w:r w:rsidR="000F0CCB" w:rsidRPr="005C15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ibrutynibem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1CCEDCE" w14:textId="4F62255B" w:rsidR="0021321C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1DCBCE4F" w14:textId="6C260CEF" w:rsidR="0021321C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4CD22FCB" w14:textId="0DB1751B" w:rsidR="004A50DE" w:rsidRPr="00FA6436" w:rsidRDefault="0021321C" w:rsidP="00301463">
            <w:pPr>
              <w:pStyle w:val="Akapitzlist"/>
              <w:numPr>
                <w:ilvl w:val="5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AC9218" w14:textId="4621846F" w:rsidR="004A50DE" w:rsidRPr="00FA6436" w:rsidRDefault="004A50D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zaawansowania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Rai'a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Bineta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5EC4104" w14:textId="5BBE6375" w:rsidR="004A50DE" w:rsidRPr="00FA6436" w:rsidRDefault="004A50D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74D4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74D4" w:rsidRPr="00FA6436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74D4" w:rsidRPr="00FA643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obrazow</w:t>
            </w:r>
            <w:r w:rsidR="00DF74D4" w:rsidRPr="00FA6436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(USG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brzusznej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MRI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wybór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rodzaju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lekarza),</w:t>
            </w:r>
          </w:p>
          <w:p w14:paraId="26E23FAB" w14:textId="70D31504" w:rsidR="004A50DE" w:rsidRPr="00FA6436" w:rsidRDefault="005E24A0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obinutuzumabem</w:t>
            </w:r>
            <w:proofErr w:type="spellEnd"/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chlorambucylem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zanubrutynibem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705DC" w:rsidRPr="00FA6436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05DC" w:rsidRPr="00FA643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konieczna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spełnienia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programu)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nasilenia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towarzyszących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0DE" w:rsidRPr="00FA6436">
              <w:rPr>
                <w:rFonts w:ascii="Times New Roman" w:hAnsi="Times New Roman" w:cs="Times New Roman"/>
                <w:sz w:val="20"/>
                <w:szCs w:val="20"/>
              </w:rPr>
              <w:t>CIRS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721748" w14:textId="1C170F54" w:rsidR="004A50DE" w:rsidRPr="00FA6436" w:rsidRDefault="004A50DE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(HBsAg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HBcAb,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DNA);</w:t>
            </w:r>
          </w:p>
          <w:p w14:paraId="03E2C908" w14:textId="130723A4" w:rsidR="0021321C" w:rsidRPr="00FA6436" w:rsidRDefault="00CB7324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3DA7" w:rsidRPr="00FA6436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(anty-HCV,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21C" w:rsidRPr="00FA6436">
              <w:rPr>
                <w:rFonts w:ascii="Times New Roman" w:hAnsi="Times New Roman" w:cs="Times New Roman"/>
                <w:sz w:val="20"/>
                <w:szCs w:val="20"/>
              </w:rPr>
              <w:t>RNA);</w:t>
            </w:r>
          </w:p>
          <w:p w14:paraId="37224C27" w14:textId="516A3E35" w:rsidR="00C5381E" w:rsidRPr="00FA6436" w:rsidRDefault="0021321C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elektrokardiografia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381E" w:rsidRPr="00FA6436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5381E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F42368" w14:textId="3B933F7F" w:rsidR="004A50DE" w:rsidRPr="00FA6436" w:rsidRDefault="004A50DE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24" w:rsidRPr="00FA6436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24" w:rsidRPr="00FA6436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24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24" w:rsidRPr="00FA6436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24" w:rsidRPr="00FA6436">
              <w:rPr>
                <w:rFonts w:ascii="Times New Roman" w:hAnsi="Times New Roman" w:cs="Times New Roman"/>
                <w:sz w:val="20"/>
                <w:szCs w:val="20"/>
              </w:rPr>
              <w:t>rozrodczym).</w:t>
            </w:r>
          </w:p>
          <w:p w14:paraId="5BF96001" w14:textId="77777777" w:rsidR="00075B4B" w:rsidRPr="00FA6436" w:rsidRDefault="00075B4B" w:rsidP="00301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0B4FB93B" w14:textId="598CDAB6" w:rsidR="00992176" w:rsidRPr="00FA6436" w:rsidRDefault="009C2DB3" w:rsidP="00301463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3807"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357992B3" w14:textId="4A8C0292" w:rsidR="00E22859" w:rsidRPr="00FA6436" w:rsidRDefault="00BD2397" w:rsidP="00301463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i</w:t>
            </w:r>
            <w:r w:rsidR="00E22859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brutynib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D32C4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akalabrutynib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2859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03807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03807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zanubrutynib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03807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03807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0E21527A" w14:textId="528EE4DA" w:rsidR="00E22859" w:rsidRPr="00FA6436" w:rsidRDefault="00C01303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</w:t>
            </w:r>
            <w:r w:rsidR="00092CD1" w:rsidRPr="00FA643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F502DB" w:rsidRPr="00FA64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E22B28D" w14:textId="6D5D32C2" w:rsidR="00BD2397" w:rsidRPr="00FA6436" w:rsidRDefault="00E22859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397" w:rsidRPr="00FA6436">
              <w:rPr>
                <w:rFonts w:ascii="Times New Roman" w:hAnsi="Times New Roman" w:cs="Times New Roman"/>
                <w:sz w:val="20"/>
                <w:szCs w:val="20"/>
              </w:rPr>
              <w:t>rozmazem;</w:t>
            </w:r>
          </w:p>
          <w:p w14:paraId="22F49697" w14:textId="48C96337" w:rsidR="00E22859" w:rsidRPr="00FA6436" w:rsidRDefault="00C01303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miesiące:</w:t>
            </w:r>
          </w:p>
          <w:p w14:paraId="7FF2253E" w14:textId="3E75A89F" w:rsidR="0097546E" w:rsidRPr="00C2078C" w:rsidRDefault="0097546E" w:rsidP="00C2078C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58951F9E" w14:textId="3C272B20" w:rsidR="00BD2397" w:rsidRPr="00FA6436" w:rsidRDefault="0097546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0600BADF" w14:textId="2B3EE2A4" w:rsidR="00C01303" w:rsidRPr="00FA6436" w:rsidRDefault="00C01303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2CD1" w:rsidRPr="00FA6436">
              <w:rPr>
                <w:rFonts w:ascii="Times New Roman" w:hAnsi="Times New Roman" w:cs="Times New Roman"/>
                <w:sz w:val="20"/>
                <w:szCs w:val="20"/>
              </w:rPr>
              <w:t>okresowe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2CD1" w:rsidRPr="00FA6436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CE353D4" w14:textId="1C492928" w:rsidR="00092CD1" w:rsidRPr="00FA6436" w:rsidRDefault="0097546E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zaburzeniami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nerek,</w:t>
            </w:r>
          </w:p>
          <w:p w14:paraId="5B617A45" w14:textId="0897D6DF" w:rsidR="00E22859" w:rsidRPr="00FA6436" w:rsidRDefault="0097546E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elektrokardiografia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D32C4" w:rsidRPr="00FA6436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wykrycia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migotania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przedsionków</w:t>
            </w:r>
            <w:r w:rsidR="00092CD1" w:rsidRPr="00FA64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FCBF853" w14:textId="069404BC" w:rsidR="00BA71B0" w:rsidRPr="00C705DC" w:rsidRDefault="00BA71B0" w:rsidP="0030146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Dopuszczalne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częstsze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klinicznych.</w:t>
            </w:r>
          </w:p>
          <w:p w14:paraId="286927BB" w14:textId="77777777" w:rsidR="00353AF3" w:rsidRPr="00FA6436" w:rsidRDefault="00353AF3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99765" w14:textId="147CED00" w:rsidR="00E22859" w:rsidRPr="00FA6436" w:rsidRDefault="00E22859" w:rsidP="00301463">
            <w:pPr>
              <w:pStyle w:val="Akapitzlist"/>
              <w:numPr>
                <w:ilvl w:val="1"/>
                <w:numId w:val="2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obinutuzumab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chlorambucylem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E81D0A3" w14:textId="6AD9B933" w:rsidR="00E22859" w:rsidRPr="00FA6436" w:rsidRDefault="00BA71B0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leku:</w:t>
            </w:r>
          </w:p>
          <w:p w14:paraId="152DD9FB" w14:textId="0345D023" w:rsidR="00E22859" w:rsidRPr="00FA6436" w:rsidRDefault="00E22859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</w:t>
            </w:r>
            <w:r w:rsidR="00BA71B0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71B0"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71B0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7E08AD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592378" w14:textId="582FD75C" w:rsidR="0097546E" w:rsidRPr="00FA6436" w:rsidRDefault="0097546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48F69033" w14:textId="5C4C8AE6" w:rsidR="0097546E" w:rsidRPr="00FA6436" w:rsidRDefault="0097546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606C441" w14:textId="18E71A1D" w:rsidR="0097546E" w:rsidRPr="00FA6436" w:rsidRDefault="0097546E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1B1020B7" w14:textId="520F1F4D" w:rsidR="00E22859" w:rsidRPr="00FA6436" w:rsidRDefault="0097546E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krwi.</w:t>
            </w:r>
          </w:p>
          <w:p w14:paraId="67087BCA" w14:textId="77777777" w:rsidR="00E22859" w:rsidRPr="00FA6436" w:rsidRDefault="00E22859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3E233" w14:textId="4BA1F3DC" w:rsidR="003C365D" w:rsidRPr="00FA6436" w:rsidRDefault="00E22859" w:rsidP="00301463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wenetoklak</w:t>
            </w:r>
            <w:r w:rsidR="007E08AD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obinutuzumabem</w:t>
            </w:r>
            <w:proofErr w:type="spellEnd"/>
          </w:p>
          <w:p w14:paraId="4EC3BA88" w14:textId="0F5A2F90" w:rsidR="003C365D" w:rsidRPr="00FA6436" w:rsidRDefault="003C365D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FEE"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285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obinutuzumabem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285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(cykle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1-6)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285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obinutuzumab</w:t>
            </w:r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  <w:proofErr w:type="spellEnd"/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E778CF9" w14:textId="568AF421" w:rsidR="003C365D" w:rsidRPr="00FA6436" w:rsidRDefault="003C365D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7E08AD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730469" w14:textId="4D087A1C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6472D225" w14:textId="42667AFC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23F4D379" w14:textId="5349EB6A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0261905E" w14:textId="3D28F30E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EB5B6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3EC1D98" w14:textId="063B4FCC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3-6),</w:t>
            </w:r>
          </w:p>
          <w:p w14:paraId="443839F2" w14:textId="0964C24F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3-6),</w:t>
            </w:r>
          </w:p>
          <w:p w14:paraId="3C13CEB5" w14:textId="67013248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3-6)</w:t>
            </w:r>
            <w:r w:rsidR="00EB5B6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F7085F" w14:textId="305864A7" w:rsidR="002C019A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  <w:r w:rsidR="002C019A" w:rsidRPr="00FA643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E08AD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2A63C1" w14:textId="58890C40" w:rsidR="00D435CE" w:rsidRPr="00FA6436" w:rsidRDefault="003C365D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FEE"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dostosowywania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2859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(od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B46FCC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6FCC" w:rsidRPr="00FA643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6FCC" w:rsidRPr="00FA6436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tydzień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tygodni):</w:t>
            </w:r>
          </w:p>
          <w:p w14:paraId="10584397" w14:textId="07D70ED6" w:rsidR="00D435CE" w:rsidRPr="00FA6436" w:rsidRDefault="00E22859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365D"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365D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365D" w:rsidRPr="00FA6436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7E08AD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8048C1A" w14:textId="51163D25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417FA600" w14:textId="088820E8" w:rsidR="007E4A0D" w:rsidRPr="00FA6436" w:rsidRDefault="007E4A0D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59101EB2" w14:textId="05968768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5A76848E" w14:textId="73E378B0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0FC81906" w14:textId="47D901D1" w:rsidR="007E4A0D" w:rsidRPr="00FA6436" w:rsidRDefault="007E4A0D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7D09523B" w14:textId="41E5B8BE" w:rsidR="00D435CE" w:rsidRPr="00FA6436" w:rsidRDefault="007E4A0D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2BE974" w14:textId="4B2CEFA9" w:rsidR="007E4A0D" w:rsidRPr="00FA6436" w:rsidRDefault="0060064F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badani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</w:t>
            </w:r>
            <w:r w:rsidR="000146EB" w:rsidRPr="00FA643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7-12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7E4A0D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C5CCD84" w14:textId="55D981EE" w:rsidR="00DD229F" w:rsidRPr="00FA6436" w:rsidRDefault="007E4A0D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12:</w:t>
            </w:r>
          </w:p>
          <w:p w14:paraId="0A462820" w14:textId="064CFD88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407E048E" w14:textId="2638D304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D818684" w14:textId="18569168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2D124202" w14:textId="2E117DAC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07B0837" w14:textId="42DD59CC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7AF6F660" w14:textId="08F636B3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73CDB65E" w14:textId="39D9CA51" w:rsidR="00421775" w:rsidRPr="00FA6436" w:rsidRDefault="00DD229F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D435CE" w:rsidRPr="00FA64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F7F67EE" w14:textId="2279637D" w:rsidR="00E06D10" w:rsidRDefault="00E06D10" w:rsidP="0030146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Dopuszczalne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częstsze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monitorowanie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wskazań</w:t>
            </w:r>
            <w:r w:rsid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klinicznych.</w:t>
            </w:r>
          </w:p>
          <w:p w14:paraId="432A0C34" w14:textId="77777777" w:rsidR="00BC7349" w:rsidRPr="00C705DC" w:rsidRDefault="00BC7349" w:rsidP="0030146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5F26913" w14:textId="4BF964E2" w:rsidR="00BC7349" w:rsidRPr="00BC7349" w:rsidRDefault="00BC7349" w:rsidP="00301463">
            <w:pPr>
              <w:pStyle w:val="Akapitzlist"/>
              <w:numPr>
                <w:ilvl w:val="1"/>
                <w:numId w:val="2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C734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ibrutynib</w:t>
            </w:r>
            <w:proofErr w:type="spellEnd"/>
            <w:r w:rsidRPr="00BC734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BC734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wenetoklaksem</w:t>
            </w:r>
            <w:proofErr w:type="spellEnd"/>
          </w:p>
          <w:p w14:paraId="5FB5C72E" w14:textId="77777777" w:rsidR="00BC7349" w:rsidRDefault="00BC7349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badanie wykonywane 1 raz w miesiącu (przed rozpoczęciem każdego cyklu):</w:t>
            </w:r>
          </w:p>
          <w:p w14:paraId="5BA72246" w14:textId="77777777" w:rsidR="00BC7349" w:rsidRDefault="00BC7349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morfologia krwi obwodowej z rozmazem;</w:t>
            </w:r>
          </w:p>
          <w:p w14:paraId="35DACD38" w14:textId="40E3DBA3" w:rsidR="00BC7349" w:rsidRDefault="00BC7349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badania wykonywane co 3 miesiące</w:t>
            </w:r>
            <w:r w:rsidR="00497B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tj. przed rozpoczęciem cyklu 4, 7, 10 i 13):</w:t>
            </w:r>
          </w:p>
          <w:p w14:paraId="694ABD31" w14:textId="77777777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5011F38E" w14:textId="77777777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5BB9759C" w14:textId="77777777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74E1D881" w14:textId="24C0C424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73BD037" w14:textId="23E3748D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CAF917D" w14:textId="20148FCC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66D5B80" w14:textId="1C676FF4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5FFA580" w14:textId="272226F5" w:rsidR="00BC7349" w:rsidRPr="00497B52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B7CF644" w14:textId="77777777" w:rsidR="00BC7349" w:rsidRDefault="00BC7349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badania wykonywane przed pierwszym podaniem </w:t>
            </w:r>
            <w:proofErr w:type="spellStart"/>
            <w:r w:rsidRPr="00313A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oraz co tydzień przez okres dostosowania dawki:</w:t>
            </w:r>
          </w:p>
          <w:p w14:paraId="64007594" w14:textId="77777777" w:rsidR="00BC7349" w:rsidRDefault="00BC7349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morfologia krwi obwodowej z rozmazem,</w:t>
            </w:r>
          </w:p>
          <w:p w14:paraId="12316BEA" w14:textId="77777777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0D05AF23" w14:textId="0653D01D" w:rsidR="00497B52" w:rsidRPr="00FA6436" w:rsidRDefault="00497B52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EB5B6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0902CB" w14:textId="77777777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8BCE750" w14:textId="77777777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2029911" w14:textId="77777777" w:rsidR="00497B52" w:rsidRPr="00FA6436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8B6F312" w14:textId="77777777" w:rsidR="00497B52" w:rsidRPr="00497B52" w:rsidRDefault="00497B52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E639FC" w14:textId="77777777" w:rsidR="00BC7349" w:rsidRDefault="00BC7349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zgodnie z aktualną Charakterystyką Produktu Leczniczego dla </w:t>
            </w:r>
            <w:proofErr w:type="spellStart"/>
            <w:r w:rsidRPr="00313A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ibrutynibu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okresowe badania:</w:t>
            </w:r>
          </w:p>
          <w:p w14:paraId="084B619A" w14:textId="77777777" w:rsidR="00BC7349" w:rsidRDefault="00BC7349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EKG w celu wykrycia migotania przedsionków.</w:t>
            </w:r>
          </w:p>
          <w:p w14:paraId="3FC894F3" w14:textId="2D97E7D6" w:rsidR="00E22859" w:rsidRDefault="00BC7349" w:rsidP="0030146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Dopuszczalne jest częstsze monitorowanie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br/>
              <w:t>w zależności od wskazań klinicznych</w:t>
            </w:r>
            <w:r w:rsidR="00497B5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C8E0D2F" w14:textId="77777777" w:rsidR="00497B52" w:rsidRPr="00FA6436" w:rsidRDefault="00497B52" w:rsidP="00301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06F2C4" w14:textId="3C52CB7F" w:rsidR="00E22859" w:rsidRPr="00FA6436" w:rsidRDefault="00E22859" w:rsidP="00301463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</w:t>
            </w:r>
            <w:r w:rsidR="007E08AD"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ks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skojarzeniu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rytuksymabem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6D0931" w:rsidRPr="00FA64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C705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wenetoklaks</w:t>
            </w:r>
            <w:proofErr w:type="spellEnd"/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64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3B0E2DA6" w14:textId="2920665D" w:rsidR="00D53895" w:rsidRPr="00FA6436" w:rsidRDefault="003C365D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FEE"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D6093"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tygodnia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dostosowania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dawki:</w:t>
            </w:r>
          </w:p>
          <w:p w14:paraId="4CAA8CD8" w14:textId="47097E9A" w:rsidR="00D53895" w:rsidRPr="00FA6436" w:rsidRDefault="00D53895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rozmazem,</w:t>
            </w:r>
          </w:p>
          <w:p w14:paraId="64174697" w14:textId="46EE3550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6BFC0C35" w14:textId="7B17AFAD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F6D4909" w14:textId="6026B578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5E97BACE" w14:textId="1A5A7B53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5E17B37" w14:textId="5BC6E949" w:rsidR="00D53895" w:rsidRPr="00FA6436" w:rsidRDefault="00DD229F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7E08AD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063D07" w14:textId="3575ACE5" w:rsidR="00E22859" w:rsidRPr="00FA6436" w:rsidRDefault="002D6093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adani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2FEE"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dostosowywania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2859" w:rsidRPr="00FA6436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229F" w:rsidRPr="00FA6436">
              <w:rPr>
                <w:rFonts w:ascii="Times New Roman" w:hAnsi="Times New Roman" w:cs="Times New Roman"/>
                <w:sz w:val="20"/>
                <w:szCs w:val="20"/>
              </w:rPr>
              <w:t>rozmazem;</w:t>
            </w:r>
          </w:p>
          <w:p w14:paraId="36D73292" w14:textId="647E8906" w:rsidR="00DD229F" w:rsidRPr="00FA6436" w:rsidRDefault="00DD229F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dostosowywania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22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wenetoklaksu</w:t>
            </w:r>
            <w:proofErr w:type="spellEnd"/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miesiące:</w:t>
            </w:r>
          </w:p>
          <w:p w14:paraId="653F0943" w14:textId="473C4BB6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E532AAE" w14:textId="7EAD248C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EB5B6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79918CD" w14:textId="454066F4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67591DCD" w14:textId="5BE7AEEA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fosforanów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60D93D8D" w14:textId="46C5B6D9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091B42A3" w14:textId="4FBB21E2" w:rsidR="00DD229F" w:rsidRPr="00FA6436" w:rsidRDefault="00DD229F" w:rsidP="00301463">
            <w:pPr>
              <w:numPr>
                <w:ilvl w:val="4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 w:rsidR="00C2078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D816B7" w14:textId="08CD7554" w:rsidR="00DD229F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(ALT),</w:t>
            </w:r>
          </w:p>
          <w:p w14:paraId="41975E28" w14:textId="71B63CE4" w:rsidR="00E22859" w:rsidRPr="00FA6436" w:rsidRDefault="00DD229F" w:rsidP="00301463">
            <w:pPr>
              <w:pStyle w:val="Akapitzlist"/>
              <w:numPr>
                <w:ilvl w:val="4"/>
                <w:numId w:val="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590A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3F264F3" w14:textId="77777777" w:rsidR="00BA71B0" w:rsidRPr="00FA6436" w:rsidRDefault="00BA71B0" w:rsidP="00301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1517B14C" w14:textId="086F03FE" w:rsidR="00BA71B0" w:rsidRPr="00FA6436" w:rsidRDefault="005857BA" w:rsidP="00301463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71B0"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skuteczności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71B0"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2253C579" w14:textId="07045D7B" w:rsidR="00BA71B0" w:rsidRPr="00C705DC" w:rsidRDefault="00F76D87" w:rsidP="003014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pozwalające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skuteczności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powinny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przeprowadzane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799B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miesiące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obowiązującymi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zaleceniami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International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Workshop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on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Chronic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Lymphocytic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Leukaemia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iwCLL</w:t>
            </w:r>
            <w:proofErr w:type="spellEnd"/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uwzględnieniem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kategorii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częściowej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limfocytozą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B615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B615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B615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0B6150"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ibrutynibem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B615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0B6150"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akalabrutynibem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792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B77920"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zanubrutynibem</w:t>
            </w:r>
            <w:proofErr w:type="spellEnd"/>
            <w:r w:rsidR="000B615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BA71B0"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25A417B1" w14:textId="55DE3F99" w:rsidR="00F76D87" w:rsidRPr="00FA6436" w:rsidRDefault="00BA71B0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obwodowej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76D87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rozmazem;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368D32E2" w14:textId="567792DC" w:rsidR="00F76D87" w:rsidRPr="00FA6436" w:rsidRDefault="00BA71B0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obrazowe: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USG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jamy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brzusznej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7920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TK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klatki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piersiowej,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jamy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brzusznej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miednicy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(potrzeba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obrazowych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ich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rodzaj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decyzji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zależności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sytuacji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klinicznej)</w:t>
            </w:r>
            <w:r w:rsidR="00F76D87"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8F95D1E" w14:textId="3CAC69F8" w:rsidR="00BA71B0" w:rsidRPr="00FA6436" w:rsidRDefault="00BA71B0" w:rsidP="00301463">
            <w:pPr>
              <w:pStyle w:val="Akapitzlist"/>
              <w:numPr>
                <w:ilvl w:val="3"/>
                <w:numId w:val="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biopsja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aspiracyjna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266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lub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trepanobiopsja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bookmarkStart w:id="0" w:name="_Hlk159913712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potwierdzeniu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remisji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cytopenii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nieokreślonej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przyczynie</w:t>
            </w:r>
            <w:bookmarkEnd w:id="0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4815E4CC" w14:textId="083B283A" w:rsidR="00C478CD" w:rsidRPr="00C705DC" w:rsidRDefault="00C478CD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przeprowadzona,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miarę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możliwości,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wykorzystaniem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samego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rodzaju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obrazowych,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był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zastosowany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podczas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kwalifikowania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leczenia.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AF745A6" w14:textId="70703822" w:rsidR="00C478CD" w:rsidRPr="00C705DC" w:rsidRDefault="00C478CD" w:rsidP="003014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Wykonane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pozwolić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obiektywną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ocenę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leczenie.</w:t>
            </w:r>
          </w:p>
          <w:p w14:paraId="49030447" w14:textId="77777777" w:rsidR="00F76D87" w:rsidRPr="00FA6436" w:rsidRDefault="00F76D87" w:rsidP="00301463">
            <w:pPr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A3CCAF7" w14:textId="0876D7D2" w:rsidR="009C2DB3" w:rsidRPr="00FA6436" w:rsidRDefault="00BA71B0" w:rsidP="00301463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C70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7D348D2F" w:rsidR="009C2DB3" w:rsidRPr="00FA6436" w:rsidRDefault="00E53428" w:rsidP="00301463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1D9B67" w14:textId="298C5660" w:rsidR="00B77920" w:rsidRPr="00FA6436" w:rsidRDefault="00E53428" w:rsidP="00301463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A643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pacjenta,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20" w:rsidRPr="00FA6436">
              <w:rPr>
                <w:rFonts w:ascii="Times New Roman" w:hAnsi="Times New Roman" w:cs="Times New Roman"/>
                <w:sz w:val="20"/>
                <w:szCs w:val="20"/>
              </w:rPr>
              <w:t>spośród:</w:t>
            </w:r>
          </w:p>
          <w:p w14:paraId="22DFB40F" w14:textId="74C28276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(CR),</w:t>
            </w:r>
          </w:p>
          <w:p w14:paraId="7B0B5DD1" w14:textId="2CA579EC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częściowa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(PR),</w:t>
            </w:r>
          </w:p>
          <w:p w14:paraId="7E1B07DE" w14:textId="7ABA1759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częściowa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odpowiedź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limfocytozą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(PR-L)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–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ibrutynibem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akalabrutynibem</w:t>
            </w:r>
            <w:proofErr w:type="spellEnd"/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C7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705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zanubrutynibem</w:t>
            </w:r>
            <w:proofErr w:type="spellEnd"/>
            <w:r w:rsidRPr="00FA6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6E09D40B" w14:textId="541DDE22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stabilna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(SD),</w:t>
            </w:r>
          </w:p>
          <w:p w14:paraId="0A18A8B4" w14:textId="5F6FD67E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(NR),</w:t>
            </w:r>
          </w:p>
          <w:p w14:paraId="6F0CBADC" w14:textId="33BEE1A9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(PD),</w:t>
            </w:r>
          </w:p>
          <w:p w14:paraId="79648035" w14:textId="30AF61DA" w:rsidR="00B77920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(PFS),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BBE828E" w14:textId="6726C5A5" w:rsidR="00435124" w:rsidRPr="00FA6436" w:rsidRDefault="00B77920" w:rsidP="00301463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całkowite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(OS)</w:t>
            </w:r>
            <w:r w:rsidR="00E53428" w:rsidRPr="00FA643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DB3D6C1" w14:textId="3DE8F35C" w:rsidR="00687D33" w:rsidRDefault="00E53428" w:rsidP="00301463">
            <w:pPr>
              <w:numPr>
                <w:ilvl w:val="3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FA643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lub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70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A643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FA6436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  <w:p w14:paraId="1F4F4E65" w14:textId="1814DFAF" w:rsidR="00C705DC" w:rsidRPr="00FA6436" w:rsidRDefault="00C705DC" w:rsidP="00301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3C5318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BB44D" w14:textId="77777777" w:rsidR="00CA4AB8" w:rsidRDefault="00CA4AB8" w:rsidP="00687D33">
      <w:pPr>
        <w:spacing w:after="0" w:line="240" w:lineRule="auto"/>
      </w:pPr>
      <w:r>
        <w:separator/>
      </w:r>
    </w:p>
  </w:endnote>
  <w:endnote w:type="continuationSeparator" w:id="0">
    <w:p w14:paraId="74818FAD" w14:textId="77777777" w:rsidR="00CA4AB8" w:rsidRDefault="00CA4AB8" w:rsidP="00687D33">
      <w:pPr>
        <w:spacing w:after="0" w:line="240" w:lineRule="auto"/>
      </w:pPr>
      <w:r>
        <w:continuationSeparator/>
      </w:r>
    </w:p>
  </w:endnote>
  <w:endnote w:type="continuationNotice" w:id="1">
    <w:p w14:paraId="0F42F4C5" w14:textId="77777777" w:rsidR="00CA4AB8" w:rsidRDefault="00CA4A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DC329" w14:textId="77777777" w:rsidR="000F7047" w:rsidRDefault="000F704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A422F" w14:textId="77777777" w:rsidR="00CA4AB8" w:rsidRDefault="00CA4AB8" w:rsidP="00687D33">
      <w:pPr>
        <w:spacing w:after="0" w:line="240" w:lineRule="auto"/>
      </w:pPr>
      <w:r>
        <w:separator/>
      </w:r>
    </w:p>
  </w:footnote>
  <w:footnote w:type="continuationSeparator" w:id="0">
    <w:p w14:paraId="41F16572" w14:textId="77777777" w:rsidR="00CA4AB8" w:rsidRDefault="00CA4AB8" w:rsidP="00687D33">
      <w:pPr>
        <w:spacing w:after="0" w:line="240" w:lineRule="auto"/>
      </w:pPr>
      <w:r>
        <w:continuationSeparator/>
      </w:r>
    </w:p>
  </w:footnote>
  <w:footnote w:type="continuationNotice" w:id="1">
    <w:p w14:paraId="41473B3D" w14:textId="77777777" w:rsidR="00CA4AB8" w:rsidRDefault="00CA4A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47F8" w14:textId="77777777" w:rsidR="000F7047" w:rsidRDefault="000F704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78"/>
    <w:multiLevelType w:val="multilevel"/>
    <w:tmpl w:val="8B8C1E8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3CC48AD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4E41E9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6DB40F6"/>
    <w:multiLevelType w:val="hybridMultilevel"/>
    <w:tmpl w:val="800A65D8"/>
    <w:lvl w:ilvl="0" w:tplc="3A1249F4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06EE0EE0"/>
    <w:multiLevelType w:val="hybridMultilevel"/>
    <w:tmpl w:val="304E6AB8"/>
    <w:lvl w:ilvl="0" w:tplc="18281244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D5F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0EB57261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0DC05A9"/>
    <w:multiLevelType w:val="multilevel"/>
    <w:tmpl w:val="7452DF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2381B7D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24F0901"/>
    <w:multiLevelType w:val="multilevel"/>
    <w:tmpl w:val="285C99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4070F35"/>
    <w:multiLevelType w:val="multilevel"/>
    <w:tmpl w:val="0562C34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6A60F1D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E597DB1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E71060E"/>
    <w:multiLevelType w:val="multilevel"/>
    <w:tmpl w:val="F9EA2C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227" w:hanging="227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4)"/>
      <w:lvlJc w:val="left"/>
      <w:pPr>
        <w:ind w:left="454" w:hanging="227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2816B97"/>
    <w:multiLevelType w:val="multilevel"/>
    <w:tmpl w:val="7E6C75D0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4325A79"/>
    <w:multiLevelType w:val="multilevel"/>
    <w:tmpl w:val="F99C8A3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/>
        <w:i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750685F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7DF5D50"/>
    <w:multiLevelType w:val="hybridMultilevel"/>
    <w:tmpl w:val="3306C014"/>
    <w:lvl w:ilvl="0" w:tplc="0809001B">
      <w:start w:val="1"/>
      <w:numFmt w:val="lowerRoman"/>
      <w:lvlText w:val="%1."/>
      <w:lvlJc w:val="right"/>
      <w:pPr>
        <w:ind w:left="1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2C434523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2EBA5253"/>
    <w:multiLevelType w:val="multilevel"/>
    <w:tmpl w:val="BCC455E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2EE95334"/>
    <w:multiLevelType w:val="multilevel"/>
    <w:tmpl w:val="0644CA9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4D63D2A"/>
    <w:multiLevelType w:val="multilevel"/>
    <w:tmpl w:val="91807C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5D140C4"/>
    <w:multiLevelType w:val="multilevel"/>
    <w:tmpl w:val="D7EC0E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A417D0D"/>
    <w:multiLevelType w:val="multilevel"/>
    <w:tmpl w:val="756AE868"/>
    <w:lvl w:ilvl="0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0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90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113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136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158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81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6" w:hanging="1440"/>
      </w:pPr>
      <w:rPr>
        <w:rFonts w:hint="default"/>
      </w:rPr>
    </w:lvl>
  </w:abstractNum>
  <w:abstractNum w:abstractNumId="24" w15:restartNumberingAfterBreak="0">
    <w:nsid w:val="3BF972FC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3D5C2875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0D4406E"/>
    <w:multiLevelType w:val="multilevel"/>
    <w:tmpl w:val="A9C0B6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i/>
      </w:rPr>
    </w:lvl>
  </w:abstractNum>
  <w:abstractNum w:abstractNumId="27" w15:restartNumberingAfterBreak="0">
    <w:nsid w:val="418D1096"/>
    <w:multiLevelType w:val="hybridMultilevel"/>
    <w:tmpl w:val="5B8ED4E6"/>
    <w:lvl w:ilvl="0" w:tplc="546656F8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D2B2B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47DB6808"/>
    <w:multiLevelType w:val="multilevel"/>
    <w:tmpl w:val="91807C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493B1DA9"/>
    <w:multiLevelType w:val="multilevel"/>
    <w:tmpl w:val="7E6C75D0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4C5510B0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4C686581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4DA87CE5"/>
    <w:multiLevelType w:val="multilevel"/>
    <w:tmpl w:val="285C99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4E4E5151"/>
    <w:multiLevelType w:val="hybridMultilevel"/>
    <w:tmpl w:val="B6B00A18"/>
    <w:lvl w:ilvl="0" w:tplc="0CEC0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709E1"/>
    <w:multiLevelType w:val="hybridMultilevel"/>
    <w:tmpl w:val="38FEB4C6"/>
    <w:lvl w:ilvl="0" w:tplc="D958908A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3B45A4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65AE1F66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6A7029A5"/>
    <w:multiLevelType w:val="hybridMultilevel"/>
    <w:tmpl w:val="A0CE8D4E"/>
    <w:lvl w:ilvl="0" w:tplc="0CEC034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6EEE00AF"/>
    <w:multiLevelType w:val="multilevel"/>
    <w:tmpl w:val="A7562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1E22A2A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73E73DDF"/>
    <w:multiLevelType w:val="hybridMultilevel"/>
    <w:tmpl w:val="C1C08466"/>
    <w:lvl w:ilvl="0" w:tplc="BECAC1CA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74965E31"/>
    <w:multiLevelType w:val="hybridMultilevel"/>
    <w:tmpl w:val="02B2EA12"/>
    <w:lvl w:ilvl="0" w:tplc="F4085D1E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A6F8E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5" w15:restartNumberingAfterBreak="0">
    <w:nsid w:val="768054B5"/>
    <w:multiLevelType w:val="multilevel"/>
    <w:tmpl w:val="0562C34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6" w15:restartNumberingAfterBreak="0">
    <w:nsid w:val="79C66D7A"/>
    <w:multiLevelType w:val="multilevel"/>
    <w:tmpl w:val="10FE230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7" w15:restartNumberingAfterBreak="0">
    <w:nsid w:val="7BD33019"/>
    <w:multiLevelType w:val="multilevel"/>
    <w:tmpl w:val="D0F497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115909073">
    <w:abstractNumId w:val="7"/>
  </w:num>
  <w:num w:numId="2" w16cid:durableId="1774744592">
    <w:abstractNumId w:val="47"/>
  </w:num>
  <w:num w:numId="3" w16cid:durableId="1493251806">
    <w:abstractNumId w:val="41"/>
  </w:num>
  <w:num w:numId="4" w16cid:durableId="2099133939">
    <w:abstractNumId w:val="24"/>
  </w:num>
  <w:num w:numId="5" w16cid:durableId="780688719">
    <w:abstractNumId w:val="22"/>
  </w:num>
  <w:num w:numId="6" w16cid:durableId="717359803">
    <w:abstractNumId w:val="37"/>
  </w:num>
  <w:num w:numId="7" w16cid:durableId="245498423">
    <w:abstractNumId w:val="29"/>
  </w:num>
  <w:num w:numId="8" w16cid:durableId="128014344">
    <w:abstractNumId w:val="3"/>
  </w:num>
  <w:num w:numId="9" w16cid:durableId="88652498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207622">
    <w:abstractNumId w:val="42"/>
  </w:num>
  <w:num w:numId="11" w16cid:durableId="2017490020">
    <w:abstractNumId w:val="23"/>
  </w:num>
  <w:num w:numId="12" w16cid:durableId="1360543003">
    <w:abstractNumId w:val="21"/>
  </w:num>
  <w:num w:numId="13" w16cid:durableId="538013505">
    <w:abstractNumId w:val="0"/>
  </w:num>
  <w:num w:numId="14" w16cid:durableId="1770659923">
    <w:abstractNumId w:val="15"/>
  </w:num>
  <w:num w:numId="15" w16cid:durableId="1602683180">
    <w:abstractNumId w:val="18"/>
  </w:num>
  <w:num w:numId="16" w16cid:durableId="2049336207">
    <w:abstractNumId w:val="10"/>
  </w:num>
  <w:num w:numId="17" w16cid:durableId="829515885">
    <w:abstractNumId w:val="26"/>
  </w:num>
  <w:num w:numId="18" w16cid:durableId="313802167">
    <w:abstractNumId w:val="19"/>
  </w:num>
  <w:num w:numId="19" w16cid:durableId="1634797518">
    <w:abstractNumId w:val="20"/>
  </w:num>
  <w:num w:numId="20" w16cid:durableId="121072043">
    <w:abstractNumId w:val="14"/>
  </w:num>
  <w:num w:numId="21" w16cid:durableId="2046518416">
    <w:abstractNumId w:val="30"/>
  </w:num>
  <w:num w:numId="22" w16cid:durableId="1496066816">
    <w:abstractNumId w:val="46"/>
  </w:num>
  <w:num w:numId="23" w16cid:durableId="303852906">
    <w:abstractNumId w:val="45"/>
  </w:num>
  <w:num w:numId="24" w16cid:durableId="1589146656">
    <w:abstractNumId w:val="17"/>
  </w:num>
  <w:num w:numId="25" w16cid:durableId="1613050922">
    <w:abstractNumId w:val="36"/>
  </w:num>
  <w:num w:numId="26" w16cid:durableId="485323134">
    <w:abstractNumId w:val="40"/>
  </w:num>
  <w:num w:numId="27" w16cid:durableId="66077984">
    <w:abstractNumId w:val="11"/>
  </w:num>
  <w:num w:numId="28" w16cid:durableId="120878602">
    <w:abstractNumId w:val="5"/>
  </w:num>
  <w:num w:numId="29" w16cid:durableId="1810123173">
    <w:abstractNumId w:val="1"/>
  </w:num>
  <w:num w:numId="30" w16cid:durableId="1443920573">
    <w:abstractNumId w:val="25"/>
  </w:num>
  <w:num w:numId="31" w16cid:durableId="2127310064">
    <w:abstractNumId w:val="44"/>
  </w:num>
  <w:num w:numId="32" w16cid:durableId="898633882">
    <w:abstractNumId w:val="32"/>
  </w:num>
  <w:num w:numId="33" w16cid:durableId="916473445">
    <w:abstractNumId w:val="28"/>
  </w:num>
  <w:num w:numId="34" w16cid:durableId="2095977530">
    <w:abstractNumId w:val="38"/>
  </w:num>
  <w:num w:numId="35" w16cid:durableId="1914077166">
    <w:abstractNumId w:val="6"/>
  </w:num>
  <w:num w:numId="36" w16cid:durableId="920330635">
    <w:abstractNumId w:val="2"/>
  </w:num>
  <w:num w:numId="37" w16cid:durableId="290526143">
    <w:abstractNumId w:val="8"/>
  </w:num>
  <w:num w:numId="38" w16cid:durableId="1368527488">
    <w:abstractNumId w:val="39"/>
  </w:num>
  <w:num w:numId="39" w16cid:durableId="1469128850">
    <w:abstractNumId w:val="16"/>
  </w:num>
  <w:num w:numId="40" w16cid:durableId="1601644024">
    <w:abstractNumId w:val="13"/>
  </w:num>
  <w:num w:numId="41" w16cid:durableId="1206721126">
    <w:abstractNumId w:val="4"/>
  </w:num>
  <w:num w:numId="42" w16cid:durableId="1101029208">
    <w:abstractNumId w:val="34"/>
  </w:num>
  <w:num w:numId="43" w16cid:durableId="1939215574">
    <w:abstractNumId w:val="27"/>
  </w:num>
  <w:num w:numId="44" w16cid:durableId="2125229547">
    <w:abstractNumId w:val="35"/>
  </w:num>
  <w:num w:numId="45" w16cid:durableId="1078333028">
    <w:abstractNumId w:val="43"/>
  </w:num>
  <w:num w:numId="46" w16cid:durableId="631011425">
    <w:abstractNumId w:val="33"/>
  </w:num>
  <w:num w:numId="47" w16cid:durableId="102383810">
    <w:abstractNumId w:val="9"/>
  </w:num>
  <w:num w:numId="48" w16cid:durableId="851918276">
    <w:abstractNumId w:val="31"/>
  </w:num>
  <w:num w:numId="49" w16cid:durableId="96142587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494C"/>
    <w:rsid w:val="00004F5A"/>
    <w:rsid w:val="000113DD"/>
    <w:rsid w:val="00011D88"/>
    <w:rsid w:val="000133E0"/>
    <w:rsid w:val="0001368F"/>
    <w:rsid w:val="000146EB"/>
    <w:rsid w:val="00014738"/>
    <w:rsid w:val="0001537F"/>
    <w:rsid w:val="0001571C"/>
    <w:rsid w:val="0001698A"/>
    <w:rsid w:val="00016F82"/>
    <w:rsid w:val="0001744E"/>
    <w:rsid w:val="0002234C"/>
    <w:rsid w:val="00025812"/>
    <w:rsid w:val="00025874"/>
    <w:rsid w:val="00027F4D"/>
    <w:rsid w:val="000305C6"/>
    <w:rsid w:val="00030AF1"/>
    <w:rsid w:val="00030E14"/>
    <w:rsid w:val="0003264D"/>
    <w:rsid w:val="00032C0A"/>
    <w:rsid w:val="00033F8D"/>
    <w:rsid w:val="00034B19"/>
    <w:rsid w:val="00041CC4"/>
    <w:rsid w:val="00042729"/>
    <w:rsid w:val="00042E94"/>
    <w:rsid w:val="0004342E"/>
    <w:rsid w:val="00043DA7"/>
    <w:rsid w:val="00044D2A"/>
    <w:rsid w:val="00045FC9"/>
    <w:rsid w:val="00046499"/>
    <w:rsid w:val="000466CA"/>
    <w:rsid w:val="00047B3C"/>
    <w:rsid w:val="000524CC"/>
    <w:rsid w:val="00052D45"/>
    <w:rsid w:val="00052FDB"/>
    <w:rsid w:val="0005301A"/>
    <w:rsid w:val="00053B83"/>
    <w:rsid w:val="0005531F"/>
    <w:rsid w:val="000554E0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800CC"/>
    <w:rsid w:val="00080506"/>
    <w:rsid w:val="00081CB1"/>
    <w:rsid w:val="0008217D"/>
    <w:rsid w:val="00085364"/>
    <w:rsid w:val="00087BBC"/>
    <w:rsid w:val="00087D92"/>
    <w:rsid w:val="00090C2D"/>
    <w:rsid w:val="000924F5"/>
    <w:rsid w:val="00092CD1"/>
    <w:rsid w:val="00093560"/>
    <w:rsid w:val="00093B4C"/>
    <w:rsid w:val="0009438F"/>
    <w:rsid w:val="00095012"/>
    <w:rsid w:val="0009531F"/>
    <w:rsid w:val="00095D55"/>
    <w:rsid w:val="000965C3"/>
    <w:rsid w:val="000A01E5"/>
    <w:rsid w:val="000A224C"/>
    <w:rsid w:val="000A617D"/>
    <w:rsid w:val="000A634E"/>
    <w:rsid w:val="000A76A9"/>
    <w:rsid w:val="000B0F86"/>
    <w:rsid w:val="000B1ED4"/>
    <w:rsid w:val="000B5858"/>
    <w:rsid w:val="000B6150"/>
    <w:rsid w:val="000B7FE1"/>
    <w:rsid w:val="000C2143"/>
    <w:rsid w:val="000C323A"/>
    <w:rsid w:val="000C3AEA"/>
    <w:rsid w:val="000C47EB"/>
    <w:rsid w:val="000C4C79"/>
    <w:rsid w:val="000C55DD"/>
    <w:rsid w:val="000C7210"/>
    <w:rsid w:val="000C7EC5"/>
    <w:rsid w:val="000D08F6"/>
    <w:rsid w:val="000D5916"/>
    <w:rsid w:val="000E0057"/>
    <w:rsid w:val="000E2051"/>
    <w:rsid w:val="000E3FC3"/>
    <w:rsid w:val="000F0CCB"/>
    <w:rsid w:val="000F21FF"/>
    <w:rsid w:val="000F66A2"/>
    <w:rsid w:val="000F7047"/>
    <w:rsid w:val="0010044D"/>
    <w:rsid w:val="0010069B"/>
    <w:rsid w:val="00101248"/>
    <w:rsid w:val="00101993"/>
    <w:rsid w:val="00102271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108"/>
    <w:rsid w:val="001164D0"/>
    <w:rsid w:val="00116B08"/>
    <w:rsid w:val="00117C9D"/>
    <w:rsid w:val="00120009"/>
    <w:rsid w:val="00120EB0"/>
    <w:rsid w:val="00122EEE"/>
    <w:rsid w:val="00123553"/>
    <w:rsid w:val="00124BC3"/>
    <w:rsid w:val="00130873"/>
    <w:rsid w:val="00132C2C"/>
    <w:rsid w:val="001346BB"/>
    <w:rsid w:val="001349B0"/>
    <w:rsid w:val="00135243"/>
    <w:rsid w:val="001379EE"/>
    <w:rsid w:val="00137D92"/>
    <w:rsid w:val="001400D1"/>
    <w:rsid w:val="00140FE5"/>
    <w:rsid w:val="00140FF2"/>
    <w:rsid w:val="00142FE4"/>
    <w:rsid w:val="001434F3"/>
    <w:rsid w:val="00145B53"/>
    <w:rsid w:val="00145E5D"/>
    <w:rsid w:val="0014670D"/>
    <w:rsid w:val="00146D02"/>
    <w:rsid w:val="00150865"/>
    <w:rsid w:val="001537B5"/>
    <w:rsid w:val="0015391B"/>
    <w:rsid w:val="001541E8"/>
    <w:rsid w:val="00154E9F"/>
    <w:rsid w:val="001556CE"/>
    <w:rsid w:val="00163D1A"/>
    <w:rsid w:val="001642C4"/>
    <w:rsid w:val="0016438D"/>
    <w:rsid w:val="001655F7"/>
    <w:rsid w:val="00165AEB"/>
    <w:rsid w:val="00166017"/>
    <w:rsid w:val="00166134"/>
    <w:rsid w:val="001707D1"/>
    <w:rsid w:val="001722CF"/>
    <w:rsid w:val="00173552"/>
    <w:rsid w:val="0017388B"/>
    <w:rsid w:val="0017558F"/>
    <w:rsid w:val="001755FE"/>
    <w:rsid w:val="00175C79"/>
    <w:rsid w:val="001772EB"/>
    <w:rsid w:val="00177763"/>
    <w:rsid w:val="00184BCF"/>
    <w:rsid w:val="0018627D"/>
    <w:rsid w:val="0018723E"/>
    <w:rsid w:val="001873F1"/>
    <w:rsid w:val="00187D07"/>
    <w:rsid w:val="00187DDC"/>
    <w:rsid w:val="00187DF4"/>
    <w:rsid w:val="001900D6"/>
    <w:rsid w:val="00190A01"/>
    <w:rsid w:val="00190CAB"/>
    <w:rsid w:val="00190DCA"/>
    <w:rsid w:val="00191FAE"/>
    <w:rsid w:val="00192642"/>
    <w:rsid w:val="00192EFA"/>
    <w:rsid w:val="001934BC"/>
    <w:rsid w:val="00193F9C"/>
    <w:rsid w:val="00194235"/>
    <w:rsid w:val="001973E9"/>
    <w:rsid w:val="001A0FEB"/>
    <w:rsid w:val="001A4F0E"/>
    <w:rsid w:val="001A6AA0"/>
    <w:rsid w:val="001A6D6D"/>
    <w:rsid w:val="001B2161"/>
    <w:rsid w:val="001B494F"/>
    <w:rsid w:val="001B5FE0"/>
    <w:rsid w:val="001B6797"/>
    <w:rsid w:val="001C3BD2"/>
    <w:rsid w:val="001D0F83"/>
    <w:rsid w:val="001D1303"/>
    <w:rsid w:val="001D15F3"/>
    <w:rsid w:val="001D1AFC"/>
    <w:rsid w:val="001D29BC"/>
    <w:rsid w:val="001D36F6"/>
    <w:rsid w:val="001D5F1E"/>
    <w:rsid w:val="001E0520"/>
    <w:rsid w:val="001E3940"/>
    <w:rsid w:val="001E4058"/>
    <w:rsid w:val="001E4BC9"/>
    <w:rsid w:val="001F323C"/>
    <w:rsid w:val="001F6448"/>
    <w:rsid w:val="001F691A"/>
    <w:rsid w:val="001F734C"/>
    <w:rsid w:val="00200C20"/>
    <w:rsid w:val="0020147E"/>
    <w:rsid w:val="00201AB3"/>
    <w:rsid w:val="00203807"/>
    <w:rsid w:val="00204989"/>
    <w:rsid w:val="00210853"/>
    <w:rsid w:val="0021172D"/>
    <w:rsid w:val="0021220A"/>
    <w:rsid w:val="002124BA"/>
    <w:rsid w:val="0021321C"/>
    <w:rsid w:val="002135F6"/>
    <w:rsid w:val="002147DF"/>
    <w:rsid w:val="002167FC"/>
    <w:rsid w:val="002168E9"/>
    <w:rsid w:val="002169B4"/>
    <w:rsid w:val="002177F1"/>
    <w:rsid w:val="00217A21"/>
    <w:rsid w:val="00220BE5"/>
    <w:rsid w:val="0022336C"/>
    <w:rsid w:val="00223723"/>
    <w:rsid w:val="00224921"/>
    <w:rsid w:val="0022569C"/>
    <w:rsid w:val="0023184E"/>
    <w:rsid w:val="002358F9"/>
    <w:rsid w:val="0023636F"/>
    <w:rsid w:val="0024554B"/>
    <w:rsid w:val="002517A0"/>
    <w:rsid w:val="00251A78"/>
    <w:rsid w:val="00254EF2"/>
    <w:rsid w:val="00260EC5"/>
    <w:rsid w:val="00261FF9"/>
    <w:rsid w:val="00262896"/>
    <w:rsid w:val="002650CF"/>
    <w:rsid w:val="0026588B"/>
    <w:rsid w:val="00266520"/>
    <w:rsid w:val="00267FA7"/>
    <w:rsid w:val="00270B7F"/>
    <w:rsid w:val="002716CE"/>
    <w:rsid w:val="0027217B"/>
    <w:rsid w:val="00273255"/>
    <w:rsid w:val="00274A24"/>
    <w:rsid w:val="00274D5F"/>
    <w:rsid w:val="00275069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2B69"/>
    <w:rsid w:val="002937A1"/>
    <w:rsid w:val="00295F36"/>
    <w:rsid w:val="00297632"/>
    <w:rsid w:val="002B0846"/>
    <w:rsid w:val="002B45E4"/>
    <w:rsid w:val="002B4619"/>
    <w:rsid w:val="002C019A"/>
    <w:rsid w:val="002C0455"/>
    <w:rsid w:val="002C062D"/>
    <w:rsid w:val="002C1067"/>
    <w:rsid w:val="002C1496"/>
    <w:rsid w:val="002C3BC0"/>
    <w:rsid w:val="002C77E4"/>
    <w:rsid w:val="002D1779"/>
    <w:rsid w:val="002D2A61"/>
    <w:rsid w:val="002D32C4"/>
    <w:rsid w:val="002D3F99"/>
    <w:rsid w:val="002D6093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0220"/>
    <w:rsid w:val="0030114A"/>
    <w:rsid w:val="00301463"/>
    <w:rsid w:val="003019AD"/>
    <w:rsid w:val="00305EE4"/>
    <w:rsid w:val="00307001"/>
    <w:rsid w:val="003103B9"/>
    <w:rsid w:val="003116FE"/>
    <w:rsid w:val="00312483"/>
    <w:rsid w:val="00313A22"/>
    <w:rsid w:val="003141BE"/>
    <w:rsid w:val="00315934"/>
    <w:rsid w:val="00316ADB"/>
    <w:rsid w:val="003208C7"/>
    <w:rsid w:val="0032281D"/>
    <w:rsid w:val="00322E07"/>
    <w:rsid w:val="00323081"/>
    <w:rsid w:val="0032771D"/>
    <w:rsid w:val="00330174"/>
    <w:rsid w:val="003302B6"/>
    <w:rsid w:val="00332197"/>
    <w:rsid w:val="003362C4"/>
    <w:rsid w:val="00336C57"/>
    <w:rsid w:val="00342BC3"/>
    <w:rsid w:val="00343CAC"/>
    <w:rsid w:val="00344EAF"/>
    <w:rsid w:val="00346826"/>
    <w:rsid w:val="0035220F"/>
    <w:rsid w:val="00353AF3"/>
    <w:rsid w:val="00356192"/>
    <w:rsid w:val="003566FB"/>
    <w:rsid w:val="0035672C"/>
    <w:rsid w:val="00357DA2"/>
    <w:rsid w:val="00364AF5"/>
    <w:rsid w:val="003719D8"/>
    <w:rsid w:val="003729BE"/>
    <w:rsid w:val="00372AA6"/>
    <w:rsid w:val="0037425F"/>
    <w:rsid w:val="0037489F"/>
    <w:rsid w:val="003749A0"/>
    <w:rsid w:val="00374BFC"/>
    <w:rsid w:val="003759E5"/>
    <w:rsid w:val="00375ADD"/>
    <w:rsid w:val="00376EFD"/>
    <w:rsid w:val="00377C29"/>
    <w:rsid w:val="00380502"/>
    <w:rsid w:val="00383AB7"/>
    <w:rsid w:val="00384DFD"/>
    <w:rsid w:val="00387354"/>
    <w:rsid w:val="00390885"/>
    <w:rsid w:val="003926E0"/>
    <w:rsid w:val="003936F0"/>
    <w:rsid w:val="00394E62"/>
    <w:rsid w:val="003951B4"/>
    <w:rsid w:val="0039592D"/>
    <w:rsid w:val="003967FC"/>
    <w:rsid w:val="0039744B"/>
    <w:rsid w:val="003A131B"/>
    <w:rsid w:val="003A168B"/>
    <w:rsid w:val="003A2969"/>
    <w:rsid w:val="003A3198"/>
    <w:rsid w:val="003A34FC"/>
    <w:rsid w:val="003A3831"/>
    <w:rsid w:val="003A5559"/>
    <w:rsid w:val="003B2271"/>
    <w:rsid w:val="003B4D00"/>
    <w:rsid w:val="003B5245"/>
    <w:rsid w:val="003C21AB"/>
    <w:rsid w:val="003C2CDC"/>
    <w:rsid w:val="003C3289"/>
    <w:rsid w:val="003C365D"/>
    <w:rsid w:val="003C4BD7"/>
    <w:rsid w:val="003C5206"/>
    <w:rsid w:val="003C5318"/>
    <w:rsid w:val="003C653D"/>
    <w:rsid w:val="003C69E3"/>
    <w:rsid w:val="003D19E1"/>
    <w:rsid w:val="003E0B8E"/>
    <w:rsid w:val="003E147B"/>
    <w:rsid w:val="003E5C10"/>
    <w:rsid w:val="003E67B2"/>
    <w:rsid w:val="003E7171"/>
    <w:rsid w:val="003E7F57"/>
    <w:rsid w:val="003F0B59"/>
    <w:rsid w:val="003F11B6"/>
    <w:rsid w:val="003F26E9"/>
    <w:rsid w:val="003F4211"/>
    <w:rsid w:val="003F6BE1"/>
    <w:rsid w:val="003F70AC"/>
    <w:rsid w:val="003F73E8"/>
    <w:rsid w:val="00401C65"/>
    <w:rsid w:val="00405144"/>
    <w:rsid w:val="004104AD"/>
    <w:rsid w:val="00410D04"/>
    <w:rsid w:val="0041228D"/>
    <w:rsid w:val="0041288D"/>
    <w:rsid w:val="00412BCF"/>
    <w:rsid w:val="004134A7"/>
    <w:rsid w:val="004172B0"/>
    <w:rsid w:val="004207AE"/>
    <w:rsid w:val="004213D0"/>
    <w:rsid w:val="00421775"/>
    <w:rsid w:val="00422F3B"/>
    <w:rsid w:val="0042338F"/>
    <w:rsid w:val="00425CC5"/>
    <w:rsid w:val="0042640C"/>
    <w:rsid w:val="0042662D"/>
    <w:rsid w:val="00426B56"/>
    <w:rsid w:val="0043006B"/>
    <w:rsid w:val="004307B9"/>
    <w:rsid w:val="00434D6B"/>
    <w:rsid w:val="00435124"/>
    <w:rsid w:val="0043594B"/>
    <w:rsid w:val="004362AA"/>
    <w:rsid w:val="00440FE0"/>
    <w:rsid w:val="00442956"/>
    <w:rsid w:val="00447EA7"/>
    <w:rsid w:val="004516BB"/>
    <w:rsid w:val="00461279"/>
    <w:rsid w:val="00461F75"/>
    <w:rsid w:val="0046235E"/>
    <w:rsid w:val="00462AE0"/>
    <w:rsid w:val="00463C7E"/>
    <w:rsid w:val="00464195"/>
    <w:rsid w:val="0046650A"/>
    <w:rsid w:val="0047308E"/>
    <w:rsid w:val="00473641"/>
    <w:rsid w:val="004754DE"/>
    <w:rsid w:val="004760AF"/>
    <w:rsid w:val="0047702E"/>
    <w:rsid w:val="004810CC"/>
    <w:rsid w:val="0048143F"/>
    <w:rsid w:val="00481ACF"/>
    <w:rsid w:val="00483FE7"/>
    <w:rsid w:val="00493DCD"/>
    <w:rsid w:val="00493EE4"/>
    <w:rsid w:val="00495252"/>
    <w:rsid w:val="00496260"/>
    <w:rsid w:val="00496844"/>
    <w:rsid w:val="0049684D"/>
    <w:rsid w:val="004976CD"/>
    <w:rsid w:val="00497B52"/>
    <w:rsid w:val="004A138B"/>
    <w:rsid w:val="004A1600"/>
    <w:rsid w:val="004A1CAF"/>
    <w:rsid w:val="004A1E93"/>
    <w:rsid w:val="004A3D33"/>
    <w:rsid w:val="004A50DE"/>
    <w:rsid w:val="004A59F4"/>
    <w:rsid w:val="004A70EE"/>
    <w:rsid w:val="004A7B11"/>
    <w:rsid w:val="004B0068"/>
    <w:rsid w:val="004B0C04"/>
    <w:rsid w:val="004B35BF"/>
    <w:rsid w:val="004B5291"/>
    <w:rsid w:val="004B5353"/>
    <w:rsid w:val="004B536F"/>
    <w:rsid w:val="004B5D96"/>
    <w:rsid w:val="004B7EAA"/>
    <w:rsid w:val="004B7ECD"/>
    <w:rsid w:val="004B7F56"/>
    <w:rsid w:val="004C1AFC"/>
    <w:rsid w:val="004C2D5A"/>
    <w:rsid w:val="004C2FE1"/>
    <w:rsid w:val="004C4C49"/>
    <w:rsid w:val="004C7398"/>
    <w:rsid w:val="004D1195"/>
    <w:rsid w:val="004D1434"/>
    <w:rsid w:val="004D1C45"/>
    <w:rsid w:val="004D2510"/>
    <w:rsid w:val="004D6650"/>
    <w:rsid w:val="004E230F"/>
    <w:rsid w:val="004E249A"/>
    <w:rsid w:val="004E2E2B"/>
    <w:rsid w:val="004E2FE9"/>
    <w:rsid w:val="004E38FF"/>
    <w:rsid w:val="004E4084"/>
    <w:rsid w:val="004E559E"/>
    <w:rsid w:val="004F179C"/>
    <w:rsid w:val="004F35AD"/>
    <w:rsid w:val="004F3AAE"/>
    <w:rsid w:val="004F595B"/>
    <w:rsid w:val="004F6D4D"/>
    <w:rsid w:val="004F7453"/>
    <w:rsid w:val="004F7BA3"/>
    <w:rsid w:val="00500CF1"/>
    <w:rsid w:val="0050269B"/>
    <w:rsid w:val="00503AB8"/>
    <w:rsid w:val="0050430E"/>
    <w:rsid w:val="005049B9"/>
    <w:rsid w:val="005062EF"/>
    <w:rsid w:val="00506905"/>
    <w:rsid w:val="00507A3F"/>
    <w:rsid w:val="0051253E"/>
    <w:rsid w:val="00512CB3"/>
    <w:rsid w:val="0051424B"/>
    <w:rsid w:val="00521805"/>
    <w:rsid w:val="00526AD7"/>
    <w:rsid w:val="00527AB9"/>
    <w:rsid w:val="00531B76"/>
    <w:rsid w:val="00534EA6"/>
    <w:rsid w:val="00536BCA"/>
    <w:rsid w:val="00540675"/>
    <w:rsid w:val="00541E3C"/>
    <w:rsid w:val="00546572"/>
    <w:rsid w:val="00546CFA"/>
    <w:rsid w:val="00547334"/>
    <w:rsid w:val="005500F7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528F"/>
    <w:rsid w:val="00567284"/>
    <w:rsid w:val="00573267"/>
    <w:rsid w:val="0057343E"/>
    <w:rsid w:val="0057709D"/>
    <w:rsid w:val="00577F8C"/>
    <w:rsid w:val="00580D2E"/>
    <w:rsid w:val="005850A0"/>
    <w:rsid w:val="005857BA"/>
    <w:rsid w:val="0058604A"/>
    <w:rsid w:val="00586C6E"/>
    <w:rsid w:val="00590A63"/>
    <w:rsid w:val="00592466"/>
    <w:rsid w:val="0059564A"/>
    <w:rsid w:val="00595CED"/>
    <w:rsid w:val="00596468"/>
    <w:rsid w:val="00597300"/>
    <w:rsid w:val="005A2520"/>
    <w:rsid w:val="005A652A"/>
    <w:rsid w:val="005B07F1"/>
    <w:rsid w:val="005B4603"/>
    <w:rsid w:val="005B59D3"/>
    <w:rsid w:val="005B678D"/>
    <w:rsid w:val="005C02A6"/>
    <w:rsid w:val="005C1584"/>
    <w:rsid w:val="005C1BF7"/>
    <w:rsid w:val="005C2959"/>
    <w:rsid w:val="005C3A5C"/>
    <w:rsid w:val="005C3FE9"/>
    <w:rsid w:val="005D18A9"/>
    <w:rsid w:val="005D1DBE"/>
    <w:rsid w:val="005D494F"/>
    <w:rsid w:val="005D6134"/>
    <w:rsid w:val="005D6B47"/>
    <w:rsid w:val="005D6B62"/>
    <w:rsid w:val="005D7247"/>
    <w:rsid w:val="005E24A0"/>
    <w:rsid w:val="005E2864"/>
    <w:rsid w:val="005E4439"/>
    <w:rsid w:val="005E4D46"/>
    <w:rsid w:val="005E4DFF"/>
    <w:rsid w:val="005E5911"/>
    <w:rsid w:val="005E6763"/>
    <w:rsid w:val="005E6DE1"/>
    <w:rsid w:val="005F1A55"/>
    <w:rsid w:val="005F27E6"/>
    <w:rsid w:val="005F67BB"/>
    <w:rsid w:val="005F746D"/>
    <w:rsid w:val="006004FC"/>
    <w:rsid w:val="0060064F"/>
    <w:rsid w:val="00600E25"/>
    <w:rsid w:val="00601603"/>
    <w:rsid w:val="0060616F"/>
    <w:rsid w:val="0060713C"/>
    <w:rsid w:val="006113AA"/>
    <w:rsid w:val="00613477"/>
    <w:rsid w:val="00615904"/>
    <w:rsid w:val="00617F7A"/>
    <w:rsid w:val="006208C1"/>
    <w:rsid w:val="00622147"/>
    <w:rsid w:val="0062601E"/>
    <w:rsid w:val="0063022D"/>
    <w:rsid w:val="00630F30"/>
    <w:rsid w:val="00630FC9"/>
    <w:rsid w:val="0063226E"/>
    <w:rsid w:val="00635D31"/>
    <w:rsid w:val="00636BC7"/>
    <w:rsid w:val="00642AA4"/>
    <w:rsid w:val="00642EFB"/>
    <w:rsid w:val="0064440C"/>
    <w:rsid w:val="00644AD8"/>
    <w:rsid w:val="006477AD"/>
    <w:rsid w:val="00650143"/>
    <w:rsid w:val="00650F7E"/>
    <w:rsid w:val="006529EE"/>
    <w:rsid w:val="00653DA7"/>
    <w:rsid w:val="00654EAC"/>
    <w:rsid w:val="006617A9"/>
    <w:rsid w:val="006617E7"/>
    <w:rsid w:val="0066377E"/>
    <w:rsid w:val="0066495F"/>
    <w:rsid w:val="00664A6B"/>
    <w:rsid w:val="00664BDA"/>
    <w:rsid w:val="00667ED8"/>
    <w:rsid w:val="00670C55"/>
    <w:rsid w:val="006719E1"/>
    <w:rsid w:val="00671D12"/>
    <w:rsid w:val="0067206F"/>
    <w:rsid w:val="00672537"/>
    <w:rsid w:val="0067254F"/>
    <w:rsid w:val="0067583C"/>
    <w:rsid w:val="00676996"/>
    <w:rsid w:val="00680B80"/>
    <w:rsid w:val="0068243D"/>
    <w:rsid w:val="006834AC"/>
    <w:rsid w:val="00687D33"/>
    <w:rsid w:val="00691866"/>
    <w:rsid w:val="00691D10"/>
    <w:rsid w:val="00693E1F"/>
    <w:rsid w:val="00694AEB"/>
    <w:rsid w:val="00694C7B"/>
    <w:rsid w:val="00695F92"/>
    <w:rsid w:val="0069745F"/>
    <w:rsid w:val="006A15DD"/>
    <w:rsid w:val="006A3CD2"/>
    <w:rsid w:val="006A5A5E"/>
    <w:rsid w:val="006A6E24"/>
    <w:rsid w:val="006B0A6D"/>
    <w:rsid w:val="006B293E"/>
    <w:rsid w:val="006B53D7"/>
    <w:rsid w:val="006B6B60"/>
    <w:rsid w:val="006C0C20"/>
    <w:rsid w:val="006C13F9"/>
    <w:rsid w:val="006C15D1"/>
    <w:rsid w:val="006C4292"/>
    <w:rsid w:val="006C59D5"/>
    <w:rsid w:val="006C657B"/>
    <w:rsid w:val="006D0931"/>
    <w:rsid w:val="006D20E5"/>
    <w:rsid w:val="006D2BFC"/>
    <w:rsid w:val="006D61C9"/>
    <w:rsid w:val="006D7CA9"/>
    <w:rsid w:val="006E1501"/>
    <w:rsid w:val="006E2CDC"/>
    <w:rsid w:val="006E5A99"/>
    <w:rsid w:val="006E61B3"/>
    <w:rsid w:val="006E6527"/>
    <w:rsid w:val="006F0683"/>
    <w:rsid w:val="006F2006"/>
    <w:rsid w:val="006F769C"/>
    <w:rsid w:val="0070207B"/>
    <w:rsid w:val="0070264B"/>
    <w:rsid w:val="00704F09"/>
    <w:rsid w:val="0070537F"/>
    <w:rsid w:val="007129A6"/>
    <w:rsid w:val="00714984"/>
    <w:rsid w:val="0072106F"/>
    <w:rsid w:val="00727682"/>
    <w:rsid w:val="00730CBE"/>
    <w:rsid w:val="007323E6"/>
    <w:rsid w:val="00733D67"/>
    <w:rsid w:val="00733E0B"/>
    <w:rsid w:val="00734C26"/>
    <w:rsid w:val="00736AC6"/>
    <w:rsid w:val="00741373"/>
    <w:rsid w:val="007415B0"/>
    <w:rsid w:val="0074175B"/>
    <w:rsid w:val="00743828"/>
    <w:rsid w:val="0074385F"/>
    <w:rsid w:val="00744339"/>
    <w:rsid w:val="0074609D"/>
    <w:rsid w:val="00746945"/>
    <w:rsid w:val="00751DD9"/>
    <w:rsid w:val="00752B35"/>
    <w:rsid w:val="0075321E"/>
    <w:rsid w:val="007549D8"/>
    <w:rsid w:val="00760581"/>
    <w:rsid w:val="00760E2B"/>
    <w:rsid w:val="0076398C"/>
    <w:rsid w:val="00763D4C"/>
    <w:rsid w:val="0076684D"/>
    <w:rsid w:val="007704D9"/>
    <w:rsid w:val="00772CC5"/>
    <w:rsid w:val="00774C20"/>
    <w:rsid w:val="00780244"/>
    <w:rsid w:val="00780F7A"/>
    <w:rsid w:val="00781AB6"/>
    <w:rsid w:val="00781DEF"/>
    <w:rsid w:val="0078405E"/>
    <w:rsid w:val="00786BEB"/>
    <w:rsid w:val="007877DF"/>
    <w:rsid w:val="00787922"/>
    <w:rsid w:val="00794649"/>
    <w:rsid w:val="0079493B"/>
    <w:rsid w:val="007955F7"/>
    <w:rsid w:val="0079584B"/>
    <w:rsid w:val="00797FA1"/>
    <w:rsid w:val="007A2A0F"/>
    <w:rsid w:val="007A2CD4"/>
    <w:rsid w:val="007A467D"/>
    <w:rsid w:val="007A5959"/>
    <w:rsid w:val="007A6191"/>
    <w:rsid w:val="007A6D9A"/>
    <w:rsid w:val="007A6FF9"/>
    <w:rsid w:val="007A7082"/>
    <w:rsid w:val="007A7392"/>
    <w:rsid w:val="007B10FE"/>
    <w:rsid w:val="007B2982"/>
    <w:rsid w:val="007B5E24"/>
    <w:rsid w:val="007B620C"/>
    <w:rsid w:val="007B6C4C"/>
    <w:rsid w:val="007C077B"/>
    <w:rsid w:val="007C0E1E"/>
    <w:rsid w:val="007C132C"/>
    <w:rsid w:val="007C1CB0"/>
    <w:rsid w:val="007C413C"/>
    <w:rsid w:val="007C480D"/>
    <w:rsid w:val="007C4D58"/>
    <w:rsid w:val="007C4FFD"/>
    <w:rsid w:val="007C68F7"/>
    <w:rsid w:val="007D0516"/>
    <w:rsid w:val="007D531E"/>
    <w:rsid w:val="007D5FC9"/>
    <w:rsid w:val="007D679F"/>
    <w:rsid w:val="007D74A7"/>
    <w:rsid w:val="007D754A"/>
    <w:rsid w:val="007D799B"/>
    <w:rsid w:val="007E08AD"/>
    <w:rsid w:val="007E0AD4"/>
    <w:rsid w:val="007E1735"/>
    <w:rsid w:val="007E2324"/>
    <w:rsid w:val="007E32BB"/>
    <w:rsid w:val="007E4A0D"/>
    <w:rsid w:val="007E5565"/>
    <w:rsid w:val="007E6F89"/>
    <w:rsid w:val="007F030E"/>
    <w:rsid w:val="007F295C"/>
    <w:rsid w:val="007F69EB"/>
    <w:rsid w:val="008001C8"/>
    <w:rsid w:val="00801553"/>
    <w:rsid w:val="0080193D"/>
    <w:rsid w:val="0080241B"/>
    <w:rsid w:val="00804774"/>
    <w:rsid w:val="008061BC"/>
    <w:rsid w:val="00806D0A"/>
    <w:rsid w:val="00807D9A"/>
    <w:rsid w:val="0081101D"/>
    <w:rsid w:val="00811666"/>
    <w:rsid w:val="00811C42"/>
    <w:rsid w:val="00816118"/>
    <w:rsid w:val="00816B4C"/>
    <w:rsid w:val="00817F33"/>
    <w:rsid w:val="00823FF9"/>
    <w:rsid w:val="008274B8"/>
    <w:rsid w:val="00827F9B"/>
    <w:rsid w:val="00830290"/>
    <w:rsid w:val="00831E64"/>
    <w:rsid w:val="0083384A"/>
    <w:rsid w:val="008370D0"/>
    <w:rsid w:val="00841472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31FD"/>
    <w:rsid w:val="0085439F"/>
    <w:rsid w:val="00863F99"/>
    <w:rsid w:val="00866279"/>
    <w:rsid w:val="00867B9A"/>
    <w:rsid w:val="00870A65"/>
    <w:rsid w:val="00870B34"/>
    <w:rsid w:val="00870BEC"/>
    <w:rsid w:val="00871857"/>
    <w:rsid w:val="00872E86"/>
    <w:rsid w:val="0087438E"/>
    <w:rsid w:val="00875763"/>
    <w:rsid w:val="0087757C"/>
    <w:rsid w:val="008777AA"/>
    <w:rsid w:val="00890119"/>
    <w:rsid w:val="00890185"/>
    <w:rsid w:val="00890A5B"/>
    <w:rsid w:val="00891AB6"/>
    <w:rsid w:val="00894836"/>
    <w:rsid w:val="008949EE"/>
    <w:rsid w:val="00895D38"/>
    <w:rsid w:val="00896A4A"/>
    <w:rsid w:val="00896EAF"/>
    <w:rsid w:val="008972E3"/>
    <w:rsid w:val="008A0BAA"/>
    <w:rsid w:val="008A0E5D"/>
    <w:rsid w:val="008A1C09"/>
    <w:rsid w:val="008B316F"/>
    <w:rsid w:val="008B7185"/>
    <w:rsid w:val="008C119F"/>
    <w:rsid w:val="008C151D"/>
    <w:rsid w:val="008C189A"/>
    <w:rsid w:val="008C19CD"/>
    <w:rsid w:val="008C1FE6"/>
    <w:rsid w:val="008C3308"/>
    <w:rsid w:val="008D0217"/>
    <w:rsid w:val="008D5D56"/>
    <w:rsid w:val="008D6777"/>
    <w:rsid w:val="008D68EE"/>
    <w:rsid w:val="008E37C0"/>
    <w:rsid w:val="008E49D2"/>
    <w:rsid w:val="008E6425"/>
    <w:rsid w:val="008F0F18"/>
    <w:rsid w:val="008F2D64"/>
    <w:rsid w:val="008F346C"/>
    <w:rsid w:val="008F39F8"/>
    <w:rsid w:val="008F3EF6"/>
    <w:rsid w:val="008F79C4"/>
    <w:rsid w:val="00903576"/>
    <w:rsid w:val="00904A84"/>
    <w:rsid w:val="00907E23"/>
    <w:rsid w:val="00912F7D"/>
    <w:rsid w:val="0091553B"/>
    <w:rsid w:val="009163E0"/>
    <w:rsid w:val="00916DA8"/>
    <w:rsid w:val="009175DF"/>
    <w:rsid w:val="00922E11"/>
    <w:rsid w:val="00925C32"/>
    <w:rsid w:val="0092628D"/>
    <w:rsid w:val="009301E8"/>
    <w:rsid w:val="00930C9F"/>
    <w:rsid w:val="009328FF"/>
    <w:rsid w:val="00934F40"/>
    <w:rsid w:val="00935CEF"/>
    <w:rsid w:val="00937025"/>
    <w:rsid w:val="0093702C"/>
    <w:rsid w:val="009374A3"/>
    <w:rsid w:val="00937E2E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3A53"/>
    <w:rsid w:val="0096482C"/>
    <w:rsid w:val="00970E64"/>
    <w:rsid w:val="00974656"/>
    <w:rsid w:val="0097546E"/>
    <w:rsid w:val="00975DC7"/>
    <w:rsid w:val="0098115D"/>
    <w:rsid w:val="0098152C"/>
    <w:rsid w:val="009827C8"/>
    <w:rsid w:val="00983118"/>
    <w:rsid w:val="00983734"/>
    <w:rsid w:val="00984A06"/>
    <w:rsid w:val="009866A2"/>
    <w:rsid w:val="00987F92"/>
    <w:rsid w:val="00991DAE"/>
    <w:rsid w:val="00992176"/>
    <w:rsid w:val="00993409"/>
    <w:rsid w:val="00993D72"/>
    <w:rsid w:val="00993DBD"/>
    <w:rsid w:val="00993ED2"/>
    <w:rsid w:val="009944CA"/>
    <w:rsid w:val="009945BF"/>
    <w:rsid w:val="009946D7"/>
    <w:rsid w:val="00996772"/>
    <w:rsid w:val="00997109"/>
    <w:rsid w:val="00997396"/>
    <w:rsid w:val="0099762F"/>
    <w:rsid w:val="009A3BBE"/>
    <w:rsid w:val="009A4A5D"/>
    <w:rsid w:val="009A56F2"/>
    <w:rsid w:val="009A6172"/>
    <w:rsid w:val="009A6F58"/>
    <w:rsid w:val="009A7549"/>
    <w:rsid w:val="009B172F"/>
    <w:rsid w:val="009B661A"/>
    <w:rsid w:val="009B6F7D"/>
    <w:rsid w:val="009C0148"/>
    <w:rsid w:val="009C13C8"/>
    <w:rsid w:val="009C2DB3"/>
    <w:rsid w:val="009C4D53"/>
    <w:rsid w:val="009C5240"/>
    <w:rsid w:val="009C605F"/>
    <w:rsid w:val="009C6E48"/>
    <w:rsid w:val="009C7E2B"/>
    <w:rsid w:val="009D0CBA"/>
    <w:rsid w:val="009D1160"/>
    <w:rsid w:val="009D1264"/>
    <w:rsid w:val="009D25A3"/>
    <w:rsid w:val="009D3AC9"/>
    <w:rsid w:val="009D4878"/>
    <w:rsid w:val="009D6900"/>
    <w:rsid w:val="009E0491"/>
    <w:rsid w:val="009E2EF7"/>
    <w:rsid w:val="009E3B29"/>
    <w:rsid w:val="009E4CED"/>
    <w:rsid w:val="009E4F27"/>
    <w:rsid w:val="009E5650"/>
    <w:rsid w:val="009E7222"/>
    <w:rsid w:val="009F046F"/>
    <w:rsid w:val="009F13A2"/>
    <w:rsid w:val="009F1DD0"/>
    <w:rsid w:val="009F3ACB"/>
    <w:rsid w:val="009F40D9"/>
    <w:rsid w:val="009F4E96"/>
    <w:rsid w:val="009F6692"/>
    <w:rsid w:val="009F7FDE"/>
    <w:rsid w:val="00A00ABB"/>
    <w:rsid w:val="00A00C7D"/>
    <w:rsid w:val="00A02159"/>
    <w:rsid w:val="00A03CEC"/>
    <w:rsid w:val="00A05098"/>
    <w:rsid w:val="00A0557A"/>
    <w:rsid w:val="00A06E84"/>
    <w:rsid w:val="00A072EE"/>
    <w:rsid w:val="00A1412B"/>
    <w:rsid w:val="00A154A6"/>
    <w:rsid w:val="00A16D60"/>
    <w:rsid w:val="00A17D93"/>
    <w:rsid w:val="00A2003F"/>
    <w:rsid w:val="00A20CB8"/>
    <w:rsid w:val="00A20FAD"/>
    <w:rsid w:val="00A23684"/>
    <w:rsid w:val="00A27CCD"/>
    <w:rsid w:val="00A30156"/>
    <w:rsid w:val="00A306F2"/>
    <w:rsid w:val="00A31C75"/>
    <w:rsid w:val="00A31D47"/>
    <w:rsid w:val="00A354B3"/>
    <w:rsid w:val="00A365D1"/>
    <w:rsid w:val="00A40D6A"/>
    <w:rsid w:val="00A42865"/>
    <w:rsid w:val="00A42E8F"/>
    <w:rsid w:val="00A455A0"/>
    <w:rsid w:val="00A46543"/>
    <w:rsid w:val="00A50FA7"/>
    <w:rsid w:val="00A51038"/>
    <w:rsid w:val="00A569B3"/>
    <w:rsid w:val="00A57E5D"/>
    <w:rsid w:val="00A61B40"/>
    <w:rsid w:val="00A62FA9"/>
    <w:rsid w:val="00A64788"/>
    <w:rsid w:val="00A72E30"/>
    <w:rsid w:val="00A72F99"/>
    <w:rsid w:val="00A734E4"/>
    <w:rsid w:val="00A7424B"/>
    <w:rsid w:val="00A7431A"/>
    <w:rsid w:val="00A8163E"/>
    <w:rsid w:val="00A81B4E"/>
    <w:rsid w:val="00A82E56"/>
    <w:rsid w:val="00A86284"/>
    <w:rsid w:val="00A875D8"/>
    <w:rsid w:val="00A92033"/>
    <w:rsid w:val="00A9711C"/>
    <w:rsid w:val="00A97140"/>
    <w:rsid w:val="00A97F7A"/>
    <w:rsid w:val="00A97FF1"/>
    <w:rsid w:val="00AA1D26"/>
    <w:rsid w:val="00AA3919"/>
    <w:rsid w:val="00AA4177"/>
    <w:rsid w:val="00AA4FD3"/>
    <w:rsid w:val="00AA5670"/>
    <w:rsid w:val="00AA6BF4"/>
    <w:rsid w:val="00AA7F59"/>
    <w:rsid w:val="00AB161A"/>
    <w:rsid w:val="00AB4D97"/>
    <w:rsid w:val="00AB5DB6"/>
    <w:rsid w:val="00AC08E5"/>
    <w:rsid w:val="00AC15E6"/>
    <w:rsid w:val="00AC2CF3"/>
    <w:rsid w:val="00AC33FA"/>
    <w:rsid w:val="00AC5E91"/>
    <w:rsid w:val="00AC7912"/>
    <w:rsid w:val="00AC7939"/>
    <w:rsid w:val="00AD1594"/>
    <w:rsid w:val="00AD26A9"/>
    <w:rsid w:val="00AD2FDB"/>
    <w:rsid w:val="00AD4206"/>
    <w:rsid w:val="00AD4681"/>
    <w:rsid w:val="00AD6F24"/>
    <w:rsid w:val="00AD6F58"/>
    <w:rsid w:val="00AD799B"/>
    <w:rsid w:val="00AE0788"/>
    <w:rsid w:val="00AE0E14"/>
    <w:rsid w:val="00AE2D87"/>
    <w:rsid w:val="00AE3A43"/>
    <w:rsid w:val="00AE438B"/>
    <w:rsid w:val="00AE555D"/>
    <w:rsid w:val="00AE55F1"/>
    <w:rsid w:val="00AE59B3"/>
    <w:rsid w:val="00AE6812"/>
    <w:rsid w:val="00AE6BAC"/>
    <w:rsid w:val="00AE7924"/>
    <w:rsid w:val="00AF027B"/>
    <w:rsid w:val="00AF10F7"/>
    <w:rsid w:val="00AF12FD"/>
    <w:rsid w:val="00AF22B8"/>
    <w:rsid w:val="00AF36CB"/>
    <w:rsid w:val="00AF5247"/>
    <w:rsid w:val="00AF5C01"/>
    <w:rsid w:val="00B01066"/>
    <w:rsid w:val="00B030AD"/>
    <w:rsid w:val="00B04A64"/>
    <w:rsid w:val="00B055A8"/>
    <w:rsid w:val="00B06545"/>
    <w:rsid w:val="00B1161C"/>
    <w:rsid w:val="00B14C08"/>
    <w:rsid w:val="00B15EA5"/>
    <w:rsid w:val="00B161CB"/>
    <w:rsid w:val="00B168A3"/>
    <w:rsid w:val="00B17065"/>
    <w:rsid w:val="00B17934"/>
    <w:rsid w:val="00B22264"/>
    <w:rsid w:val="00B22B3A"/>
    <w:rsid w:val="00B22FC7"/>
    <w:rsid w:val="00B24DBE"/>
    <w:rsid w:val="00B25866"/>
    <w:rsid w:val="00B25DD6"/>
    <w:rsid w:val="00B27557"/>
    <w:rsid w:val="00B4289E"/>
    <w:rsid w:val="00B4664C"/>
    <w:rsid w:val="00B467D0"/>
    <w:rsid w:val="00B46FCC"/>
    <w:rsid w:val="00B50A3B"/>
    <w:rsid w:val="00B52602"/>
    <w:rsid w:val="00B52646"/>
    <w:rsid w:val="00B537AE"/>
    <w:rsid w:val="00B542D3"/>
    <w:rsid w:val="00B5507B"/>
    <w:rsid w:val="00B55369"/>
    <w:rsid w:val="00B55EC7"/>
    <w:rsid w:val="00B56C97"/>
    <w:rsid w:val="00B60D96"/>
    <w:rsid w:val="00B700FB"/>
    <w:rsid w:val="00B71884"/>
    <w:rsid w:val="00B7400E"/>
    <w:rsid w:val="00B752FC"/>
    <w:rsid w:val="00B76AB9"/>
    <w:rsid w:val="00B7740A"/>
    <w:rsid w:val="00B77920"/>
    <w:rsid w:val="00B81E15"/>
    <w:rsid w:val="00B8260B"/>
    <w:rsid w:val="00B83A1E"/>
    <w:rsid w:val="00B85B6E"/>
    <w:rsid w:val="00B87DE4"/>
    <w:rsid w:val="00B9125A"/>
    <w:rsid w:val="00B92A4F"/>
    <w:rsid w:val="00B93AEC"/>
    <w:rsid w:val="00B96E20"/>
    <w:rsid w:val="00B97F65"/>
    <w:rsid w:val="00BA0E6A"/>
    <w:rsid w:val="00BA158D"/>
    <w:rsid w:val="00BA2047"/>
    <w:rsid w:val="00BA4A7D"/>
    <w:rsid w:val="00BA71B0"/>
    <w:rsid w:val="00BB2095"/>
    <w:rsid w:val="00BB4D89"/>
    <w:rsid w:val="00BB593A"/>
    <w:rsid w:val="00BB5B38"/>
    <w:rsid w:val="00BB63EB"/>
    <w:rsid w:val="00BB74BF"/>
    <w:rsid w:val="00BC0D31"/>
    <w:rsid w:val="00BC21BC"/>
    <w:rsid w:val="00BC3CB9"/>
    <w:rsid w:val="00BC6D00"/>
    <w:rsid w:val="00BC7349"/>
    <w:rsid w:val="00BC7EE7"/>
    <w:rsid w:val="00BD0559"/>
    <w:rsid w:val="00BD1088"/>
    <w:rsid w:val="00BD2397"/>
    <w:rsid w:val="00BD31DD"/>
    <w:rsid w:val="00BD4DC1"/>
    <w:rsid w:val="00BD75CE"/>
    <w:rsid w:val="00BD7937"/>
    <w:rsid w:val="00BE0215"/>
    <w:rsid w:val="00BE2C78"/>
    <w:rsid w:val="00BE5D19"/>
    <w:rsid w:val="00BE6BF3"/>
    <w:rsid w:val="00BE70A7"/>
    <w:rsid w:val="00BF096E"/>
    <w:rsid w:val="00BF0A25"/>
    <w:rsid w:val="00BF152A"/>
    <w:rsid w:val="00BF1EA0"/>
    <w:rsid w:val="00BF5ACD"/>
    <w:rsid w:val="00C01303"/>
    <w:rsid w:val="00C01EBB"/>
    <w:rsid w:val="00C02B31"/>
    <w:rsid w:val="00C03ECF"/>
    <w:rsid w:val="00C03FC9"/>
    <w:rsid w:val="00C04A70"/>
    <w:rsid w:val="00C0511C"/>
    <w:rsid w:val="00C12291"/>
    <w:rsid w:val="00C12A28"/>
    <w:rsid w:val="00C13A28"/>
    <w:rsid w:val="00C14340"/>
    <w:rsid w:val="00C145D4"/>
    <w:rsid w:val="00C14708"/>
    <w:rsid w:val="00C17018"/>
    <w:rsid w:val="00C17B36"/>
    <w:rsid w:val="00C2078C"/>
    <w:rsid w:val="00C22934"/>
    <w:rsid w:val="00C24453"/>
    <w:rsid w:val="00C26B50"/>
    <w:rsid w:val="00C273D5"/>
    <w:rsid w:val="00C27C5E"/>
    <w:rsid w:val="00C318EB"/>
    <w:rsid w:val="00C333CC"/>
    <w:rsid w:val="00C3447B"/>
    <w:rsid w:val="00C3649F"/>
    <w:rsid w:val="00C36819"/>
    <w:rsid w:val="00C36B20"/>
    <w:rsid w:val="00C36D9F"/>
    <w:rsid w:val="00C37C7F"/>
    <w:rsid w:val="00C4195F"/>
    <w:rsid w:val="00C41D06"/>
    <w:rsid w:val="00C434E9"/>
    <w:rsid w:val="00C44ED3"/>
    <w:rsid w:val="00C466F1"/>
    <w:rsid w:val="00C46DDC"/>
    <w:rsid w:val="00C478CD"/>
    <w:rsid w:val="00C47C32"/>
    <w:rsid w:val="00C50242"/>
    <w:rsid w:val="00C515B7"/>
    <w:rsid w:val="00C52307"/>
    <w:rsid w:val="00C52560"/>
    <w:rsid w:val="00C5381E"/>
    <w:rsid w:val="00C54D12"/>
    <w:rsid w:val="00C55AA1"/>
    <w:rsid w:val="00C55C18"/>
    <w:rsid w:val="00C5607F"/>
    <w:rsid w:val="00C563D8"/>
    <w:rsid w:val="00C5670A"/>
    <w:rsid w:val="00C56B2F"/>
    <w:rsid w:val="00C6028E"/>
    <w:rsid w:val="00C61738"/>
    <w:rsid w:val="00C64128"/>
    <w:rsid w:val="00C6561F"/>
    <w:rsid w:val="00C705DC"/>
    <w:rsid w:val="00C70650"/>
    <w:rsid w:val="00C734EB"/>
    <w:rsid w:val="00C7620B"/>
    <w:rsid w:val="00C7782B"/>
    <w:rsid w:val="00C80975"/>
    <w:rsid w:val="00C80A58"/>
    <w:rsid w:val="00C81D3A"/>
    <w:rsid w:val="00C82A88"/>
    <w:rsid w:val="00C83BC1"/>
    <w:rsid w:val="00C906EC"/>
    <w:rsid w:val="00C926B5"/>
    <w:rsid w:val="00C92774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1AD7"/>
    <w:rsid w:val="00CA2829"/>
    <w:rsid w:val="00CA4A78"/>
    <w:rsid w:val="00CA4AB8"/>
    <w:rsid w:val="00CA786A"/>
    <w:rsid w:val="00CB08FB"/>
    <w:rsid w:val="00CB0A78"/>
    <w:rsid w:val="00CB3415"/>
    <w:rsid w:val="00CB38C9"/>
    <w:rsid w:val="00CB5507"/>
    <w:rsid w:val="00CB6025"/>
    <w:rsid w:val="00CB6D11"/>
    <w:rsid w:val="00CB7324"/>
    <w:rsid w:val="00CB7407"/>
    <w:rsid w:val="00CC00D5"/>
    <w:rsid w:val="00CC0B41"/>
    <w:rsid w:val="00CC1C62"/>
    <w:rsid w:val="00CC6FF2"/>
    <w:rsid w:val="00CD3E89"/>
    <w:rsid w:val="00CD519C"/>
    <w:rsid w:val="00CE2A31"/>
    <w:rsid w:val="00CE347B"/>
    <w:rsid w:val="00CE3CDE"/>
    <w:rsid w:val="00CE4505"/>
    <w:rsid w:val="00CE4644"/>
    <w:rsid w:val="00CE5209"/>
    <w:rsid w:val="00CE5F87"/>
    <w:rsid w:val="00CE6F6A"/>
    <w:rsid w:val="00CF0607"/>
    <w:rsid w:val="00CF09B5"/>
    <w:rsid w:val="00CF1930"/>
    <w:rsid w:val="00CF2EBB"/>
    <w:rsid w:val="00CF38D0"/>
    <w:rsid w:val="00CF7521"/>
    <w:rsid w:val="00CF79B7"/>
    <w:rsid w:val="00D00C9A"/>
    <w:rsid w:val="00D0263D"/>
    <w:rsid w:val="00D026B0"/>
    <w:rsid w:val="00D045A2"/>
    <w:rsid w:val="00D04F6D"/>
    <w:rsid w:val="00D056DE"/>
    <w:rsid w:val="00D0654B"/>
    <w:rsid w:val="00D10AA2"/>
    <w:rsid w:val="00D10D06"/>
    <w:rsid w:val="00D11028"/>
    <w:rsid w:val="00D122D0"/>
    <w:rsid w:val="00D15851"/>
    <w:rsid w:val="00D16ADD"/>
    <w:rsid w:val="00D17165"/>
    <w:rsid w:val="00D26D95"/>
    <w:rsid w:val="00D32B27"/>
    <w:rsid w:val="00D34AD7"/>
    <w:rsid w:val="00D35568"/>
    <w:rsid w:val="00D35ACA"/>
    <w:rsid w:val="00D37520"/>
    <w:rsid w:val="00D40549"/>
    <w:rsid w:val="00D406F7"/>
    <w:rsid w:val="00D4195E"/>
    <w:rsid w:val="00D41FA4"/>
    <w:rsid w:val="00D435CE"/>
    <w:rsid w:val="00D43AA6"/>
    <w:rsid w:val="00D45924"/>
    <w:rsid w:val="00D47563"/>
    <w:rsid w:val="00D50707"/>
    <w:rsid w:val="00D51208"/>
    <w:rsid w:val="00D526C6"/>
    <w:rsid w:val="00D5322B"/>
    <w:rsid w:val="00D53895"/>
    <w:rsid w:val="00D57DA4"/>
    <w:rsid w:val="00D60CE4"/>
    <w:rsid w:val="00D6261F"/>
    <w:rsid w:val="00D62F4B"/>
    <w:rsid w:val="00D679DF"/>
    <w:rsid w:val="00D71EA6"/>
    <w:rsid w:val="00D7205B"/>
    <w:rsid w:val="00D7366B"/>
    <w:rsid w:val="00D77DA7"/>
    <w:rsid w:val="00D80AF3"/>
    <w:rsid w:val="00D81349"/>
    <w:rsid w:val="00D81AB9"/>
    <w:rsid w:val="00D82CA1"/>
    <w:rsid w:val="00D84ABC"/>
    <w:rsid w:val="00D85F53"/>
    <w:rsid w:val="00D9490F"/>
    <w:rsid w:val="00D9531F"/>
    <w:rsid w:val="00D97602"/>
    <w:rsid w:val="00DA16BE"/>
    <w:rsid w:val="00DA2DDF"/>
    <w:rsid w:val="00DA2F86"/>
    <w:rsid w:val="00DA4315"/>
    <w:rsid w:val="00DA487C"/>
    <w:rsid w:val="00DA5302"/>
    <w:rsid w:val="00DA5C89"/>
    <w:rsid w:val="00DA759F"/>
    <w:rsid w:val="00DB0534"/>
    <w:rsid w:val="00DB0F3E"/>
    <w:rsid w:val="00DB1DB7"/>
    <w:rsid w:val="00DB1FC3"/>
    <w:rsid w:val="00DB4A1F"/>
    <w:rsid w:val="00DC1C94"/>
    <w:rsid w:val="00DC47CE"/>
    <w:rsid w:val="00DC597F"/>
    <w:rsid w:val="00DC681D"/>
    <w:rsid w:val="00DC7283"/>
    <w:rsid w:val="00DC72C9"/>
    <w:rsid w:val="00DD13EA"/>
    <w:rsid w:val="00DD1D17"/>
    <w:rsid w:val="00DD229F"/>
    <w:rsid w:val="00DD24E6"/>
    <w:rsid w:val="00DD2690"/>
    <w:rsid w:val="00DD2880"/>
    <w:rsid w:val="00DD2B89"/>
    <w:rsid w:val="00DD3D8C"/>
    <w:rsid w:val="00DD5031"/>
    <w:rsid w:val="00DD660E"/>
    <w:rsid w:val="00DE0732"/>
    <w:rsid w:val="00DE3420"/>
    <w:rsid w:val="00DE3C6A"/>
    <w:rsid w:val="00DE458E"/>
    <w:rsid w:val="00DE4D42"/>
    <w:rsid w:val="00DE50E5"/>
    <w:rsid w:val="00DE53F3"/>
    <w:rsid w:val="00DF041C"/>
    <w:rsid w:val="00DF2DEE"/>
    <w:rsid w:val="00DF57F2"/>
    <w:rsid w:val="00DF5AB1"/>
    <w:rsid w:val="00DF6FF8"/>
    <w:rsid w:val="00DF74D4"/>
    <w:rsid w:val="00E052BD"/>
    <w:rsid w:val="00E05573"/>
    <w:rsid w:val="00E05F62"/>
    <w:rsid w:val="00E06D10"/>
    <w:rsid w:val="00E10023"/>
    <w:rsid w:val="00E10582"/>
    <w:rsid w:val="00E106D5"/>
    <w:rsid w:val="00E13CFF"/>
    <w:rsid w:val="00E14B73"/>
    <w:rsid w:val="00E15A71"/>
    <w:rsid w:val="00E16797"/>
    <w:rsid w:val="00E20DDD"/>
    <w:rsid w:val="00E20EC9"/>
    <w:rsid w:val="00E22859"/>
    <w:rsid w:val="00E22EA5"/>
    <w:rsid w:val="00E235D0"/>
    <w:rsid w:val="00E243CC"/>
    <w:rsid w:val="00E243DD"/>
    <w:rsid w:val="00E31219"/>
    <w:rsid w:val="00E31E56"/>
    <w:rsid w:val="00E32151"/>
    <w:rsid w:val="00E32353"/>
    <w:rsid w:val="00E32672"/>
    <w:rsid w:val="00E34AB3"/>
    <w:rsid w:val="00E3538D"/>
    <w:rsid w:val="00E37177"/>
    <w:rsid w:val="00E43CFC"/>
    <w:rsid w:val="00E4639B"/>
    <w:rsid w:val="00E470CC"/>
    <w:rsid w:val="00E47814"/>
    <w:rsid w:val="00E500F8"/>
    <w:rsid w:val="00E518A9"/>
    <w:rsid w:val="00E52060"/>
    <w:rsid w:val="00E523E7"/>
    <w:rsid w:val="00E52822"/>
    <w:rsid w:val="00E52DEA"/>
    <w:rsid w:val="00E53428"/>
    <w:rsid w:val="00E54F02"/>
    <w:rsid w:val="00E6132A"/>
    <w:rsid w:val="00E63264"/>
    <w:rsid w:val="00E6418F"/>
    <w:rsid w:val="00E642DF"/>
    <w:rsid w:val="00E65DCB"/>
    <w:rsid w:val="00E66AAC"/>
    <w:rsid w:val="00E70A52"/>
    <w:rsid w:val="00E73CE1"/>
    <w:rsid w:val="00E7435F"/>
    <w:rsid w:val="00E74657"/>
    <w:rsid w:val="00E74C92"/>
    <w:rsid w:val="00E767E1"/>
    <w:rsid w:val="00E854A1"/>
    <w:rsid w:val="00E86C32"/>
    <w:rsid w:val="00E86DCE"/>
    <w:rsid w:val="00E873FA"/>
    <w:rsid w:val="00E9387D"/>
    <w:rsid w:val="00E95FDE"/>
    <w:rsid w:val="00E95FFC"/>
    <w:rsid w:val="00E96C24"/>
    <w:rsid w:val="00EA02C6"/>
    <w:rsid w:val="00EA10AC"/>
    <w:rsid w:val="00EA3009"/>
    <w:rsid w:val="00EA3C0D"/>
    <w:rsid w:val="00EA3FF3"/>
    <w:rsid w:val="00EA73D5"/>
    <w:rsid w:val="00EB2FA0"/>
    <w:rsid w:val="00EB30A8"/>
    <w:rsid w:val="00EB3E5F"/>
    <w:rsid w:val="00EB42F5"/>
    <w:rsid w:val="00EB5B68"/>
    <w:rsid w:val="00EB6724"/>
    <w:rsid w:val="00EB71EA"/>
    <w:rsid w:val="00EB77D0"/>
    <w:rsid w:val="00EC10AD"/>
    <w:rsid w:val="00EC582E"/>
    <w:rsid w:val="00EC5C78"/>
    <w:rsid w:val="00EC6D9A"/>
    <w:rsid w:val="00EC7C7A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E476B"/>
    <w:rsid w:val="00EF2E06"/>
    <w:rsid w:val="00EF32EB"/>
    <w:rsid w:val="00EF4FF4"/>
    <w:rsid w:val="00EF6B9C"/>
    <w:rsid w:val="00EF74B9"/>
    <w:rsid w:val="00F0002C"/>
    <w:rsid w:val="00F038EE"/>
    <w:rsid w:val="00F05B3F"/>
    <w:rsid w:val="00F05FF5"/>
    <w:rsid w:val="00F060F7"/>
    <w:rsid w:val="00F1008D"/>
    <w:rsid w:val="00F126EB"/>
    <w:rsid w:val="00F12933"/>
    <w:rsid w:val="00F136B5"/>
    <w:rsid w:val="00F163D6"/>
    <w:rsid w:val="00F175D5"/>
    <w:rsid w:val="00F20005"/>
    <w:rsid w:val="00F22B94"/>
    <w:rsid w:val="00F24998"/>
    <w:rsid w:val="00F24D11"/>
    <w:rsid w:val="00F253F6"/>
    <w:rsid w:val="00F25450"/>
    <w:rsid w:val="00F263CF"/>
    <w:rsid w:val="00F3122D"/>
    <w:rsid w:val="00F322E8"/>
    <w:rsid w:val="00F34168"/>
    <w:rsid w:val="00F344BF"/>
    <w:rsid w:val="00F36AE2"/>
    <w:rsid w:val="00F36CCB"/>
    <w:rsid w:val="00F404D3"/>
    <w:rsid w:val="00F41E88"/>
    <w:rsid w:val="00F4499C"/>
    <w:rsid w:val="00F450AF"/>
    <w:rsid w:val="00F45EC8"/>
    <w:rsid w:val="00F4640C"/>
    <w:rsid w:val="00F46C0E"/>
    <w:rsid w:val="00F47849"/>
    <w:rsid w:val="00F502DB"/>
    <w:rsid w:val="00F509CF"/>
    <w:rsid w:val="00F51133"/>
    <w:rsid w:val="00F51EAD"/>
    <w:rsid w:val="00F5219A"/>
    <w:rsid w:val="00F531A6"/>
    <w:rsid w:val="00F548B2"/>
    <w:rsid w:val="00F5640E"/>
    <w:rsid w:val="00F56D28"/>
    <w:rsid w:val="00F56EC6"/>
    <w:rsid w:val="00F5780C"/>
    <w:rsid w:val="00F624D0"/>
    <w:rsid w:val="00F62734"/>
    <w:rsid w:val="00F6291A"/>
    <w:rsid w:val="00F67B68"/>
    <w:rsid w:val="00F75385"/>
    <w:rsid w:val="00F76632"/>
    <w:rsid w:val="00F76D87"/>
    <w:rsid w:val="00F809D2"/>
    <w:rsid w:val="00F80E52"/>
    <w:rsid w:val="00F8297A"/>
    <w:rsid w:val="00F82FEE"/>
    <w:rsid w:val="00F84DFF"/>
    <w:rsid w:val="00F84FB3"/>
    <w:rsid w:val="00F85D38"/>
    <w:rsid w:val="00F85F72"/>
    <w:rsid w:val="00F86036"/>
    <w:rsid w:val="00F861C3"/>
    <w:rsid w:val="00F87926"/>
    <w:rsid w:val="00F87C46"/>
    <w:rsid w:val="00F87C8F"/>
    <w:rsid w:val="00F87D14"/>
    <w:rsid w:val="00F97F35"/>
    <w:rsid w:val="00FA0971"/>
    <w:rsid w:val="00FA14E1"/>
    <w:rsid w:val="00FA28D6"/>
    <w:rsid w:val="00FA3374"/>
    <w:rsid w:val="00FA6436"/>
    <w:rsid w:val="00FA6BB3"/>
    <w:rsid w:val="00FA7632"/>
    <w:rsid w:val="00FB03E2"/>
    <w:rsid w:val="00FB1749"/>
    <w:rsid w:val="00FB2DCD"/>
    <w:rsid w:val="00FC0D2F"/>
    <w:rsid w:val="00FC1D15"/>
    <w:rsid w:val="00FC3716"/>
    <w:rsid w:val="00FC3E01"/>
    <w:rsid w:val="00FC3F4A"/>
    <w:rsid w:val="00FC5BF5"/>
    <w:rsid w:val="00FC78DD"/>
    <w:rsid w:val="00FC798E"/>
    <w:rsid w:val="00FD08E6"/>
    <w:rsid w:val="00FD54D1"/>
    <w:rsid w:val="00FD61C1"/>
    <w:rsid w:val="00FD7AEA"/>
    <w:rsid w:val="00FE0916"/>
    <w:rsid w:val="00FE0EE6"/>
    <w:rsid w:val="00FE206E"/>
    <w:rsid w:val="00FE4209"/>
    <w:rsid w:val="00FE561F"/>
    <w:rsid w:val="00FE5B17"/>
    <w:rsid w:val="00FF0947"/>
    <w:rsid w:val="00FF10AF"/>
    <w:rsid w:val="00FF2256"/>
    <w:rsid w:val="00FF22DB"/>
    <w:rsid w:val="00FF2554"/>
    <w:rsid w:val="00FF255F"/>
    <w:rsid w:val="00FF3FA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"/>
    <w:basedOn w:val="Normalny"/>
    <w:link w:val="AkapitzlistZnak"/>
    <w:uiPriority w:val="72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"/>
    <w:link w:val="Akapitzlist"/>
    <w:uiPriority w:val="34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BF81-D19C-4850-A748-D5070B61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3787</Words>
  <Characters>22896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Rudek Paulina</cp:lastModifiedBy>
  <cp:revision>3</cp:revision>
  <dcterms:created xsi:type="dcterms:W3CDTF">2024-06-11T06:29:00Z</dcterms:created>
  <dcterms:modified xsi:type="dcterms:W3CDTF">2025-03-03T08:37:00Z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c3ee76e35370a4fd05c42b683c455aab70dc882f38738c9d53141b935f7de38d</vt:lpwstr>
  </property>
</Properties>
</file>