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061A0" w14:textId="2AD610DB" w:rsidR="00CA4C90" w:rsidRDefault="00160631" w:rsidP="003F2025">
      <w:pPr>
        <w:rPr>
          <w:sz w:val="22"/>
          <w:szCs w:val="22"/>
        </w:rPr>
      </w:pPr>
      <w:r>
        <w:rPr>
          <w:sz w:val="22"/>
          <w:szCs w:val="22"/>
        </w:rPr>
        <w:t>Załącznik</w:t>
      </w:r>
      <w:r w:rsidR="00694AE3">
        <w:rPr>
          <w:sz w:val="22"/>
          <w:szCs w:val="22"/>
        </w:rPr>
        <w:t xml:space="preserve"> </w:t>
      </w:r>
      <w:r w:rsidR="00901064">
        <w:rPr>
          <w:sz w:val="22"/>
          <w:szCs w:val="22"/>
        </w:rPr>
        <w:t>B.82.</w:t>
      </w:r>
    </w:p>
    <w:p w14:paraId="5B5E2A70" w14:textId="77777777" w:rsidR="00CA4C90" w:rsidRDefault="00CA4C90" w:rsidP="003F2025">
      <w:pPr>
        <w:rPr>
          <w:sz w:val="22"/>
          <w:szCs w:val="22"/>
        </w:rPr>
      </w:pPr>
    </w:p>
    <w:p w14:paraId="468EF982" w14:textId="189E0609" w:rsidR="00CA4C90" w:rsidRDefault="00901064" w:rsidP="00DE3EB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LECZENIE</w:t>
      </w:r>
      <w:r w:rsidR="00273620">
        <w:rPr>
          <w:b/>
          <w:sz w:val="28"/>
          <w:szCs w:val="28"/>
        </w:rPr>
        <w:t xml:space="preserve"> </w:t>
      </w:r>
      <w:r w:rsidR="0010646B">
        <w:rPr>
          <w:b/>
          <w:sz w:val="28"/>
          <w:szCs w:val="28"/>
        </w:rPr>
        <w:t xml:space="preserve">PACJENTÓW </w:t>
      </w:r>
      <w:r>
        <w:rPr>
          <w:b/>
          <w:sz w:val="28"/>
          <w:szCs w:val="28"/>
        </w:rPr>
        <w:t>Z</w:t>
      </w:r>
      <w:r w:rsidR="007A0605">
        <w:rPr>
          <w:b/>
          <w:sz w:val="28"/>
          <w:szCs w:val="28"/>
        </w:rPr>
        <w:t xml:space="preserve"> </w:t>
      </w:r>
      <w:r w:rsidR="007A0605" w:rsidRPr="007A0605">
        <w:rPr>
          <w:b/>
          <w:sz w:val="28"/>
          <w:szCs w:val="28"/>
        </w:rPr>
        <w:t>AKTYWNĄ POSTACIĄ SPONDYLOARTROPATII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SpA</w:t>
      </w:r>
      <w:proofErr w:type="spellEnd"/>
      <w:r>
        <w:rPr>
          <w:b/>
          <w:sz w:val="28"/>
          <w:szCs w:val="28"/>
        </w:rPr>
        <w:t>)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BEZ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ZMIAN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RADIOGRAFICZNYCH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CHARAKTERYSTYCZNYCH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DLA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ZZSK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(ICD-10</w:t>
      </w:r>
      <w:r w:rsidR="00DE3EB5">
        <w:rPr>
          <w:b/>
          <w:sz w:val="28"/>
          <w:szCs w:val="28"/>
        </w:rPr>
        <w:t>:</w:t>
      </w:r>
      <w:r w:rsidR="002736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M46.8)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4294"/>
        <w:gridCol w:w="4295"/>
      </w:tblGrid>
      <w:tr w:rsidR="00CA4C90" w:rsidRPr="003F2025" w14:paraId="7B7A7741" w14:textId="77777777" w:rsidTr="00DE3EB5">
        <w:trPr>
          <w:trHeight w:val="567"/>
        </w:trPr>
        <w:tc>
          <w:tcPr>
            <w:tcW w:w="15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6BC80" w14:textId="646DD8C9" w:rsidR="00CA4C90" w:rsidRPr="003F2025" w:rsidRDefault="00901064" w:rsidP="003F2025">
            <w:pPr>
              <w:jc w:val="center"/>
              <w:rPr>
                <w:b/>
                <w:sz w:val="20"/>
                <w:szCs w:val="20"/>
              </w:rPr>
            </w:pPr>
            <w:r w:rsidRPr="003F2025">
              <w:rPr>
                <w:b/>
                <w:sz w:val="20"/>
                <w:szCs w:val="20"/>
              </w:rPr>
              <w:t>ZAKRES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ŚWIADCZENIA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GWARANTOWANEGO</w:t>
            </w:r>
          </w:p>
        </w:tc>
      </w:tr>
      <w:tr w:rsidR="00CA4C90" w:rsidRPr="003F2025" w14:paraId="07DCEEC6" w14:textId="77777777" w:rsidTr="00273620">
        <w:trPr>
          <w:trHeight w:val="567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3DE317" w14:textId="77777777" w:rsidR="00CA4C90" w:rsidRPr="003F2025" w:rsidRDefault="00901064" w:rsidP="003F2025">
            <w:pPr>
              <w:jc w:val="center"/>
              <w:rPr>
                <w:b/>
                <w:sz w:val="20"/>
                <w:szCs w:val="20"/>
              </w:rPr>
            </w:pPr>
            <w:r w:rsidRPr="003F2025">
              <w:rPr>
                <w:b/>
                <w:sz w:val="20"/>
                <w:szCs w:val="20"/>
              </w:rPr>
              <w:t>ŚWIADCZENIOBIORCY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3DA12D" w14:textId="488273B5" w:rsidR="00CA4C90" w:rsidRPr="003F2025" w:rsidRDefault="00901064" w:rsidP="003F2025">
            <w:pPr>
              <w:jc w:val="center"/>
              <w:rPr>
                <w:b/>
                <w:sz w:val="20"/>
                <w:szCs w:val="20"/>
              </w:rPr>
            </w:pPr>
            <w:r w:rsidRPr="003F2025">
              <w:rPr>
                <w:b/>
                <w:sz w:val="20"/>
                <w:szCs w:val="20"/>
              </w:rPr>
              <w:t>SCHEMAT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DAWKOWANIA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LEKÓW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="00273620">
              <w:rPr>
                <w:b/>
                <w:sz w:val="20"/>
                <w:szCs w:val="20"/>
              </w:rPr>
              <w:br/>
            </w:r>
            <w:r w:rsidRPr="003F2025">
              <w:rPr>
                <w:b/>
                <w:sz w:val="20"/>
                <w:szCs w:val="20"/>
              </w:rPr>
              <w:t>W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PROGRAMIE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5D218C" w14:textId="7F6DD501" w:rsidR="00CA4C90" w:rsidRPr="003F2025" w:rsidRDefault="00901064" w:rsidP="003F2025">
            <w:pPr>
              <w:jc w:val="center"/>
              <w:rPr>
                <w:b/>
                <w:sz w:val="20"/>
                <w:szCs w:val="20"/>
              </w:rPr>
            </w:pPr>
            <w:r w:rsidRPr="003F2025">
              <w:rPr>
                <w:b/>
                <w:sz w:val="20"/>
                <w:szCs w:val="20"/>
              </w:rPr>
              <w:t>BADANIA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DIAGNOSTYCZNE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WYKONYWANE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W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RAMACH</w:t>
            </w:r>
            <w:r w:rsidR="00273620">
              <w:rPr>
                <w:b/>
                <w:sz w:val="20"/>
                <w:szCs w:val="20"/>
              </w:rPr>
              <w:t xml:space="preserve"> </w:t>
            </w:r>
            <w:r w:rsidRPr="003F2025">
              <w:rPr>
                <w:b/>
                <w:sz w:val="20"/>
                <w:szCs w:val="20"/>
              </w:rPr>
              <w:t>PROGRAMU</w:t>
            </w:r>
          </w:p>
        </w:tc>
      </w:tr>
      <w:tr w:rsidR="00CA4C90" w:rsidRPr="003F2025" w14:paraId="44F8E75B" w14:textId="77777777" w:rsidTr="00273620">
        <w:trPr>
          <w:trHeight w:val="20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426F1F" w14:textId="66ECDF43" w:rsidR="00781A5C" w:rsidRPr="006E6EEB" w:rsidRDefault="00781A5C" w:rsidP="00C418E1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6E6EEB">
              <w:rPr>
                <w:sz w:val="20"/>
                <w:szCs w:val="20"/>
              </w:rPr>
              <w:t>W ramach programu lekowego udostępnia się terapie:</w:t>
            </w:r>
          </w:p>
          <w:p w14:paraId="700D6DE8" w14:textId="77777777" w:rsidR="00781A5C" w:rsidRDefault="00781A5C" w:rsidP="006A1A4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c</w:t>
            </w:r>
            <w:r w:rsidRPr="00781A5C">
              <w:rPr>
                <w:i/>
                <w:iCs/>
                <w:sz w:val="20"/>
                <w:szCs w:val="20"/>
              </w:rPr>
              <w:t>ertolizumab</w:t>
            </w:r>
            <w:r>
              <w:rPr>
                <w:i/>
                <w:iCs/>
                <w:sz w:val="20"/>
                <w:szCs w:val="20"/>
              </w:rPr>
              <w:t>em</w:t>
            </w:r>
            <w:proofErr w:type="spellEnd"/>
            <w:r w:rsidRPr="00781A5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81A5C">
              <w:rPr>
                <w:i/>
                <w:iCs/>
                <w:sz w:val="20"/>
                <w:szCs w:val="20"/>
              </w:rPr>
              <w:t>pegol</w:t>
            </w:r>
            <w:proofErr w:type="spellEnd"/>
            <w:r w:rsidRPr="00781A5C">
              <w:rPr>
                <w:i/>
                <w:iCs/>
                <w:sz w:val="20"/>
                <w:szCs w:val="20"/>
              </w:rPr>
              <w:t xml:space="preserve">, </w:t>
            </w:r>
          </w:p>
          <w:p w14:paraId="3347C379" w14:textId="30351D6A" w:rsidR="00781A5C" w:rsidRDefault="00781A5C" w:rsidP="006A1A4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781A5C">
              <w:rPr>
                <w:i/>
                <w:iCs/>
                <w:sz w:val="20"/>
                <w:szCs w:val="20"/>
              </w:rPr>
              <w:t>etanercept</w:t>
            </w:r>
            <w:r>
              <w:rPr>
                <w:i/>
                <w:iCs/>
                <w:sz w:val="20"/>
                <w:szCs w:val="20"/>
              </w:rPr>
              <w:t>em</w:t>
            </w:r>
            <w:proofErr w:type="spellEnd"/>
            <w:r w:rsidRPr="00781A5C">
              <w:rPr>
                <w:i/>
                <w:iCs/>
                <w:sz w:val="20"/>
                <w:szCs w:val="20"/>
              </w:rPr>
              <w:t>,</w:t>
            </w:r>
          </w:p>
          <w:p w14:paraId="3CFF6D92" w14:textId="24A12A9A" w:rsidR="00781A5C" w:rsidRDefault="00781A5C" w:rsidP="006A1A4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781A5C">
              <w:rPr>
                <w:i/>
                <w:iCs/>
                <w:sz w:val="20"/>
                <w:szCs w:val="20"/>
              </w:rPr>
              <w:t>iksekizumab</w:t>
            </w:r>
            <w:r>
              <w:rPr>
                <w:i/>
                <w:iCs/>
                <w:sz w:val="20"/>
                <w:szCs w:val="20"/>
              </w:rPr>
              <w:t>em</w:t>
            </w:r>
            <w:proofErr w:type="spellEnd"/>
            <w:r w:rsidRPr="00781A5C">
              <w:rPr>
                <w:i/>
                <w:iCs/>
                <w:sz w:val="20"/>
                <w:szCs w:val="20"/>
              </w:rPr>
              <w:t xml:space="preserve">, </w:t>
            </w:r>
          </w:p>
          <w:p w14:paraId="46EFCA4C" w14:textId="38EFDA86" w:rsidR="00781A5C" w:rsidRDefault="00781A5C" w:rsidP="006A1A4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781A5C">
              <w:rPr>
                <w:i/>
                <w:iCs/>
                <w:sz w:val="20"/>
                <w:szCs w:val="20"/>
              </w:rPr>
              <w:t>sekukinumab</w:t>
            </w:r>
            <w:r>
              <w:rPr>
                <w:i/>
                <w:iCs/>
                <w:sz w:val="20"/>
                <w:szCs w:val="20"/>
              </w:rPr>
              <w:t>em</w:t>
            </w:r>
            <w:proofErr w:type="spellEnd"/>
            <w:r>
              <w:rPr>
                <w:i/>
                <w:iCs/>
                <w:sz w:val="20"/>
                <w:szCs w:val="20"/>
              </w:rPr>
              <w:t>,</w:t>
            </w:r>
          </w:p>
          <w:p w14:paraId="68ADC6B6" w14:textId="5E6B6454" w:rsidR="00781A5C" w:rsidRDefault="00781A5C" w:rsidP="006A1A4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781A5C">
              <w:rPr>
                <w:i/>
                <w:iCs/>
                <w:sz w:val="20"/>
                <w:szCs w:val="20"/>
              </w:rPr>
              <w:t>upadacytynib</w:t>
            </w:r>
            <w:r>
              <w:rPr>
                <w:i/>
                <w:iCs/>
                <w:sz w:val="20"/>
                <w:szCs w:val="20"/>
              </w:rPr>
              <w:t>em</w:t>
            </w:r>
            <w:proofErr w:type="spellEnd"/>
            <w:r>
              <w:rPr>
                <w:i/>
                <w:iCs/>
                <w:sz w:val="20"/>
                <w:szCs w:val="20"/>
              </w:rPr>
              <w:t>,</w:t>
            </w:r>
          </w:p>
          <w:p w14:paraId="09097A06" w14:textId="59F05EC1" w:rsidR="001711D9" w:rsidRPr="00FC69A4" w:rsidRDefault="001711D9" w:rsidP="006A1A40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1711D9">
              <w:rPr>
                <w:i/>
                <w:iCs/>
                <w:sz w:val="20"/>
                <w:szCs w:val="20"/>
              </w:rPr>
              <w:t>bimekizumabem</w:t>
            </w:r>
            <w:proofErr w:type="spellEnd"/>
            <w:r>
              <w:rPr>
                <w:i/>
                <w:iCs/>
                <w:sz w:val="20"/>
                <w:szCs w:val="20"/>
              </w:rPr>
              <w:t>,</w:t>
            </w:r>
          </w:p>
          <w:p w14:paraId="2402D5E9" w14:textId="77777777" w:rsidR="00781A5C" w:rsidRDefault="00781A5C" w:rsidP="006A1A4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  <w:r w:rsidRPr="00C62CE7">
              <w:rPr>
                <w:sz w:val="20"/>
                <w:szCs w:val="20"/>
                <w:u w:val="single"/>
              </w:rPr>
              <w:t>zgodnie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ze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wskazanymi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w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opisie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programu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warunkami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i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C62CE7">
              <w:rPr>
                <w:sz w:val="20"/>
                <w:szCs w:val="20"/>
                <w:u w:val="single"/>
              </w:rPr>
              <w:t>kryteriami</w:t>
            </w:r>
            <w:r>
              <w:rPr>
                <w:sz w:val="20"/>
                <w:szCs w:val="20"/>
                <w:u w:val="single"/>
              </w:rPr>
              <w:t>.</w:t>
            </w:r>
          </w:p>
          <w:p w14:paraId="1BD5075D" w14:textId="6B42B45F" w:rsidR="00781A5C" w:rsidRPr="00E30D66" w:rsidRDefault="00781A5C" w:rsidP="006A1A4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30D66">
              <w:rPr>
                <w:sz w:val="20"/>
                <w:szCs w:val="20"/>
              </w:rPr>
              <w:t xml:space="preserve">Kwalifikacja świadczeniobiorców do programu przeprowadzana jest przez Zespół Koordynacyjny ds. </w:t>
            </w:r>
            <w:r w:rsidRPr="00781A5C">
              <w:rPr>
                <w:sz w:val="20"/>
                <w:szCs w:val="20"/>
              </w:rPr>
              <w:t xml:space="preserve">Leczenia Biologicznego w Chorobach Reumatycznych </w:t>
            </w:r>
            <w:r w:rsidRPr="00E30D66">
              <w:rPr>
                <w:sz w:val="20"/>
                <w:szCs w:val="20"/>
              </w:rPr>
              <w:t>powoływany przez Prezesa Narodowego Funduszu Zdrowia.</w:t>
            </w:r>
          </w:p>
          <w:p w14:paraId="3A3E9ECC" w14:textId="77777777" w:rsidR="00781A5C" w:rsidRPr="00C20995" w:rsidRDefault="00781A5C" w:rsidP="006A1A40">
            <w:pPr>
              <w:pStyle w:val="Tekstpodstawowywcity"/>
              <w:spacing w:after="60" w:line="276" w:lineRule="auto"/>
              <w:ind w:left="0"/>
              <w:rPr>
                <w:bCs/>
                <w:iCs/>
                <w:sz w:val="20"/>
                <w:szCs w:val="20"/>
              </w:rPr>
            </w:pPr>
          </w:p>
          <w:p w14:paraId="41C0DF85" w14:textId="05EEEE74" w:rsidR="00CA4C90" w:rsidRPr="0031251F" w:rsidRDefault="00901064" w:rsidP="006A1A40">
            <w:pPr>
              <w:pStyle w:val="Tekstpodstawowywcity"/>
              <w:numPr>
                <w:ilvl w:val="0"/>
                <w:numId w:val="1"/>
              </w:numPr>
              <w:spacing w:after="60" w:line="276" w:lineRule="auto"/>
              <w:rPr>
                <w:bCs/>
                <w:iCs/>
                <w:sz w:val="20"/>
                <w:szCs w:val="20"/>
              </w:rPr>
            </w:pPr>
            <w:r w:rsidRPr="0031251F">
              <w:rPr>
                <w:b/>
                <w:sz w:val="20"/>
                <w:szCs w:val="20"/>
              </w:rPr>
              <w:t>Kryteria</w:t>
            </w:r>
            <w:r w:rsidR="00273620" w:rsidRPr="0031251F">
              <w:rPr>
                <w:b/>
                <w:sz w:val="20"/>
                <w:szCs w:val="20"/>
              </w:rPr>
              <w:t xml:space="preserve"> </w:t>
            </w:r>
            <w:r w:rsidRPr="0031251F">
              <w:rPr>
                <w:b/>
                <w:sz w:val="20"/>
                <w:szCs w:val="20"/>
              </w:rPr>
              <w:t>kwalifikacji</w:t>
            </w:r>
          </w:p>
          <w:p w14:paraId="3B83BAC5" w14:textId="2F6D9765" w:rsidR="00CA4C90" w:rsidRPr="0031251F" w:rsidRDefault="0017615F" w:rsidP="006A1A40">
            <w:pPr>
              <w:pStyle w:val="Tekstpodstawowywcity"/>
              <w:spacing w:after="60" w:line="276" w:lineRule="auto"/>
              <w:ind w:left="0"/>
              <w:jc w:val="both"/>
              <w:rPr>
                <w:sz w:val="20"/>
                <w:szCs w:val="20"/>
              </w:rPr>
            </w:pPr>
            <w:r w:rsidRPr="0017615F">
              <w:rPr>
                <w:sz w:val="20"/>
                <w:szCs w:val="20"/>
              </w:rPr>
              <w:t>Do programu kwalifikowani są pacjenci spełniający</w:t>
            </w:r>
            <w:r w:rsidR="00763816">
              <w:rPr>
                <w:sz w:val="20"/>
                <w:szCs w:val="20"/>
              </w:rPr>
              <w:t xml:space="preserve"> </w:t>
            </w:r>
            <w:r w:rsidRPr="0017615F">
              <w:rPr>
                <w:sz w:val="20"/>
                <w:szCs w:val="20"/>
              </w:rPr>
              <w:t>następujące kryteria</w:t>
            </w:r>
            <w:r w:rsidR="00901064" w:rsidRPr="0031251F">
              <w:rPr>
                <w:sz w:val="20"/>
                <w:szCs w:val="20"/>
              </w:rPr>
              <w:t>:</w:t>
            </w:r>
          </w:p>
          <w:p w14:paraId="47A0F201" w14:textId="654E3574" w:rsidR="00CA4C90" w:rsidRPr="00C20995" w:rsidRDefault="007B6F61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079F8">
              <w:rPr>
                <w:sz w:val="20"/>
                <w:szCs w:val="20"/>
              </w:rPr>
              <w:t xml:space="preserve">acjenci </w:t>
            </w:r>
            <w:r w:rsidR="00901064" w:rsidRPr="00C20995">
              <w:rPr>
                <w:sz w:val="20"/>
                <w:szCs w:val="20"/>
              </w:rPr>
              <w:t>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przewlekłym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bólem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krzyża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trwającym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&gt;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3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miesięcy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i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pojawieniem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się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objawów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przed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45</w:t>
            </w:r>
            <w:r w:rsidR="007373E5" w:rsidRPr="00C20995">
              <w:rPr>
                <w:sz w:val="20"/>
                <w:szCs w:val="20"/>
              </w:rPr>
              <w:t>.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r.ż.,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obecnym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zapaleniem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stawów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krzyżowo-biodrowych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badaniu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rezonansu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magnetycznego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(MR)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bez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klasycznych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zmian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radiograficznych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stawach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krzyżowo-biodrowych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obserwowanych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na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zdjęciach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RTG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lub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obecnym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antygenem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HLA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B27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ustalonym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rozpoznaniem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proofErr w:type="spellStart"/>
            <w:r w:rsidR="00901064" w:rsidRPr="00C20995">
              <w:rPr>
                <w:sz w:val="20"/>
                <w:szCs w:val="20"/>
              </w:rPr>
              <w:t>spondyloartropatii</w:t>
            </w:r>
            <w:proofErr w:type="spellEnd"/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osiowej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oraz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pacjentów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zapaleniem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lastRenderedPageBreak/>
              <w:t>stawów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obwodowych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lub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przyczepów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ścięgnistych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rozpoznaniem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proofErr w:type="spellStart"/>
            <w:r w:rsidR="00901064" w:rsidRPr="00C20995">
              <w:rPr>
                <w:sz w:val="20"/>
                <w:szCs w:val="20"/>
              </w:rPr>
              <w:t>spondyloatropatii</w:t>
            </w:r>
            <w:proofErr w:type="spellEnd"/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obwodowej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na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podstawie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kryteriów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klasyfikacyjnych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proofErr w:type="spellStart"/>
            <w:r w:rsidR="00901064" w:rsidRPr="00C20995">
              <w:rPr>
                <w:sz w:val="20"/>
                <w:szCs w:val="20"/>
              </w:rPr>
              <w:t>SpA</w:t>
            </w:r>
            <w:proofErr w:type="spellEnd"/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wg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ASAS</w:t>
            </w:r>
          </w:p>
          <w:p w14:paraId="0470F36C" w14:textId="77777777" w:rsidR="00CA4C90" w:rsidRPr="0031251F" w:rsidRDefault="00901064" w:rsidP="006A1A40">
            <w:pPr>
              <w:pStyle w:val="Akapitzlist"/>
              <w:spacing w:after="60" w:line="276" w:lineRule="auto"/>
              <w:ind w:left="44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oraz</w:t>
            </w:r>
          </w:p>
          <w:p w14:paraId="7C372EA7" w14:textId="00B895F5" w:rsidR="00CA4C90" w:rsidRPr="0031251F" w:rsidRDefault="00901064" w:rsidP="006A1A40">
            <w:pPr>
              <w:pStyle w:val="Akapitzlist"/>
              <w:spacing w:after="60" w:line="276" w:lineRule="auto"/>
              <w:ind w:left="44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aktywną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postacią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która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musi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być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udokumentowana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dwukrotnie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odstępie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tygodni,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braku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zmian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leczenia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okresie:</w:t>
            </w:r>
          </w:p>
          <w:p w14:paraId="6C05B440" w14:textId="493E23E4" w:rsidR="00CA4C90" w:rsidRPr="0031251F" w:rsidRDefault="00901064" w:rsidP="006A1A40">
            <w:pPr>
              <w:pStyle w:val="Akapitzlist"/>
              <w:numPr>
                <w:ilvl w:val="3"/>
                <w:numId w:val="6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przy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dominujących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objawach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strony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kręgosłupa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(postać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osiowa)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mimo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stosowania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dwóch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niesteroidowych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leków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przeciwzapalnych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stosowanych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kolejno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tygodnie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każdy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(podawanych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różnym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czasie)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maksymalnej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rekomendowanej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tolerowanej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pacjenta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dawce</w:t>
            </w:r>
            <w:r w:rsidR="007C421C">
              <w:rPr>
                <w:sz w:val="20"/>
                <w:szCs w:val="20"/>
              </w:rPr>
              <w:t>,</w:t>
            </w:r>
          </w:p>
          <w:p w14:paraId="31E0F78F" w14:textId="184FED54" w:rsidR="00CA4C90" w:rsidRPr="0031251F" w:rsidRDefault="00901064" w:rsidP="006A1A40">
            <w:pPr>
              <w:pStyle w:val="Akapitzlist"/>
              <w:numPr>
                <w:ilvl w:val="3"/>
                <w:numId w:val="6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przy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dominujących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objawach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strony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stawów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obwodowych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(postać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obwodowa)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pomimo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leczenia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dwoma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syntetycznymi,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konwencjonalnymi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lekami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modyfikującymi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postęp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choroby:</w:t>
            </w:r>
          </w:p>
          <w:p w14:paraId="1E85E99D" w14:textId="64B2C066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31251F">
              <w:rPr>
                <w:sz w:val="20"/>
                <w:szCs w:val="20"/>
              </w:rPr>
              <w:t>sulfasalazyna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dawce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2-3g/dobę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maksymalnej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tolerowanej</w:t>
            </w:r>
            <w:r w:rsidR="003A7F40" w:rsidRPr="0031251F">
              <w:rPr>
                <w:sz w:val="20"/>
                <w:szCs w:val="20"/>
              </w:rPr>
              <w:t>,</w:t>
            </w:r>
          </w:p>
          <w:p w14:paraId="125FFC83" w14:textId="765EEAAD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31251F">
              <w:rPr>
                <w:sz w:val="20"/>
                <w:szCs w:val="20"/>
              </w:rPr>
              <w:t>metotreksat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dawce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25mg/tydzień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maksymalnej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tolerowanej</w:t>
            </w:r>
            <w:r w:rsidR="007C421C">
              <w:rPr>
                <w:sz w:val="20"/>
                <w:szCs w:val="20"/>
              </w:rPr>
              <w:t>,</w:t>
            </w:r>
          </w:p>
          <w:p w14:paraId="0766E437" w14:textId="567AF08F" w:rsidR="00CA4C90" w:rsidRPr="0031251F" w:rsidRDefault="00901064" w:rsidP="006A1A40">
            <w:pPr>
              <w:pStyle w:val="Akapitzlist"/>
              <w:spacing w:after="60" w:line="276" w:lineRule="auto"/>
              <w:ind w:left="731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okres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minimum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540B95" w:rsidRPr="0031251F">
              <w:rPr>
                <w:sz w:val="20"/>
                <w:szCs w:val="20"/>
              </w:rPr>
              <w:t>3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540B95" w:rsidRPr="0031251F">
              <w:rPr>
                <w:sz w:val="20"/>
                <w:szCs w:val="20"/>
              </w:rPr>
              <w:t>miesięcy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każdym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540B95"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niepowodzeniu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leczenia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jednym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wstrzyknięciem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dostawowym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glikokortykosteroidów</w:t>
            </w:r>
            <w:proofErr w:type="spellEnd"/>
            <w:r w:rsidR="007C421C">
              <w:rPr>
                <w:sz w:val="20"/>
                <w:szCs w:val="20"/>
              </w:rPr>
              <w:t>,</w:t>
            </w:r>
          </w:p>
          <w:p w14:paraId="114DD56B" w14:textId="27BBCDEE" w:rsidR="00CA4C90" w:rsidRPr="0031251F" w:rsidRDefault="00901064" w:rsidP="006A1A40">
            <w:pPr>
              <w:pStyle w:val="Akapitzlist"/>
              <w:numPr>
                <w:ilvl w:val="3"/>
                <w:numId w:val="6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przy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zapaleniu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ścięgien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(postać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obwodowa)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pomimo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stosowania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dwóch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niesteroidowych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leków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przeciwzapalnych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kolejno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tygodnie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każdy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(podawanych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różnym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czasie)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maksymalnej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rekomendowanej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tolerowanej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pacjenta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dawce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jednokrotnego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miejscowego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podania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glikokortykosteroidów</w:t>
            </w:r>
            <w:proofErr w:type="spellEnd"/>
            <w:r w:rsidR="007C421C">
              <w:rPr>
                <w:sz w:val="20"/>
                <w:szCs w:val="20"/>
              </w:rPr>
              <w:t>;</w:t>
            </w:r>
          </w:p>
          <w:p w14:paraId="72012FA0" w14:textId="4E04A6BE" w:rsidR="00CA4C90" w:rsidRPr="0031251F" w:rsidRDefault="00992FE9" w:rsidP="006A1A40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lub</w:t>
            </w:r>
          </w:p>
          <w:p w14:paraId="53031F4C" w14:textId="5FFF9BD1" w:rsidR="004727F6" w:rsidRDefault="00C20995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bookmarkStart w:id="0" w:name="_Hlk38970946"/>
            <w:r>
              <w:rPr>
                <w:sz w:val="20"/>
                <w:szCs w:val="20"/>
              </w:rPr>
              <w:t xml:space="preserve">pacjenci </w:t>
            </w:r>
            <w:r w:rsidR="00901064" w:rsidRPr="00C20995">
              <w:rPr>
                <w:sz w:val="20"/>
                <w:szCs w:val="20"/>
              </w:rPr>
              <w:t>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ustalonym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rozpoznaniem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proofErr w:type="spellStart"/>
            <w:r w:rsidR="00901064" w:rsidRPr="00C20995">
              <w:rPr>
                <w:sz w:val="20"/>
                <w:szCs w:val="20"/>
              </w:rPr>
              <w:t>spondyloartropatii</w:t>
            </w:r>
            <w:proofErr w:type="spellEnd"/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osiowej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(</w:t>
            </w:r>
            <w:proofErr w:type="spellStart"/>
            <w:r w:rsidR="00901064" w:rsidRPr="00C20995">
              <w:rPr>
                <w:sz w:val="20"/>
                <w:szCs w:val="20"/>
              </w:rPr>
              <w:t>SpA</w:t>
            </w:r>
            <w:proofErr w:type="spellEnd"/>
            <w:r w:rsidR="00901064" w:rsidRPr="00C20995">
              <w:rPr>
                <w:sz w:val="20"/>
                <w:szCs w:val="20"/>
              </w:rPr>
              <w:t>)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bez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zmian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radiograficznych</w:t>
            </w:r>
            <w:bookmarkEnd w:id="0"/>
            <w:r w:rsidR="00901064" w:rsidRPr="00C20995">
              <w:rPr>
                <w:sz w:val="20"/>
                <w:szCs w:val="20"/>
              </w:rPr>
              <w:t>,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wcześniej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leczonych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biologicznie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programie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8D40EF" w:rsidRPr="00C20995">
              <w:rPr>
                <w:sz w:val="20"/>
                <w:szCs w:val="20"/>
              </w:rPr>
              <w:t>„</w:t>
            </w:r>
            <w:r w:rsidR="008D40EF" w:rsidRPr="00C418E1">
              <w:rPr>
                <w:sz w:val="20"/>
                <w:szCs w:val="20"/>
              </w:rPr>
              <w:t>Leczenie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AE7D77" w:rsidRPr="00C418E1">
              <w:rPr>
                <w:sz w:val="20"/>
                <w:szCs w:val="20"/>
              </w:rPr>
              <w:t xml:space="preserve">chorych </w:t>
            </w:r>
            <w:r w:rsidR="008D40EF" w:rsidRPr="00C418E1">
              <w:rPr>
                <w:sz w:val="20"/>
                <w:szCs w:val="20"/>
              </w:rPr>
              <w:t>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proofErr w:type="spellStart"/>
            <w:r w:rsidR="008D40EF" w:rsidRPr="00C418E1">
              <w:rPr>
                <w:sz w:val="20"/>
                <w:szCs w:val="20"/>
              </w:rPr>
              <w:t>spondyloartropati</w:t>
            </w:r>
            <w:r w:rsidR="00AE7D77" w:rsidRPr="00C418E1">
              <w:rPr>
                <w:sz w:val="20"/>
                <w:szCs w:val="20"/>
              </w:rPr>
              <w:t>ą</w:t>
            </w:r>
            <w:proofErr w:type="spellEnd"/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(</w:t>
            </w:r>
            <w:proofErr w:type="spellStart"/>
            <w:r w:rsidR="008D40EF" w:rsidRPr="00C418E1">
              <w:rPr>
                <w:sz w:val="20"/>
                <w:szCs w:val="20"/>
              </w:rPr>
              <w:t>SpA</w:t>
            </w:r>
            <w:proofErr w:type="spellEnd"/>
            <w:r w:rsidR="008D40EF" w:rsidRPr="00C418E1">
              <w:rPr>
                <w:sz w:val="20"/>
                <w:szCs w:val="20"/>
              </w:rPr>
              <w:t>)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bez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zmian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radiograficznych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charakterystycznych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dla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ZZSK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(ICD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–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10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8D40EF" w:rsidRPr="00C418E1">
              <w:rPr>
                <w:sz w:val="20"/>
                <w:szCs w:val="20"/>
              </w:rPr>
              <w:t>M46.8)”</w:t>
            </w:r>
            <w:r w:rsidR="00901064" w:rsidRPr="00C20995">
              <w:rPr>
                <w:sz w:val="20"/>
                <w:szCs w:val="20"/>
              </w:rPr>
              <w:t>,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u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których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wystąpił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brak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skuteczności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leczenia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trakcie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terapii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jednym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inhibitorem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TNF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alfa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lub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wystąpiły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działania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niepożądane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w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trakcie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terapii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maksymalnie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dwoma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lastRenderedPageBreak/>
              <w:t>inhibitorami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TNF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alfa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i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którzy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obecnie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spełniają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pozostałe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kryteria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kwalifikacyjne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do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niniejszego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programu</w:t>
            </w:r>
            <w:r w:rsidR="00273620" w:rsidRPr="00C20995">
              <w:rPr>
                <w:sz w:val="20"/>
                <w:szCs w:val="20"/>
              </w:rPr>
              <w:t xml:space="preserve"> </w:t>
            </w:r>
            <w:r w:rsidR="00901064" w:rsidRPr="00C20995">
              <w:rPr>
                <w:sz w:val="20"/>
                <w:szCs w:val="20"/>
              </w:rPr>
              <w:t>lekowego</w:t>
            </w:r>
            <w:r w:rsidR="007C421C">
              <w:rPr>
                <w:sz w:val="20"/>
                <w:szCs w:val="20"/>
              </w:rPr>
              <w:t>;</w:t>
            </w:r>
          </w:p>
          <w:p w14:paraId="703D878D" w14:textId="51C378EE" w:rsidR="00CA4C90" w:rsidRPr="004727F6" w:rsidRDefault="007B6F61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727F6">
              <w:rPr>
                <w:sz w:val="20"/>
                <w:szCs w:val="20"/>
              </w:rPr>
              <w:t>a</w:t>
            </w:r>
            <w:r w:rsidR="00901064" w:rsidRPr="004727F6">
              <w:rPr>
                <w:sz w:val="20"/>
                <w:szCs w:val="20"/>
              </w:rPr>
              <w:t>ktywną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postać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choroby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044094" w:rsidRPr="004727F6">
              <w:rPr>
                <w:sz w:val="20"/>
                <w:szCs w:val="20"/>
              </w:rPr>
              <w:t xml:space="preserve">w postaci osiowej przy dominujących objawach ze strony kręgosłupa </w:t>
            </w:r>
            <w:r w:rsidR="00901064" w:rsidRPr="004727F6">
              <w:rPr>
                <w:sz w:val="20"/>
                <w:szCs w:val="20"/>
              </w:rPr>
              <w:t>stwierdza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się,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gdy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spełnione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są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poniższe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kryteria:</w:t>
            </w:r>
          </w:p>
          <w:p w14:paraId="4D7FE20D" w14:textId="47047158" w:rsidR="00CA4C90" w:rsidRPr="0031251F" w:rsidRDefault="00901064" w:rsidP="006A1A40">
            <w:pPr>
              <w:pStyle w:val="Akapitzlist"/>
              <w:numPr>
                <w:ilvl w:val="3"/>
                <w:numId w:val="8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wartość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wskaźnika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BASDAI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≥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ASDAS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≥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2,1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dwukrotnych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pomiarach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odstępie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tygodni</w:t>
            </w:r>
            <w:r w:rsidR="007C421C">
              <w:rPr>
                <w:sz w:val="20"/>
                <w:szCs w:val="20"/>
              </w:rPr>
              <w:t>,</w:t>
            </w:r>
          </w:p>
          <w:p w14:paraId="3E0FEA3C" w14:textId="29009EF6" w:rsidR="00CA4C90" w:rsidRPr="0031251F" w:rsidRDefault="00901064" w:rsidP="006A1A40">
            <w:pPr>
              <w:pStyle w:val="Akapitzlist"/>
              <w:numPr>
                <w:ilvl w:val="3"/>
                <w:numId w:val="8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ból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kręgosłupa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≥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oceniony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pomocą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wizualnej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skali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analogowej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VAS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0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10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dwukrotnych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pomiarach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odstępie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tygodni</w:t>
            </w:r>
            <w:r w:rsidR="007C421C">
              <w:rPr>
                <w:sz w:val="20"/>
                <w:szCs w:val="20"/>
              </w:rPr>
              <w:t>,</w:t>
            </w:r>
          </w:p>
          <w:p w14:paraId="62E89659" w14:textId="6F62A645" w:rsidR="00CA4C90" w:rsidRPr="00C20995" w:rsidRDefault="00901064" w:rsidP="006A1A40">
            <w:pPr>
              <w:pStyle w:val="Akapitzlist"/>
              <w:numPr>
                <w:ilvl w:val="3"/>
                <w:numId w:val="8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ogólna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ocena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stanu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(aktywności,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ciężkości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dalszej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prognozy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oraz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aktywności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zawodowej)</w:t>
            </w:r>
            <w:r w:rsidR="00C20995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dokonana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przez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lekarza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prowadzącego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oraz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drugiego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lekarza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–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eksperta,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specjalistę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reumatologa,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doświadczonego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leczeniu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chorób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kręgu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proofErr w:type="spellStart"/>
            <w:r w:rsidRPr="00C418E1">
              <w:rPr>
                <w:sz w:val="20"/>
                <w:szCs w:val="20"/>
              </w:rPr>
              <w:t>spondyloartropatii</w:t>
            </w:r>
            <w:proofErr w:type="spellEnd"/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zapalnych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lekami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biologicznymi</w:t>
            </w:r>
            <w:r w:rsidR="004727F6" w:rsidRPr="00C418E1">
              <w:rPr>
                <w:sz w:val="20"/>
                <w:szCs w:val="20"/>
              </w:rPr>
              <w:t xml:space="preserve"> - </w:t>
            </w:r>
            <w:r w:rsidR="00C20995" w:rsidRPr="00C418E1">
              <w:rPr>
                <w:sz w:val="20"/>
                <w:szCs w:val="20"/>
              </w:rPr>
              <w:t>wię</w:t>
            </w:r>
            <w:r w:rsidR="004727F6" w:rsidRPr="00C418E1">
              <w:rPr>
                <w:sz w:val="20"/>
                <w:szCs w:val="20"/>
              </w:rPr>
              <w:t>cej</w:t>
            </w:r>
            <w:r w:rsidR="00C20995" w:rsidRPr="00C418E1">
              <w:rPr>
                <w:sz w:val="20"/>
                <w:szCs w:val="20"/>
              </w:rPr>
              <w:t xml:space="preserve"> niż 5 cm na skali od 0 do 10 cm</w:t>
            </w:r>
            <w:r w:rsidR="004727F6" w:rsidRPr="00C418E1">
              <w:rPr>
                <w:sz w:val="20"/>
                <w:szCs w:val="20"/>
              </w:rPr>
              <w:t>,</w:t>
            </w:r>
            <w:r w:rsidR="00C20995" w:rsidRPr="00C418E1">
              <w:rPr>
                <w:sz w:val="20"/>
                <w:szCs w:val="20"/>
              </w:rPr>
              <w:t xml:space="preserve"> </w:t>
            </w:r>
            <w:r w:rsidR="009B19FD" w:rsidRPr="00C418E1">
              <w:rPr>
                <w:sz w:val="20"/>
                <w:szCs w:val="20"/>
              </w:rPr>
              <w:t xml:space="preserve">przy czym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ocenie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eksperta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uwzględnia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się:</w:t>
            </w:r>
          </w:p>
          <w:p w14:paraId="0FDCB358" w14:textId="2928FAB5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obraz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kliniczny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choroby,</w:t>
            </w:r>
          </w:p>
          <w:p w14:paraId="20D8F6BC" w14:textId="2426CD2C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czynniki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ryzyka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szybkiej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progresji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choroby,</w:t>
            </w:r>
          </w:p>
          <w:p w14:paraId="3E7E53E0" w14:textId="7F99CC2D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wyniki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badania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wskaźników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ostrej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fazy,</w:t>
            </w:r>
          </w:p>
          <w:p w14:paraId="0F64A074" w14:textId="17DF04EF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wyniki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badań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obrazowych,</w:t>
            </w:r>
          </w:p>
          <w:p w14:paraId="226C4115" w14:textId="4BF98656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status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aktywności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zawodowej,</w:t>
            </w:r>
          </w:p>
          <w:p w14:paraId="2E098C49" w14:textId="3EA366A9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występowanie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powikłań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narządowych,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wtórnej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amyloidozy</w:t>
            </w:r>
            <w:proofErr w:type="spellEnd"/>
            <w:r w:rsidRPr="0031251F">
              <w:rPr>
                <w:sz w:val="20"/>
                <w:szCs w:val="20"/>
              </w:rPr>
              <w:t>,</w:t>
            </w:r>
          </w:p>
          <w:p w14:paraId="3F579533" w14:textId="0EFF97EA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współistnienie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zapalenia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przyczepów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ścięgnistych,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zajęcia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narządu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wzroku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częstymi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zaostrzeniami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zapalenia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błony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naczyniowej,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możliwości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alternatywnych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sposobów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leczenia</w:t>
            </w:r>
            <w:r w:rsidR="007C421C">
              <w:rPr>
                <w:sz w:val="20"/>
                <w:szCs w:val="20"/>
              </w:rPr>
              <w:t>,</w:t>
            </w:r>
          </w:p>
          <w:p w14:paraId="7753FFA8" w14:textId="77777777" w:rsidR="004727F6" w:rsidRDefault="009B19FD" w:rsidP="006A1A40">
            <w:pPr>
              <w:spacing w:after="60" w:line="276" w:lineRule="auto"/>
              <w:ind w:left="454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oraz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ocena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przez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lekarza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eksperta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jest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prowadzona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jednokrotnie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po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drugim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pomiarze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wartości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BASDAI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lub</w:t>
            </w:r>
            <w:r w:rsidR="00273620" w:rsidRPr="00C20995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901064" w:rsidRPr="00C20995">
              <w:rPr>
                <w:rFonts w:eastAsiaTheme="minorHAnsi"/>
                <w:sz w:val="20"/>
                <w:szCs w:val="20"/>
                <w:lang w:eastAsia="en-US"/>
              </w:rPr>
              <w:t>ASDAS;</w:t>
            </w:r>
          </w:p>
          <w:p w14:paraId="0D1F5E26" w14:textId="645690EC" w:rsidR="00CA4C90" w:rsidRPr="00C418E1" w:rsidRDefault="007B6F61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4727F6">
              <w:rPr>
                <w:sz w:val="20"/>
                <w:szCs w:val="20"/>
              </w:rPr>
              <w:t>a</w:t>
            </w:r>
            <w:r w:rsidR="00044094" w:rsidRPr="004727F6">
              <w:rPr>
                <w:sz w:val="20"/>
                <w:szCs w:val="20"/>
              </w:rPr>
              <w:t xml:space="preserve">ktywną postać choroby </w:t>
            </w:r>
            <w:r w:rsidR="00901064" w:rsidRPr="004727F6">
              <w:rPr>
                <w:sz w:val="20"/>
                <w:szCs w:val="20"/>
              </w:rPr>
              <w:t>w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postaci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obwodowej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przy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dominujących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objawach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ze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strony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stawów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obwodowych</w:t>
            </w:r>
            <w:r w:rsidR="0001466B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lub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przyczepów</w:t>
            </w:r>
            <w:r w:rsidR="00273620" w:rsidRPr="004727F6">
              <w:rPr>
                <w:sz w:val="20"/>
                <w:szCs w:val="20"/>
              </w:rPr>
              <w:t xml:space="preserve"> </w:t>
            </w:r>
            <w:r w:rsidR="00901064" w:rsidRPr="004727F6">
              <w:rPr>
                <w:sz w:val="20"/>
                <w:szCs w:val="20"/>
              </w:rPr>
              <w:t>ścięgnistych</w:t>
            </w:r>
            <w:r w:rsidR="00044094" w:rsidRPr="004727F6">
              <w:rPr>
                <w:sz w:val="20"/>
                <w:szCs w:val="20"/>
              </w:rPr>
              <w:t xml:space="preserve"> stwierdza się, gdy spełnione są poniższe kryteria</w:t>
            </w:r>
            <w:r w:rsidR="00901064" w:rsidRPr="004727F6">
              <w:rPr>
                <w:sz w:val="20"/>
                <w:szCs w:val="20"/>
              </w:rPr>
              <w:t>:</w:t>
            </w:r>
          </w:p>
          <w:p w14:paraId="5BBF4EEF" w14:textId="0BB548FA" w:rsidR="003A7F40" w:rsidRPr="0031251F" w:rsidRDefault="00901064" w:rsidP="006A1A40">
            <w:pPr>
              <w:pStyle w:val="Akapitzlist"/>
              <w:numPr>
                <w:ilvl w:val="3"/>
                <w:numId w:val="9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lastRenderedPageBreak/>
              <w:t>liczba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obrzękniętych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stawów</w:t>
            </w:r>
            <w:r w:rsidR="0001466B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zapalnie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zmienionych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przyczepów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ścięgnistych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(spośród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ścięgien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Achillesa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oraz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rozcięgien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podeszwowych)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–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F85471" w:rsidRPr="0031251F">
              <w:rPr>
                <w:sz w:val="20"/>
                <w:szCs w:val="20"/>
              </w:rPr>
              <w:t>3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łącznie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–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dwukrotnych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pomiarach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odstępie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tygodni</w:t>
            </w:r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076B9CF8" w14:textId="1AE14436" w:rsidR="00CA4C90" w:rsidRPr="0031251F" w:rsidRDefault="00901064" w:rsidP="006A1A40">
            <w:pPr>
              <w:pStyle w:val="Akapitzlist"/>
              <w:spacing w:after="60" w:line="276" w:lineRule="auto"/>
              <w:ind w:left="44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oraz</w:t>
            </w:r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2EC5D551" w14:textId="1852D040" w:rsidR="003A7F40" w:rsidRPr="0031251F" w:rsidRDefault="00901064" w:rsidP="006A1A40">
            <w:pPr>
              <w:pStyle w:val="Akapitzlist"/>
              <w:numPr>
                <w:ilvl w:val="3"/>
                <w:numId w:val="9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liczba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tkliwych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stawów</w:t>
            </w:r>
            <w:r w:rsidR="0001466B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przyczepów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ścięgnistych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(spośród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ścięgien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Achillesa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oraz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rozcięgien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C46C17" w:rsidRPr="0031251F">
              <w:rPr>
                <w:sz w:val="20"/>
                <w:szCs w:val="20"/>
              </w:rPr>
              <w:t>podeszwowych)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C46C17" w:rsidRPr="0031251F">
              <w:rPr>
                <w:sz w:val="20"/>
                <w:szCs w:val="20"/>
              </w:rPr>
              <w:t>–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F85471" w:rsidRPr="0031251F">
              <w:rPr>
                <w:sz w:val="20"/>
                <w:szCs w:val="20"/>
              </w:rPr>
              <w:t>3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łącznie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-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dwukrotnych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pomiarach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odstępie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przynajmniej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tygodni</w:t>
            </w:r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46717C4F" w14:textId="55440D7A" w:rsidR="00CA4C90" w:rsidRPr="0031251F" w:rsidRDefault="00901064" w:rsidP="006A1A40">
            <w:pPr>
              <w:pStyle w:val="Akapitzlist"/>
              <w:spacing w:after="60" w:line="276" w:lineRule="auto"/>
              <w:ind w:left="589" w:hanging="142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oraz</w:t>
            </w:r>
          </w:p>
          <w:p w14:paraId="591DA198" w14:textId="4B23B1E5" w:rsidR="003A7F40" w:rsidRPr="0031251F" w:rsidRDefault="00901064" w:rsidP="006A1A40">
            <w:pPr>
              <w:pStyle w:val="Akapitzlist"/>
              <w:numPr>
                <w:ilvl w:val="3"/>
                <w:numId w:val="9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ogólna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ocena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aktywności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pacjenta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odpowiadająca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wartości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4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5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pięciostopniowej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skali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Likerta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0ABAAE9B" w14:textId="76954FA7" w:rsidR="00CA4C90" w:rsidRPr="0031251F" w:rsidRDefault="00901064" w:rsidP="006A1A40">
            <w:pPr>
              <w:pStyle w:val="Akapitzlist"/>
              <w:spacing w:after="60" w:line="276" w:lineRule="auto"/>
              <w:ind w:left="44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oraz</w:t>
            </w:r>
          </w:p>
          <w:p w14:paraId="37AAFB43" w14:textId="434F7079" w:rsidR="003A7F40" w:rsidRPr="0031251F" w:rsidRDefault="00901064" w:rsidP="006A1A40">
            <w:pPr>
              <w:pStyle w:val="Akapitzlist"/>
              <w:numPr>
                <w:ilvl w:val="3"/>
                <w:numId w:val="9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ogólna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ocena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aktywności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lekarza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prowadzącego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odpowiadająca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wartości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4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lub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5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pięciostopniowej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skali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proofErr w:type="spellStart"/>
            <w:r w:rsidRPr="00C418E1">
              <w:rPr>
                <w:sz w:val="20"/>
                <w:szCs w:val="20"/>
              </w:rPr>
              <w:t>Likerta</w:t>
            </w:r>
            <w:proofErr w:type="spellEnd"/>
            <w:r w:rsidR="00273620" w:rsidRPr="00C418E1">
              <w:rPr>
                <w:sz w:val="20"/>
                <w:szCs w:val="20"/>
              </w:rPr>
              <w:t xml:space="preserve"> </w:t>
            </w:r>
          </w:p>
          <w:p w14:paraId="36C923DC" w14:textId="60CD1BA9" w:rsidR="00CA4C90" w:rsidRPr="0031251F" w:rsidRDefault="00901064" w:rsidP="006A1A40">
            <w:pPr>
              <w:pStyle w:val="Akapitzlist"/>
              <w:spacing w:after="60" w:line="276" w:lineRule="auto"/>
              <w:ind w:left="227" w:firstLine="220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oraz</w:t>
            </w:r>
          </w:p>
          <w:p w14:paraId="5D718790" w14:textId="48D78D41" w:rsidR="00CA4C90" w:rsidRPr="00C418E1" w:rsidRDefault="00901064" w:rsidP="006A1A40">
            <w:pPr>
              <w:pStyle w:val="Akapitzlist"/>
              <w:numPr>
                <w:ilvl w:val="3"/>
                <w:numId w:val="9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ogólna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ocena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stanu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choroby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(aktywności,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ciężkości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dalszej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prognozy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choroby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oraz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aktywności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zawodowej),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dokonana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jednokrotnie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drugim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pomiarze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ilości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zajętych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stawów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przyczepów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ścięgnistych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przez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lekarza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prowadzącego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oraz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drugiego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lekarza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–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eksperta,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specjalistę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reumatologa,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doświadczonego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leczeniu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chorób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kręgu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proofErr w:type="spellStart"/>
            <w:r w:rsidRPr="00C418E1">
              <w:rPr>
                <w:sz w:val="20"/>
                <w:szCs w:val="20"/>
              </w:rPr>
              <w:t>spondyloartropatii</w:t>
            </w:r>
            <w:proofErr w:type="spellEnd"/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zapalnych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lekami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biologicznymi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–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więcej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niż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5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cm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na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skali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od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0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10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cm,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przy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czym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ocenie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eksperta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uwzględnia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się:</w:t>
            </w:r>
          </w:p>
          <w:p w14:paraId="676A7494" w14:textId="10FD352B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obraz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kliniczny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choroby,</w:t>
            </w:r>
          </w:p>
          <w:p w14:paraId="7A0746BA" w14:textId="0BB4BF9E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czynniki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ryzyka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szybkiej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progresji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choroby,</w:t>
            </w:r>
          </w:p>
          <w:p w14:paraId="04313C2B" w14:textId="7BC79A70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wyniki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badania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wskaźników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ostrej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fazy,</w:t>
            </w:r>
          </w:p>
          <w:p w14:paraId="6FDDF4FE" w14:textId="65F2DBCD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wyniki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badań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obrazowych,</w:t>
            </w:r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310C9708" w14:textId="79C7F587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status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aktywności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zawodowej,</w:t>
            </w:r>
          </w:p>
          <w:p w14:paraId="4B0AD0F7" w14:textId="45A11D9A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występowanie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powikłań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narządowych,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wtórnej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amyloidozy</w:t>
            </w:r>
            <w:proofErr w:type="spellEnd"/>
            <w:r w:rsidRPr="0031251F">
              <w:rPr>
                <w:sz w:val="20"/>
                <w:szCs w:val="20"/>
              </w:rPr>
              <w:t>,</w:t>
            </w:r>
          </w:p>
          <w:p w14:paraId="78FF835F" w14:textId="37CAE66A" w:rsidR="00CA4C90" w:rsidRPr="0031251F" w:rsidRDefault="00901064" w:rsidP="006A1A40">
            <w:pPr>
              <w:pStyle w:val="Akapitzlist"/>
              <w:numPr>
                <w:ilvl w:val="5"/>
                <w:numId w:val="7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lastRenderedPageBreak/>
              <w:t>współistnienie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zapalenia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przyczepów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ścięgnistych,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zajęcia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narządu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wzroku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częstymi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zaostrzeniami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zapalenia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błony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naczyniowej,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możliwości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alternatywnych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sposobów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leczenia</w:t>
            </w:r>
            <w:r w:rsidR="007C421C">
              <w:rPr>
                <w:sz w:val="20"/>
                <w:szCs w:val="20"/>
              </w:rPr>
              <w:t>;</w:t>
            </w:r>
          </w:p>
          <w:p w14:paraId="7D5FC613" w14:textId="6AA0A03F" w:rsidR="00CA4C90" w:rsidRPr="00C418E1" w:rsidRDefault="008850A9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C418E1">
              <w:rPr>
                <w:sz w:val="20"/>
                <w:szCs w:val="20"/>
              </w:rPr>
              <w:t>przypadkach,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których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pacjentowi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grozi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kalectwo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zagrożone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jest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jego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życie,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decyzją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Zespołu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Koordynacyjnego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4727F6">
              <w:rPr>
                <w:sz w:val="20"/>
                <w:szCs w:val="20"/>
              </w:rPr>
              <w:t xml:space="preserve">ds. </w:t>
            </w:r>
            <w:r w:rsidR="00901064" w:rsidRPr="0031251F">
              <w:rPr>
                <w:sz w:val="20"/>
                <w:szCs w:val="20"/>
              </w:rPr>
              <w:t>Leczenia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Biologicznego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Chorobach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Reumatycznych,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pacjent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może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być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zakwalifikowany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leczenia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biologicznego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przypadku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niespełnienia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części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kryteriów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opisanych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programie,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jeśli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leczenie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jest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zgodne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aktualnie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obowiązującymi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rekomendacjami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oraz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wiedzą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medyczną</w:t>
            </w:r>
            <w:r w:rsidR="007C421C">
              <w:rPr>
                <w:sz w:val="20"/>
                <w:szCs w:val="20"/>
              </w:rPr>
              <w:t>;</w:t>
            </w:r>
          </w:p>
          <w:p w14:paraId="317CF34B" w14:textId="466CF0AC" w:rsidR="008850A9" w:rsidRPr="00C418E1" w:rsidRDefault="007B6F61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w</w:t>
            </w:r>
            <w:r w:rsidR="008850A9" w:rsidRPr="00C418E1">
              <w:rPr>
                <w:sz w:val="20"/>
                <w:szCs w:val="20"/>
              </w:rPr>
              <w:t xml:space="preserve"> przypadku kobiet wymagana jest zgoda na świadomą kontrolę urodzeń, zgodnie z Charakterystyką Produktu Leczniczego leku, którym odbywa się leczenie w programie lekowym</w:t>
            </w:r>
            <w:r w:rsidR="007C421C">
              <w:rPr>
                <w:sz w:val="20"/>
                <w:szCs w:val="20"/>
              </w:rPr>
              <w:t>;</w:t>
            </w:r>
          </w:p>
          <w:p w14:paraId="218E5279" w14:textId="55D8D32E" w:rsidR="008850A9" w:rsidRPr="00C418E1" w:rsidRDefault="007B6F61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w</w:t>
            </w:r>
            <w:r w:rsidR="008850A9" w:rsidRPr="00C418E1">
              <w:rPr>
                <w:sz w:val="20"/>
                <w:szCs w:val="20"/>
              </w:rPr>
              <w:t xml:space="preserve"> przypadku ciąży lub karmienia piersią dopuszcza się możliwość leczenia uzasadnioną aktualną wiedzą medyczną - do decyzji lekarza prowadzącego;</w:t>
            </w:r>
          </w:p>
          <w:p w14:paraId="6BFEB7B5" w14:textId="3002110D" w:rsidR="008850A9" w:rsidRPr="00C418E1" w:rsidRDefault="007B6F61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a</w:t>
            </w:r>
            <w:r w:rsidR="008850A9" w:rsidRPr="00C418E1">
              <w:rPr>
                <w:sz w:val="20"/>
                <w:szCs w:val="20"/>
              </w:rPr>
              <w:t xml:space="preserve">dekwatna wydolność narządowa określona na podstawie wyników badań laboratoryjnych krwi zgodnie z zapisami aktualnej Charakterystyki Produktu Leczniczego (zwanej dalej </w:t>
            </w:r>
            <w:proofErr w:type="spellStart"/>
            <w:r w:rsidR="008850A9" w:rsidRPr="00C418E1">
              <w:rPr>
                <w:sz w:val="20"/>
                <w:szCs w:val="20"/>
              </w:rPr>
              <w:t>ChPL</w:t>
            </w:r>
            <w:proofErr w:type="spellEnd"/>
            <w:r w:rsidR="008850A9" w:rsidRPr="00C418E1">
              <w:rPr>
                <w:sz w:val="20"/>
                <w:szCs w:val="20"/>
              </w:rPr>
              <w:t>);</w:t>
            </w:r>
          </w:p>
          <w:p w14:paraId="25DA8D19" w14:textId="50662C72" w:rsidR="008850A9" w:rsidRPr="00C418E1" w:rsidRDefault="007B6F61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n</w:t>
            </w:r>
            <w:r w:rsidR="008850A9" w:rsidRPr="00C418E1">
              <w:rPr>
                <w:sz w:val="20"/>
                <w:szCs w:val="20"/>
              </w:rPr>
              <w:t xml:space="preserve">ieobecność istotnych schorzeń współistniejących stanowiących przeciwskazanie do terapii stwierdzonych przez lekarza prowadzącego w oparciu o aktualną </w:t>
            </w:r>
            <w:proofErr w:type="spellStart"/>
            <w:r w:rsidR="008850A9" w:rsidRPr="00C418E1">
              <w:rPr>
                <w:sz w:val="20"/>
                <w:szCs w:val="20"/>
              </w:rPr>
              <w:t>ChPL</w:t>
            </w:r>
            <w:proofErr w:type="spellEnd"/>
            <w:r w:rsidR="008850A9" w:rsidRPr="00C418E1">
              <w:rPr>
                <w:sz w:val="20"/>
                <w:szCs w:val="20"/>
              </w:rPr>
              <w:t>;</w:t>
            </w:r>
          </w:p>
          <w:p w14:paraId="4C63B2C0" w14:textId="692D756C" w:rsidR="008850A9" w:rsidRPr="00C418E1" w:rsidRDefault="007B6F61" w:rsidP="006A1A40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b</w:t>
            </w:r>
            <w:r w:rsidR="008850A9" w:rsidRPr="00C418E1">
              <w:rPr>
                <w:sz w:val="20"/>
                <w:szCs w:val="20"/>
              </w:rPr>
              <w:t xml:space="preserve">rak przeciwwskazań do stosowania określonych w aktualnej </w:t>
            </w:r>
            <w:proofErr w:type="spellStart"/>
            <w:r w:rsidR="008850A9" w:rsidRPr="00C418E1">
              <w:rPr>
                <w:sz w:val="20"/>
                <w:szCs w:val="20"/>
              </w:rPr>
              <w:t>ChPL</w:t>
            </w:r>
            <w:proofErr w:type="spellEnd"/>
            <w:r w:rsidR="008850A9" w:rsidRPr="00C418E1">
              <w:rPr>
                <w:sz w:val="20"/>
                <w:szCs w:val="20"/>
              </w:rPr>
              <w:t xml:space="preserve"> substancji czynnej ujętej w programie lekowym, z uwzględnieniem rekomendacji EULAR/ ASAS.</w:t>
            </w:r>
          </w:p>
          <w:p w14:paraId="3D28F006" w14:textId="201E3106" w:rsidR="00CA4C90" w:rsidRDefault="009B19FD" w:rsidP="006A1A40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9B19FD">
              <w:rPr>
                <w:sz w:val="20"/>
                <w:szCs w:val="20"/>
              </w:rPr>
              <w:t>Ponadto do programu lekowego kwalifikowani są</w:t>
            </w:r>
            <w:r w:rsidR="0001466B">
              <w:rPr>
                <w:sz w:val="20"/>
                <w:szCs w:val="20"/>
              </w:rPr>
              <w:t xml:space="preserve"> </w:t>
            </w:r>
            <w:r w:rsidRPr="009B19FD">
              <w:rPr>
                <w:sz w:val="20"/>
                <w:szCs w:val="20"/>
              </w:rPr>
              <w:t>pacjenci wymagający kontynuacji leczenia, którzy byli leczeni substancj</w:t>
            </w:r>
            <w:r>
              <w:rPr>
                <w:sz w:val="20"/>
                <w:szCs w:val="20"/>
              </w:rPr>
              <w:t>ami</w:t>
            </w:r>
            <w:r w:rsidRPr="009B19FD">
              <w:rPr>
                <w:sz w:val="20"/>
                <w:szCs w:val="20"/>
              </w:rPr>
              <w:t xml:space="preserve"> czynn</w:t>
            </w:r>
            <w:r>
              <w:rPr>
                <w:sz w:val="20"/>
                <w:szCs w:val="20"/>
              </w:rPr>
              <w:t>ymi</w:t>
            </w:r>
            <w:r w:rsidRPr="009B19FD">
              <w:rPr>
                <w:sz w:val="20"/>
                <w:szCs w:val="20"/>
              </w:rPr>
              <w:t xml:space="preserve"> finansowan</w:t>
            </w:r>
            <w:r>
              <w:rPr>
                <w:sz w:val="20"/>
                <w:szCs w:val="20"/>
              </w:rPr>
              <w:t>ymi</w:t>
            </w:r>
            <w:r w:rsidRPr="009B19FD">
              <w:rPr>
                <w:sz w:val="20"/>
                <w:szCs w:val="20"/>
              </w:rPr>
              <w:t xml:space="preserve"> w programie lekowym w ramach innego sposobu finansowania terapii (za wyjątkiem trwających badań klinicznych tych leków), pod warunkiem, że w chwili rozpoczęcia leczenia spełniali kryteria kwalifikacji do programu lekowego – dotyczy każdej z terapii w programie.</w:t>
            </w:r>
          </w:p>
          <w:p w14:paraId="65789794" w14:textId="77777777" w:rsidR="00C418E1" w:rsidRPr="0031251F" w:rsidRDefault="00C418E1" w:rsidP="006A1A40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68CE347" w14:textId="611DAC91" w:rsidR="00CA4C90" w:rsidRPr="0031251F" w:rsidRDefault="00901064" w:rsidP="006A1A40">
            <w:pPr>
              <w:pStyle w:val="Tekstpodstawowywcity"/>
              <w:numPr>
                <w:ilvl w:val="0"/>
                <w:numId w:val="1"/>
              </w:numPr>
              <w:spacing w:after="60" w:line="276" w:lineRule="auto"/>
              <w:rPr>
                <w:b/>
                <w:sz w:val="20"/>
                <w:szCs w:val="20"/>
              </w:rPr>
            </w:pPr>
            <w:r w:rsidRPr="0031251F">
              <w:rPr>
                <w:b/>
                <w:sz w:val="20"/>
                <w:szCs w:val="20"/>
              </w:rPr>
              <w:t>Adekwatna</w:t>
            </w:r>
            <w:r w:rsidR="00273620" w:rsidRPr="0031251F">
              <w:rPr>
                <w:b/>
                <w:sz w:val="20"/>
                <w:szCs w:val="20"/>
              </w:rPr>
              <w:t xml:space="preserve"> </w:t>
            </w:r>
            <w:r w:rsidRPr="0031251F">
              <w:rPr>
                <w:b/>
                <w:sz w:val="20"/>
                <w:szCs w:val="20"/>
              </w:rPr>
              <w:t>odpowiedź</w:t>
            </w:r>
            <w:r w:rsidR="00273620" w:rsidRPr="0031251F">
              <w:rPr>
                <w:b/>
                <w:sz w:val="20"/>
                <w:szCs w:val="20"/>
              </w:rPr>
              <w:t xml:space="preserve"> </w:t>
            </w:r>
            <w:r w:rsidRPr="0031251F">
              <w:rPr>
                <w:b/>
                <w:sz w:val="20"/>
                <w:szCs w:val="20"/>
              </w:rPr>
              <w:t>na</w:t>
            </w:r>
            <w:r w:rsidR="00273620" w:rsidRPr="0031251F">
              <w:rPr>
                <w:b/>
                <w:sz w:val="20"/>
                <w:szCs w:val="20"/>
              </w:rPr>
              <w:t xml:space="preserve"> </w:t>
            </w:r>
            <w:r w:rsidRPr="0031251F">
              <w:rPr>
                <w:b/>
                <w:sz w:val="20"/>
                <w:szCs w:val="20"/>
              </w:rPr>
              <w:t>leczenie</w:t>
            </w:r>
          </w:p>
          <w:p w14:paraId="45F81779" w14:textId="7275CE96" w:rsidR="00CA4C90" w:rsidRPr="00C418E1" w:rsidRDefault="007B6F61" w:rsidP="006A1A40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lastRenderedPageBreak/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C418E1">
              <w:rPr>
                <w:sz w:val="20"/>
                <w:szCs w:val="20"/>
              </w:rPr>
              <w:t>przypadku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C418E1">
              <w:rPr>
                <w:sz w:val="20"/>
                <w:szCs w:val="20"/>
              </w:rPr>
              <w:t>postaci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C418E1">
              <w:rPr>
                <w:sz w:val="20"/>
                <w:szCs w:val="20"/>
              </w:rPr>
              <w:t>osiowej:</w:t>
            </w:r>
          </w:p>
          <w:p w14:paraId="59A96063" w14:textId="1116EB9C" w:rsidR="00CA4C90" w:rsidRPr="00C418E1" w:rsidRDefault="00901064" w:rsidP="006A1A40">
            <w:pPr>
              <w:pStyle w:val="Akapitzlist"/>
              <w:numPr>
                <w:ilvl w:val="3"/>
                <w:numId w:val="11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po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3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miesiącach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(±</w:t>
            </w:r>
            <w:r w:rsidR="00F85471" w:rsidRPr="00C418E1">
              <w:rPr>
                <w:sz w:val="20"/>
                <w:szCs w:val="20"/>
              </w:rPr>
              <w:t>1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F85471" w:rsidRPr="00C418E1">
              <w:rPr>
                <w:sz w:val="20"/>
                <w:szCs w:val="20"/>
              </w:rPr>
              <w:t>miesiąc</w:t>
            </w:r>
            <w:r w:rsidRPr="00C418E1">
              <w:rPr>
                <w:sz w:val="20"/>
                <w:szCs w:val="20"/>
              </w:rPr>
              <w:t>)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terapii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zmniejszenie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wartości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BASDAI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≥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50%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lub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≥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2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jednostki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albo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zmniejszenie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wartości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ASDAS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50%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lub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≥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1,1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jednostki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stosunku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wartości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sprzed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leczenia,</w:t>
            </w:r>
          </w:p>
          <w:p w14:paraId="51E3913A" w14:textId="0779D080" w:rsidR="00CA4C90" w:rsidRPr="00C418E1" w:rsidRDefault="00901064" w:rsidP="006A1A40">
            <w:pPr>
              <w:pStyle w:val="Akapitzlist"/>
              <w:numPr>
                <w:ilvl w:val="3"/>
                <w:numId w:val="11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po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6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miesiącach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(±</w:t>
            </w:r>
            <w:r w:rsidR="00F85471" w:rsidRPr="00C418E1">
              <w:rPr>
                <w:sz w:val="20"/>
                <w:szCs w:val="20"/>
              </w:rPr>
              <w:t>1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F85471" w:rsidRPr="00C418E1">
              <w:rPr>
                <w:sz w:val="20"/>
                <w:szCs w:val="20"/>
              </w:rPr>
              <w:t>miesiąc</w:t>
            </w:r>
            <w:r w:rsidRPr="00C418E1">
              <w:rPr>
                <w:sz w:val="20"/>
                <w:szCs w:val="20"/>
              </w:rPr>
              <w:t>)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terapii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uzyskanie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niskiej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aktywności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choroby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mierzonej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wartością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BASDAI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&lt;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3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albo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ASDAS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&lt;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1,3</w:t>
            </w:r>
            <w:r w:rsidR="002A4FB8" w:rsidRPr="00C418E1">
              <w:rPr>
                <w:sz w:val="20"/>
                <w:szCs w:val="20"/>
              </w:rPr>
              <w:t>;</w:t>
            </w:r>
          </w:p>
          <w:p w14:paraId="2247410D" w14:textId="2C833D70" w:rsidR="00CA4C90" w:rsidRPr="00C418E1" w:rsidRDefault="007B6F61" w:rsidP="006A1A40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C418E1">
              <w:rPr>
                <w:sz w:val="20"/>
                <w:szCs w:val="20"/>
              </w:rPr>
              <w:t>przypadku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C418E1">
              <w:rPr>
                <w:sz w:val="20"/>
                <w:szCs w:val="20"/>
              </w:rPr>
              <w:t>postaci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901064" w:rsidRPr="00C418E1">
              <w:rPr>
                <w:sz w:val="20"/>
                <w:szCs w:val="20"/>
              </w:rPr>
              <w:t>obwodowej:</w:t>
            </w:r>
          </w:p>
          <w:p w14:paraId="2297678A" w14:textId="12581AC0" w:rsidR="00CA4C90" w:rsidRPr="00C418E1" w:rsidRDefault="00901064" w:rsidP="006A1A40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po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3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miesiącach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(±</w:t>
            </w:r>
            <w:r w:rsidR="00F85471" w:rsidRPr="00C418E1">
              <w:rPr>
                <w:sz w:val="20"/>
                <w:szCs w:val="20"/>
              </w:rPr>
              <w:t>1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F85471" w:rsidRPr="00C418E1">
              <w:rPr>
                <w:sz w:val="20"/>
                <w:szCs w:val="20"/>
              </w:rPr>
              <w:t>miesiąc</w:t>
            </w:r>
            <w:r w:rsidRPr="00C418E1">
              <w:rPr>
                <w:sz w:val="20"/>
                <w:szCs w:val="20"/>
              </w:rPr>
              <w:t>)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terapii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zmniejszenie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najmniej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30%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stosunku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wartości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sprzed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leczenia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łącznej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liczby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zajętych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stawów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przyczepów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ścięgnistych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oraz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zmniejszenie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aktywności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choroby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wg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skali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proofErr w:type="spellStart"/>
            <w:r w:rsidRPr="00C418E1">
              <w:rPr>
                <w:sz w:val="20"/>
                <w:szCs w:val="20"/>
              </w:rPr>
              <w:t>Likerta</w:t>
            </w:r>
            <w:proofErr w:type="spellEnd"/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najmniej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jedną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jednostkę,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zarówno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ocenie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chorego,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jak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lekarza,</w:t>
            </w:r>
          </w:p>
          <w:p w14:paraId="256BEE7A" w14:textId="7CFC92AC" w:rsidR="00CA4C90" w:rsidRPr="00C418E1" w:rsidRDefault="00901064" w:rsidP="006A1A40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C418E1">
              <w:rPr>
                <w:sz w:val="20"/>
                <w:szCs w:val="20"/>
              </w:rPr>
              <w:t>po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6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miesiącach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(±</w:t>
            </w:r>
            <w:r w:rsidR="00F85471" w:rsidRPr="00C418E1">
              <w:rPr>
                <w:sz w:val="20"/>
                <w:szCs w:val="20"/>
              </w:rPr>
              <w:t>1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="00F85471" w:rsidRPr="00C418E1">
              <w:rPr>
                <w:sz w:val="20"/>
                <w:szCs w:val="20"/>
              </w:rPr>
              <w:t>miesiąc</w:t>
            </w:r>
            <w:r w:rsidRPr="00C418E1">
              <w:rPr>
                <w:sz w:val="20"/>
                <w:szCs w:val="20"/>
              </w:rPr>
              <w:t>)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terapii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osiągnięcie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niskiej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aktywności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choroby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definiowanej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jako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zmniejszenie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najmniej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50%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stosunku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do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wartości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sprzed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leczenia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łącznej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liczby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zajętych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stawów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przyczepów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ścięgnistych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oraz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aktywności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choroby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wg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skali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proofErr w:type="spellStart"/>
            <w:r w:rsidRPr="00C418E1">
              <w:rPr>
                <w:sz w:val="20"/>
                <w:szCs w:val="20"/>
              </w:rPr>
              <w:t>Likerta</w:t>
            </w:r>
            <w:proofErr w:type="spellEnd"/>
            <w:r w:rsidRPr="00C418E1">
              <w:rPr>
                <w:sz w:val="20"/>
                <w:szCs w:val="20"/>
              </w:rPr>
              <w:t>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zarówno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w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ocenie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chorego,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jak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i</w:t>
            </w:r>
            <w:r w:rsidR="00273620" w:rsidRPr="00C418E1">
              <w:rPr>
                <w:sz w:val="20"/>
                <w:szCs w:val="20"/>
              </w:rPr>
              <w:t xml:space="preserve"> </w:t>
            </w:r>
            <w:r w:rsidRPr="00C418E1">
              <w:rPr>
                <w:sz w:val="20"/>
                <w:szCs w:val="20"/>
              </w:rPr>
              <w:t>lekarza.</w:t>
            </w:r>
          </w:p>
          <w:p w14:paraId="3A1EE6C2" w14:textId="77777777" w:rsidR="001C5FD7" w:rsidRPr="0031251F" w:rsidRDefault="001C5FD7" w:rsidP="006A1A40">
            <w:pPr>
              <w:pStyle w:val="Akapitzlist"/>
              <w:spacing w:after="60" w:line="276" w:lineRule="auto"/>
              <w:ind w:left="737"/>
              <w:contextualSpacing w:val="0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38A893E4" w14:textId="76C2DF06" w:rsidR="00CA4C90" w:rsidRPr="00F66FDF" w:rsidRDefault="00901064" w:rsidP="006A1A40">
            <w:pPr>
              <w:pStyle w:val="Tekstpodstawowywcity"/>
              <w:numPr>
                <w:ilvl w:val="0"/>
                <w:numId w:val="1"/>
              </w:numPr>
              <w:spacing w:after="60" w:line="276" w:lineRule="auto"/>
              <w:rPr>
                <w:b/>
                <w:sz w:val="20"/>
                <w:szCs w:val="20"/>
              </w:rPr>
            </w:pPr>
            <w:r w:rsidRPr="00F66FDF">
              <w:rPr>
                <w:b/>
                <w:sz w:val="20"/>
                <w:szCs w:val="20"/>
              </w:rPr>
              <w:t>Kryteria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i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warunki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zamiany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terapii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na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inną</w:t>
            </w:r>
          </w:p>
          <w:p w14:paraId="363E55F0" w14:textId="41D8CFB9" w:rsidR="00CA4C90" w:rsidRPr="0031251F" w:rsidRDefault="007B6F61" w:rsidP="006A1A40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901064" w:rsidRPr="0031251F">
              <w:rPr>
                <w:sz w:val="20"/>
                <w:szCs w:val="20"/>
              </w:rPr>
              <w:t>miana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terapii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leczenie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inną,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wymienioną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programie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substancją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czynną,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możliwa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jest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tylko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następujących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sytuacjach:</w:t>
            </w:r>
          </w:p>
          <w:p w14:paraId="689BE4A2" w14:textId="77777777" w:rsidR="002A4FB8" w:rsidRDefault="00901064" w:rsidP="006A1A40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wystąpienie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ciężkiej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reakcji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uczuleniowej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substancję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czynną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pomocniczą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1073B64D" w14:textId="7DA97289" w:rsidR="00CA4C90" w:rsidRPr="0031251F" w:rsidRDefault="00901064" w:rsidP="006A1A40">
            <w:pPr>
              <w:widowControl w:val="0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lub</w:t>
            </w:r>
          </w:p>
          <w:p w14:paraId="69B37E0B" w14:textId="77777777" w:rsidR="002A4FB8" w:rsidRDefault="00901064" w:rsidP="006A1A40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wystąpienie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ciężkich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działań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niepożądanych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uniemożliwiających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kontynuowanie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terapii,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które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ustępują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mimo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dostosowywania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dawki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leku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zgodnie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ChPL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422560D8" w14:textId="7B6841DC" w:rsidR="00CA4C90" w:rsidRPr="0031251F" w:rsidRDefault="00901064" w:rsidP="006A1A40">
            <w:pPr>
              <w:widowControl w:val="0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lub</w:t>
            </w:r>
          </w:p>
          <w:p w14:paraId="2F011324" w14:textId="40F6E256" w:rsidR="00CA4C90" w:rsidRPr="0031251F" w:rsidRDefault="00901064" w:rsidP="006A1A40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lastRenderedPageBreak/>
              <w:t>brak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uzyskania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adekwatnej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odpowiedzi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zastosowaną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substancję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czynną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zgodnie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pkt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E234A5">
              <w:rPr>
                <w:sz w:val="20"/>
                <w:szCs w:val="20"/>
              </w:rPr>
              <w:t>2</w:t>
            </w:r>
            <w:r w:rsidR="00E234A5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utrata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adekwatnej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odpowiedzi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stwierdzona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trakcie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dwóch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kolejnych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wizyt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monitorujących</w:t>
            </w:r>
            <w:r w:rsidR="002A4FB8">
              <w:rPr>
                <w:sz w:val="20"/>
                <w:szCs w:val="20"/>
              </w:rPr>
              <w:t>;</w:t>
            </w:r>
          </w:p>
          <w:p w14:paraId="1B22D484" w14:textId="49EC43B3" w:rsidR="00D8104D" w:rsidRPr="00F66FDF" w:rsidRDefault="007B6F61" w:rsidP="006A1A40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>w</w:t>
            </w:r>
            <w:r w:rsidR="00D8104D" w:rsidRPr="00F66FDF">
              <w:rPr>
                <w:sz w:val="20"/>
                <w:szCs w:val="20"/>
              </w:rPr>
              <w:t xml:space="preserve"> ramach programu lekowego dotyczącego leczenia nieradiograficznej </w:t>
            </w:r>
            <w:proofErr w:type="spellStart"/>
            <w:r w:rsidR="0031251F" w:rsidRPr="00F66FDF">
              <w:rPr>
                <w:sz w:val="20"/>
                <w:szCs w:val="20"/>
              </w:rPr>
              <w:t>SpA</w:t>
            </w:r>
            <w:proofErr w:type="spellEnd"/>
            <w:r w:rsidR="0031251F" w:rsidRPr="00F66FDF">
              <w:rPr>
                <w:sz w:val="20"/>
                <w:szCs w:val="20"/>
              </w:rPr>
              <w:t xml:space="preserve"> postaci</w:t>
            </w:r>
            <w:r w:rsidR="00D8104D" w:rsidRPr="00F66FDF">
              <w:rPr>
                <w:sz w:val="20"/>
                <w:szCs w:val="20"/>
              </w:rPr>
              <w:t xml:space="preserve"> osiowej i obwodowej nie jest możliwe zastosowanie więcej niż</w:t>
            </w:r>
            <w:r w:rsidR="00B51C0F" w:rsidRPr="00F66FDF">
              <w:rPr>
                <w:sz w:val="20"/>
                <w:szCs w:val="20"/>
              </w:rPr>
              <w:t xml:space="preserve"> </w:t>
            </w:r>
            <w:r w:rsidR="0001466B">
              <w:rPr>
                <w:sz w:val="20"/>
                <w:szCs w:val="20"/>
              </w:rPr>
              <w:t>sześciu</w:t>
            </w:r>
            <w:r w:rsidR="00B51C0F" w:rsidRPr="00F66FDF">
              <w:rPr>
                <w:sz w:val="20"/>
                <w:szCs w:val="20"/>
              </w:rPr>
              <w:t xml:space="preserve"> leków, w tym </w:t>
            </w:r>
            <w:r w:rsidR="0001466B">
              <w:rPr>
                <w:sz w:val="20"/>
                <w:szCs w:val="20"/>
              </w:rPr>
              <w:t>pięciu</w:t>
            </w:r>
            <w:r w:rsidR="00B51C0F" w:rsidRPr="00F66FDF">
              <w:rPr>
                <w:sz w:val="20"/>
                <w:szCs w:val="20"/>
              </w:rPr>
              <w:t xml:space="preserve"> leków biologicznych i </w:t>
            </w:r>
            <w:proofErr w:type="spellStart"/>
            <w:r w:rsidR="00B51C0F" w:rsidRPr="00F66FDF">
              <w:rPr>
                <w:sz w:val="20"/>
                <w:szCs w:val="20"/>
              </w:rPr>
              <w:t>upadacytynibu</w:t>
            </w:r>
            <w:proofErr w:type="spellEnd"/>
            <w:r w:rsidR="00B51C0F" w:rsidRPr="00F66FDF">
              <w:rPr>
                <w:sz w:val="20"/>
                <w:szCs w:val="20"/>
              </w:rPr>
              <w:t>,</w:t>
            </w:r>
            <w:r w:rsidR="00D8104D" w:rsidRPr="00F66FDF">
              <w:rPr>
                <w:sz w:val="20"/>
                <w:szCs w:val="20"/>
              </w:rPr>
              <w:t xml:space="preserve"> </w:t>
            </w:r>
            <w:r w:rsidR="00B51C0F" w:rsidRPr="00F66FDF">
              <w:rPr>
                <w:sz w:val="20"/>
                <w:szCs w:val="20"/>
              </w:rPr>
              <w:t xml:space="preserve">w tym </w:t>
            </w:r>
            <w:r w:rsidR="00D8104D" w:rsidRPr="00F66FDF">
              <w:rPr>
                <w:sz w:val="20"/>
                <w:szCs w:val="20"/>
              </w:rPr>
              <w:t>dwóch inhibitorów TNF alfa (</w:t>
            </w:r>
            <w:proofErr w:type="spellStart"/>
            <w:r w:rsidR="00D8104D" w:rsidRPr="00F66FDF">
              <w:rPr>
                <w:sz w:val="20"/>
                <w:szCs w:val="20"/>
              </w:rPr>
              <w:t>certolizumab</w:t>
            </w:r>
            <w:proofErr w:type="spellEnd"/>
            <w:r w:rsidR="00D8104D" w:rsidRPr="00F66FDF">
              <w:rPr>
                <w:sz w:val="20"/>
                <w:szCs w:val="20"/>
              </w:rPr>
              <w:t xml:space="preserve"> </w:t>
            </w:r>
            <w:proofErr w:type="spellStart"/>
            <w:r w:rsidR="00D8104D" w:rsidRPr="00F66FDF">
              <w:rPr>
                <w:sz w:val="20"/>
                <w:szCs w:val="20"/>
              </w:rPr>
              <w:t>pegol</w:t>
            </w:r>
            <w:proofErr w:type="spellEnd"/>
            <w:r w:rsidR="00D8104D" w:rsidRPr="00F66FDF">
              <w:rPr>
                <w:sz w:val="20"/>
                <w:szCs w:val="20"/>
              </w:rPr>
              <w:t xml:space="preserve">, </w:t>
            </w:r>
            <w:proofErr w:type="spellStart"/>
            <w:r w:rsidR="00D8104D" w:rsidRPr="00F66FDF">
              <w:rPr>
                <w:sz w:val="20"/>
                <w:szCs w:val="20"/>
              </w:rPr>
              <w:t>etanercept</w:t>
            </w:r>
            <w:proofErr w:type="spellEnd"/>
            <w:r w:rsidR="00D8104D" w:rsidRPr="00F66FDF">
              <w:rPr>
                <w:sz w:val="20"/>
                <w:szCs w:val="20"/>
              </w:rPr>
              <w:t xml:space="preserve">) oraz </w:t>
            </w:r>
            <w:r w:rsidR="0014601D">
              <w:rPr>
                <w:sz w:val="20"/>
                <w:szCs w:val="20"/>
              </w:rPr>
              <w:t>trzech</w:t>
            </w:r>
            <w:r w:rsidR="00D8104D" w:rsidRPr="00F66FDF">
              <w:rPr>
                <w:sz w:val="20"/>
                <w:szCs w:val="20"/>
              </w:rPr>
              <w:t xml:space="preserve"> inhibitorów IL-17 (</w:t>
            </w:r>
            <w:proofErr w:type="spellStart"/>
            <w:r w:rsidR="00D8104D" w:rsidRPr="00F66FDF">
              <w:rPr>
                <w:sz w:val="20"/>
                <w:szCs w:val="20"/>
              </w:rPr>
              <w:t>sekukinumab</w:t>
            </w:r>
            <w:proofErr w:type="spellEnd"/>
            <w:r w:rsidR="00D8104D" w:rsidRPr="00F66FDF">
              <w:rPr>
                <w:sz w:val="20"/>
                <w:szCs w:val="20"/>
              </w:rPr>
              <w:t xml:space="preserve">, </w:t>
            </w:r>
            <w:proofErr w:type="spellStart"/>
            <w:r w:rsidR="00D8104D" w:rsidRPr="00F66FDF">
              <w:rPr>
                <w:sz w:val="20"/>
                <w:szCs w:val="20"/>
              </w:rPr>
              <w:t>iksekizumab</w:t>
            </w:r>
            <w:proofErr w:type="spellEnd"/>
            <w:r w:rsidR="0001466B">
              <w:rPr>
                <w:sz w:val="20"/>
                <w:szCs w:val="20"/>
              </w:rPr>
              <w:t>,</w:t>
            </w:r>
            <w:r w:rsidR="0001466B">
              <w:t xml:space="preserve"> </w:t>
            </w:r>
            <w:proofErr w:type="spellStart"/>
            <w:r w:rsidR="0001466B" w:rsidRPr="0001466B">
              <w:rPr>
                <w:sz w:val="20"/>
                <w:szCs w:val="20"/>
              </w:rPr>
              <w:t>bimekizumab</w:t>
            </w:r>
            <w:proofErr w:type="spellEnd"/>
            <w:r w:rsidR="00D8104D" w:rsidRPr="00F66FDF">
              <w:rPr>
                <w:sz w:val="20"/>
                <w:szCs w:val="20"/>
              </w:rPr>
              <w:t>)</w:t>
            </w:r>
            <w:r w:rsidR="002A4FB8" w:rsidRPr="00F66FDF">
              <w:rPr>
                <w:sz w:val="20"/>
                <w:szCs w:val="20"/>
              </w:rPr>
              <w:t>;</w:t>
            </w:r>
          </w:p>
          <w:p w14:paraId="01996B73" w14:textId="336F2EC0" w:rsidR="00CA4C90" w:rsidRPr="0031251F" w:rsidRDefault="007B6F61" w:rsidP="006A1A40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ramach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programu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dopuszcza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się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możliwości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ponownej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kwalifikacji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terapii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substancją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czynną,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którą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pacjent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był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leczony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przeszłości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nieskutecznie</w:t>
            </w:r>
            <w:r w:rsidR="002A4FB8">
              <w:rPr>
                <w:sz w:val="20"/>
                <w:szCs w:val="20"/>
              </w:rPr>
              <w:t>;</w:t>
            </w:r>
          </w:p>
          <w:p w14:paraId="75BBCF26" w14:textId="4B613897" w:rsidR="00CA4C90" w:rsidRPr="00F66FDF" w:rsidRDefault="007B6F61" w:rsidP="006A1A40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901064" w:rsidRPr="0031251F">
              <w:rPr>
                <w:sz w:val="20"/>
                <w:szCs w:val="20"/>
              </w:rPr>
              <w:t>walifikacja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pacjenta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drugiego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leku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ramach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programu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lekowego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wymaga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zgody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Zespołu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Koordynacyjnego,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jeśli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jest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zgodna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opisem.</w:t>
            </w:r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14582D03" w14:textId="77777777" w:rsidR="00992FE9" w:rsidRPr="0031251F" w:rsidRDefault="00992FE9" w:rsidP="006A1A40">
            <w:pPr>
              <w:spacing w:after="60" w:line="276" w:lineRule="auto"/>
              <w:ind w:left="227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502B4663" w14:textId="77777777" w:rsidR="000277EF" w:rsidRPr="00F66FDF" w:rsidRDefault="000277EF" w:rsidP="006A1A40">
            <w:pPr>
              <w:pStyle w:val="Tekstpodstawowywcity"/>
              <w:numPr>
                <w:ilvl w:val="0"/>
                <w:numId w:val="1"/>
              </w:numPr>
              <w:spacing w:after="60" w:line="276" w:lineRule="auto"/>
              <w:rPr>
                <w:b/>
                <w:sz w:val="20"/>
                <w:szCs w:val="20"/>
              </w:rPr>
            </w:pPr>
            <w:r w:rsidRPr="00F66FDF">
              <w:rPr>
                <w:b/>
                <w:sz w:val="20"/>
                <w:szCs w:val="20"/>
              </w:rPr>
              <w:t>Czas leczenia w programie</w:t>
            </w:r>
          </w:p>
          <w:p w14:paraId="273828E5" w14:textId="7BA827BE" w:rsidR="000277EF" w:rsidRPr="00F66FDF" w:rsidRDefault="007B6F61" w:rsidP="006A1A40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>l</w:t>
            </w:r>
            <w:r w:rsidR="00EA267D" w:rsidRPr="00F66FDF">
              <w:rPr>
                <w:sz w:val="20"/>
                <w:szCs w:val="20"/>
              </w:rPr>
              <w:t>eczenie trwa do czasu podjęcia przez Zespół Koordynacyjny lub lekarza prowadzącego decyzji o wyłączeniu świadczeniobiorcy z programu, zgodnie z kryteriami wyłączenia</w:t>
            </w:r>
            <w:r w:rsidR="002A4FB8" w:rsidRPr="00F66FDF">
              <w:rPr>
                <w:sz w:val="20"/>
                <w:szCs w:val="20"/>
              </w:rPr>
              <w:t>;</w:t>
            </w:r>
          </w:p>
          <w:p w14:paraId="124C4170" w14:textId="4CD550EB" w:rsidR="000277EF" w:rsidRPr="0031251F" w:rsidRDefault="007B6F61" w:rsidP="006A1A40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0277EF" w:rsidRPr="0031251F">
              <w:rPr>
                <w:sz w:val="20"/>
                <w:szCs w:val="20"/>
              </w:rPr>
              <w:t>ekarz prowadzący może zwrócić się do Zespołu Koordynacyjnego d</w:t>
            </w:r>
            <w:r w:rsidR="00EA267D">
              <w:rPr>
                <w:sz w:val="20"/>
                <w:szCs w:val="20"/>
              </w:rPr>
              <w:t>s.</w:t>
            </w:r>
            <w:r w:rsidR="000277EF" w:rsidRPr="0031251F">
              <w:rPr>
                <w:sz w:val="20"/>
                <w:szCs w:val="20"/>
              </w:rPr>
              <w:t xml:space="preserve"> Leczenia Biologicznego w Chorobach Reumatycznych o wyrażenie zgody na kontynuację leczenia daną substancją czynną w uzasadnionych sytuacjach klinicznych w przypadku nieuzyskania przez chorego niskiej aktywności choroby zgodnie z pkt </w:t>
            </w:r>
            <w:r w:rsidR="000277EF">
              <w:rPr>
                <w:sz w:val="20"/>
                <w:szCs w:val="20"/>
              </w:rPr>
              <w:t>2</w:t>
            </w:r>
            <w:r w:rsidR="007E4379">
              <w:rPr>
                <w:sz w:val="20"/>
                <w:szCs w:val="20"/>
              </w:rPr>
              <w:t>.</w:t>
            </w:r>
            <w:r w:rsidR="000277EF" w:rsidRPr="0031251F">
              <w:rPr>
                <w:sz w:val="20"/>
                <w:szCs w:val="20"/>
              </w:rPr>
              <w:t xml:space="preserve"> </w:t>
            </w:r>
            <w:proofErr w:type="spellStart"/>
            <w:r w:rsidR="000277EF" w:rsidRPr="0031251F">
              <w:rPr>
                <w:sz w:val="20"/>
                <w:szCs w:val="20"/>
              </w:rPr>
              <w:t>ppkt</w:t>
            </w:r>
            <w:proofErr w:type="spellEnd"/>
            <w:r w:rsidR="000277EF" w:rsidRPr="0031251F">
              <w:rPr>
                <w:sz w:val="20"/>
                <w:szCs w:val="20"/>
              </w:rPr>
              <w:t xml:space="preserve"> 1</w:t>
            </w:r>
            <w:r w:rsidR="007E4379">
              <w:rPr>
                <w:sz w:val="20"/>
                <w:szCs w:val="20"/>
              </w:rPr>
              <w:t>)</w:t>
            </w:r>
            <w:r w:rsidR="000277EF" w:rsidRPr="0031251F">
              <w:rPr>
                <w:sz w:val="20"/>
                <w:szCs w:val="20"/>
              </w:rPr>
              <w:t>b) lub 2</w:t>
            </w:r>
            <w:r w:rsidR="007E4379">
              <w:rPr>
                <w:sz w:val="20"/>
                <w:szCs w:val="20"/>
              </w:rPr>
              <w:t>)</w:t>
            </w:r>
            <w:r w:rsidR="000277EF" w:rsidRPr="0031251F">
              <w:rPr>
                <w:sz w:val="20"/>
                <w:szCs w:val="20"/>
              </w:rPr>
              <w:t>b), szczególnie u pacjentów z wyjściową bardzo dużą aktywnością choroby lub występowaniem czynników złej prognozy. Bez zgody Zespołu Koordynacyjnego dalsze leczenie daną substancją czynną w przypadku braku uzyskania niskiej aktywności choroby po 6 miesiącach (±1 miesiąc) terapii nie jest możliwe.</w:t>
            </w:r>
          </w:p>
          <w:p w14:paraId="4E67167B" w14:textId="77777777" w:rsidR="001C5FD7" w:rsidRPr="0031251F" w:rsidRDefault="001C5FD7" w:rsidP="006A1A40">
            <w:pPr>
              <w:spacing w:after="60" w:line="276" w:lineRule="auto"/>
              <w:ind w:left="227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  <w:p w14:paraId="4106E3BC" w14:textId="7096E0BE" w:rsidR="00CA4C90" w:rsidRPr="00F66FDF" w:rsidRDefault="00901064" w:rsidP="006A1A40">
            <w:pPr>
              <w:pStyle w:val="Tekstpodstawowywcity"/>
              <w:numPr>
                <w:ilvl w:val="0"/>
                <w:numId w:val="1"/>
              </w:numPr>
              <w:spacing w:after="60" w:line="276" w:lineRule="auto"/>
              <w:rPr>
                <w:b/>
                <w:sz w:val="20"/>
                <w:szCs w:val="20"/>
              </w:rPr>
            </w:pPr>
            <w:r w:rsidRPr="00F66FDF">
              <w:rPr>
                <w:b/>
                <w:sz w:val="20"/>
                <w:szCs w:val="20"/>
              </w:rPr>
              <w:t>Kryteria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wyłączenia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z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programu</w:t>
            </w:r>
          </w:p>
          <w:p w14:paraId="405B7D23" w14:textId="11DCC4FA" w:rsidR="00CA4C90" w:rsidRPr="00F66FDF" w:rsidRDefault="007E4379" w:rsidP="006A1A40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>b</w:t>
            </w:r>
            <w:r w:rsidR="00901064" w:rsidRPr="00F66FDF">
              <w:rPr>
                <w:sz w:val="20"/>
                <w:szCs w:val="20"/>
              </w:rPr>
              <w:t>rak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uzyskania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adekwatnej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odpowiedzi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na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leczenie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zgodnie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pkt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E234A5" w:rsidRPr="00F66FDF">
              <w:rPr>
                <w:sz w:val="20"/>
                <w:szCs w:val="20"/>
              </w:rPr>
              <w:t>2</w:t>
            </w:r>
            <w:r w:rsidRPr="00F66FDF">
              <w:rPr>
                <w:sz w:val="20"/>
                <w:szCs w:val="20"/>
              </w:rPr>
              <w:t>.</w:t>
            </w:r>
            <w:r w:rsidR="009D44B9" w:rsidRPr="00F66FDF">
              <w:rPr>
                <w:sz w:val="20"/>
                <w:szCs w:val="20"/>
              </w:rPr>
              <w:t>;</w:t>
            </w:r>
          </w:p>
          <w:p w14:paraId="10DC7964" w14:textId="5D7D54DB" w:rsidR="00CA4C90" w:rsidRPr="00F66FDF" w:rsidRDefault="007E4379" w:rsidP="006A1A40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lastRenderedPageBreak/>
              <w:t>u</w:t>
            </w:r>
            <w:r w:rsidR="00901064" w:rsidRPr="00F66FDF">
              <w:rPr>
                <w:sz w:val="20"/>
                <w:szCs w:val="20"/>
              </w:rPr>
              <w:t>trata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adekwatnej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odpowiedzi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na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leczenie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zgodnie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pkt.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E234A5" w:rsidRPr="00F66FDF">
              <w:rPr>
                <w:sz w:val="20"/>
                <w:szCs w:val="20"/>
              </w:rPr>
              <w:t>2</w:t>
            </w:r>
            <w:r w:rsidRPr="00F66FDF">
              <w:rPr>
                <w:sz w:val="20"/>
                <w:szCs w:val="20"/>
              </w:rPr>
              <w:t>.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stwierdzony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trakcie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dwóch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wizyt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monitorujących</w:t>
            </w:r>
            <w:r w:rsidR="009D44B9" w:rsidRPr="00F66FDF">
              <w:rPr>
                <w:sz w:val="20"/>
                <w:szCs w:val="20"/>
              </w:rPr>
              <w:t>;</w:t>
            </w:r>
          </w:p>
          <w:p w14:paraId="28036670" w14:textId="1E40C84E" w:rsidR="007E4379" w:rsidRPr="00F66FDF" w:rsidRDefault="007E4379" w:rsidP="006A1A40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>wystąpienie chorób lub stanów, które w opinii Zespołu Koordynacyjnego lub lekarza prowadzącego uniemożliwiają dalsze prowadzenie leczenia;</w:t>
            </w:r>
          </w:p>
          <w:p w14:paraId="36F12719" w14:textId="5C59D1F8" w:rsidR="009D44B9" w:rsidRPr="00F66FDF" w:rsidRDefault="007E4379" w:rsidP="006A1A40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7E4379">
              <w:rPr>
                <w:sz w:val="20"/>
                <w:szCs w:val="20"/>
              </w:rPr>
              <w:t>ystąpienie objawów nadwrażliwości na którąkolwiek substancję czynną lub substancję pomocniczą</w:t>
            </w:r>
            <w:r>
              <w:rPr>
                <w:sz w:val="20"/>
                <w:szCs w:val="20"/>
              </w:rPr>
              <w:t>;</w:t>
            </w:r>
          </w:p>
          <w:p w14:paraId="5C75C0A0" w14:textId="002617B3" w:rsidR="009D44B9" w:rsidRPr="00F66FDF" w:rsidRDefault="007E4379" w:rsidP="006A1A40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 xml:space="preserve">wystąpienie toksyczności wymagającej zakończenia leczenia w opinii Zespołu Koordynacyjnego lub lekarza prowadzącego zgodnie z aktualną </w:t>
            </w:r>
            <w:proofErr w:type="spellStart"/>
            <w:r w:rsidRPr="00F66FDF">
              <w:rPr>
                <w:sz w:val="20"/>
                <w:szCs w:val="20"/>
              </w:rPr>
              <w:t>ChPL</w:t>
            </w:r>
            <w:proofErr w:type="spellEnd"/>
            <w:r w:rsidR="009D44B9" w:rsidRPr="00F66FDF">
              <w:rPr>
                <w:sz w:val="20"/>
                <w:szCs w:val="20"/>
              </w:rPr>
              <w:t>;</w:t>
            </w:r>
          </w:p>
          <w:p w14:paraId="6C7B1129" w14:textId="453974F7" w:rsidR="007E4379" w:rsidRPr="00F66FDF" w:rsidRDefault="007E4379" w:rsidP="006A1A40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>pogorszenie jakości życia o istotnym znaczeniu według oceny lekarza;</w:t>
            </w:r>
          </w:p>
          <w:p w14:paraId="2C6BA31A" w14:textId="1E7EE0BF" w:rsidR="009D44B9" w:rsidRPr="00F66FDF" w:rsidRDefault="007E4379" w:rsidP="006A1A40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>b</w:t>
            </w:r>
            <w:r w:rsidR="009D44B9" w:rsidRPr="00F66FDF">
              <w:rPr>
                <w:sz w:val="20"/>
                <w:szCs w:val="20"/>
              </w:rPr>
              <w:t xml:space="preserve">rak współpracy lub nieprzestrzeganie zaleceń lekarskich, w tym zwłaszcza dotyczących okresowych badań kontrolnych oceniających skuteczność i bezpieczeństwo leczenia ze strony świadczeniobiorcy lub </w:t>
            </w:r>
            <w:r w:rsidRPr="00F66FDF">
              <w:rPr>
                <w:sz w:val="20"/>
                <w:szCs w:val="20"/>
              </w:rPr>
              <w:t>jego opiekuna prawnego.</w:t>
            </w:r>
          </w:p>
          <w:p w14:paraId="783E8D45" w14:textId="77777777" w:rsidR="00CA4C90" w:rsidRPr="0031251F" w:rsidRDefault="00CA4C90" w:rsidP="006A1A40">
            <w:pPr>
              <w:pStyle w:val="Akapitzlist"/>
              <w:spacing w:after="60" w:line="276" w:lineRule="auto"/>
              <w:ind w:left="360"/>
              <w:contextualSpacing w:val="0"/>
              <w:jc w:val="both"/>
              <w:rPr>
                <w:rFonts w:eastAsiaTheme="minorHAnsi"/>
                <w:b/>
                <w:sz w:val="20"/>
                <w:szCs w:val="20"/>
                <w:lang w:eastAsia="en-US"/>
              </w:rPr>
            </w:pPr>
          </w:p>
          <w:p w14:paraId="6DE14AD3" w14:textId="6FE10E33" w:rsidR="00CA4C90" w:rsidRPr="00F66FDF" w:rsidRDefault="00901064" w:rsidP="006A1A40">
            <w:pPr>
              <w:pStyle w:val="Tekstpodstawowywcity"/>
              <w:numPr>
                <w:ilvl w:val="0"/>
                <w:numId w:val="1"/>
              </w:numPr>
              <w:spacing w:after="60" w:line="276" w:lineRule="auto"/>
              <w:rPr>
                <w:b/>
                <w:sz w:val="20"/>
                <w:szCs w:val="20"/>
              </w:rPr>
            </w:pPr>
            <w:r w:rsidRPr="00F66FDF">
              <w:rPr>
                <w:b/>
                <w:sz w:val="20"/>
                <w:szCs w:val="20"/>
              </w:rPr>
              <w:t>Kryteria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ponownego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włączenia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do</w:t>
            </w:r>
            <w:r w:rsidR="00273620" w:rsidRPr="00F66FDF">
              <w:rPr>
                <w:b/>
                <w:sz w:val="20"/>
                <w:szCs w:val="20"/>
              </w:rPr>
              <w:t xml:space="preserve"> </w:t>
            </w:r>
            <w:r w:rsidRPr="00F66FDF">
              <w:rPr>
                <w:b/>
                <w:sz w:val="20"/>
                <w:szCs w:val="20"/>
              </w:rPr>
              <w:t>programu</w:t>
            </w:r>
          </w:p>
          <w:p w14:paraId="7700801A" w14:textId="34B1257F" w:rsidR="00CA4C90" w:rsidRPr="00F66FDF" w:rsidRDefault="00F25DEC" w:rsidP="006A1A40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>p</w:t>
            </w:r>
            <w:r w:rsidR="00901064" w:rsidRPr="00F66FDF">
              <w:rPr>
                <w:sz w:val="20"/>
                <w:szCs w:val="20"/>
              </w:rPr>
              <w:t>acjent,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u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którego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zakończono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leczenie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ramach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programu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substancją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czynną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zastosowaną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zgodnie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zapisami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programu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powodu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uzyskania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niskiej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aktywności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choroby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i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u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którego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trakcie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badania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kontrolnego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stwierdzono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nawrót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aktywnej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choroby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zgodny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kryteriami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udziału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programie,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jest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włączany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do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leczenia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ramach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programu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bez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kwalifikacji</w:t>
            </w:r>
            <w:r w:rsidR="002A4FB8" w:rsidRPr="00F66FDF">
              <w:rPr>
                <w:sz w:val="20"/>
                <w:szCs w:val="20"/>
              </w:rPr>
              <w:t>;</w:t>
            </w:r>
          </w:p>
          <w:p w14:paraId="693F6499" w14:textId="70B71378" w:rsidR="00CA4C90" w:rsidRPr="00F66FDF" w:rsidRDefault="00F25DEC" w:rsidP="006A1A40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454" w:hanging="227"/>
              <w:contextualSpacing w:val="0"/>
              <w:jc w:val="both"/>
              <w:rPr>
                <w:sz w:val="20"/>
                <w:szCs w:val="20"/>
              </w:rPr>
            </w:pPr>
            <w:r w:rsidRPr="00F66FDF">
              <w:rPr>
                <w:sz w:val="20"/>
                <w:szCs w:val="20"/>
              </w:rPr>
              <w:t>p</w:t>
            </w:r>
            <w:r w:rsidR="00901064" w:rsidRPr="00F66FDF">
              <w:rPr>
                <w:sz w:val="20"/>
                <w:szCs w:val="20"/>
              </w:rPr>
              <w:t>acjent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jest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włączany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do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ponownego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leczenia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substancją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czynną,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której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zastosowanie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wywołało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niską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aktywność</w:t>
            </w:r>
            <w:r w:rsidR="00273620" w:rsidRPr="00F66FDF">
              <w:rPr>
                <w:sz w:val="20"/>
                <w:szCs w:val="20"/>
              </w:rPr>
              <w:t xml:space="preserve"> </w:t>
            </w:r>
            <w:r w:rsidR="00901064" w:rsidRPr="00F66FDF">
              <w:rPr>
                <w:sz w:val="20"/>
                <w:szCs w:val="20"/>
              </w:rPr>
              <w:t>choroby</w:t>
            </w:r>
            <w:r w:rsidR="002A4FB8" w:rsidRPr="00F66FDF">
              <w:rPr>
                <w:sz w:val="20"/>
                <w:szCs w:val="20"/>
              </w:rPr>
              <w:t>;</w:t>
            </w:r>
          </w:p>
          <w:p w14:paraId="41A3E335" w14:textId="77777777" w:rsidR="001C5FD7" w:rsidRPr="00F66FDF" w:rsidRDefault="00F25DEC" w:rsidP="006A1A40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d</w:t>
            </w:r>
            <w:r w:rsidR="00901064" w:rsidRPr="0031251F">
              <w:rPr>
                <w:sz w:val="20"/>
                <w:szCs w:val="20"/>
              </w:rPr>
              <w:t>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programu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może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być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ponownie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włączony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pacjent,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którego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zaprzestano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podawania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substancji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czynnej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wymienionej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programie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zastosowanej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zgodnie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jego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treścią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powodu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wystąpienia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działań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niepożądanych,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które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ustąpiły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odstawieniu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leku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bądź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zastosowanym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leczeniu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opinii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lekarza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prowadzącego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powrót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terapii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tą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samą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substancją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czynną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stanowi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ryzyka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dla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901064" w:rsidRPr="0031251F">
              <w:rPr>
                <w:sz w:val="20"/>
                <w:szCs w:val="20"/>
              </w:rPr>
              <w:t>pacjenta.</w:t>
            </w:r>
            <w:r w:rsidR="00273620" w:rsidRPr="0031251F">
              <w:rPr>
                <w:sz w:val="20"/>
                <w:szCs w:val="20"/>
              </w:rPr>
              <w:t xml:space="preserve"> </w:t>
            </w:r>
          </w:p>
          <w:p w14:paraId="400324DD" w14:textId="60E446ED" w:rsidR="00F66FDF" w:rsidRPr="00F66FDF" w:rsidRDefault="00F66FDF" w:rsidP="00F66FDF">
            <w:pPr>
              <w:spacing w:after="60" w:line="276" w:lineRule="auto"/>
              <w:ind w:left="227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A9FF9C" w14:textId="4C5A5C70" w:rsidR="00CA4C90" w:rsidRPr="0031251F" w:rsidRDefault="00901064" w:rsidP="00F66FDF">
            <w:pPr>
              <w:pStyle w:val="Akapitzlist"/>
              <w:numPr>
                <w:ilvl w:val="0"/>
                <w:numId w:val="2"/>
              </w:numPr>
              <w:spacing w:before="120" w:after="60" w:line="276" w:lineRule="auto"/>
              <w:contextualSpacing w:val="0"/>
              <w:rPr>
                <w:b/>
                <w:sz w:val="20"/>
                <w:szCs w:val="20"/>
              </w:rPr>
            </w:pPr>
            <w:r w:rsidRPr="0031251F">
              <w:rPr>
                <w:b/>
                <w:sz w:val="20"/>
                <w:szCs w:val="20"/>
              </w:rPr>
              <w:lastRenderedPageBreak/>
              <w:t>Dawkowanie</w:t>
            </w:r>
          </w:p>
          <w:p w14:paraId="325058D1" w14:textId="3F72B402" w:rsidR="00E22928" w:rsidRPr="00C20995" w:rsidRDefault="00E22928" w:rsidP="00F66FD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C20995">
              <w:rPr>
                <w:b/>
                <w:bCs/>
                <w:sz w:val="20"/>
                <w:szCs w:val="20"/>
              </w:rPr>
              <w:t>c</w:t>
            </w:r>
            <w:r w:rsidR="00901064" w:rsidRPr="00C20995">
              <w:rPr>
                <w:b/>
                <w:bCs/>
                <w:sz w:val="20"/>
                <w:szCs w:val="20"/>
              </w:rPr>
              <w:t>ertolizumab</w:t>
            </w:r>
            <w:proofErr w:type="spellEnd"/>
            <w:r w:rsidR="00273620" w:rsidRPr="00C2099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01064" w:rsidRPr="00C20995">
              <w:rPr>
                <w:b/>
                <w:bCs/>
                <w:sz w:val="20"/>
                <w:szCs w:val="20"/>
              </w:rPr>
              <w:t>pegol</w:t>
            </w:r>
            <w:proofErr w:type="spellEnd"/>
          </w:p>
          <w:p w14:paraId="3551A3E9" w14:textId="6CE560BA" w:rsidR="00E22928" w:rsidRPr="00C20995" w:rsidRDefault="00E22928" w:rsidP="0053330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C20995">
              <w:rPr>
                <w:sz w:val="20"/>
                <w:szCs w:val="20"/>
              </w:rPr>
              <w:t>awka początkowa</w:t>
            </w:r>
            <w:r>
              <w:rPr>
                <w:sz w:val="20"/>
                <w:szCs w:val="20"/>
              </w:rPr>
              <w:t xml:space="preserve"> </w:t>
            </w:r>
            <w:r w:rsidRPr="00E22928">
              <w:rPr>
                <w:rFonts w:eastAsia="SimSun"/>
                <w:kern w:val="1"/>
                <w:sz w:val="20"/>
                <w:szCs w:val="20"/>
                <w:lang w:eastAsia="ar-SA"/>
              </w:rPr>
              <w:t>zalecana i jednocześnie maksymalna to</w:t>
            </w:r>
            <w:r w:rsidR="00ED06DB">
              <w:rPr>
                <w:rFonts w:eastAsia="SimSun"/>
                <w:kern w:val="1"/>
                <w:sz w:val="20"/>
                <w:szCs w:val="20"/>
                <w:lang w:eastAsia="ar-SA"/>
              </w:rPr>
              <w:t xml:space="preserve"> </w:t>
            </w:r>
            <w:r w:rsidR="0019394A">
              <w:rPr>
                <w:rFonts w:eastAsia="SimSun"/>
                <w:kern w:val="1"/>
                <w:sz w:val="20"/>
                <w:szCs w:val="20"/>
                <w:lang w:eastAsia="ar-SA"/>
              </w:rPr>
              <w:t xml:space="preserve">podanie </w:t>
            </w:r>
            <w:r w:rsidR="00ED06DB" w:rsidRPr="00ED06DB">
              <w:rPr>
                <w:rFonts w:eastAsia="SimSun"/>
                <w:kern w:val="1"/>
                <w:sz w:val="20"/>
                <w:szCs w:val="20"/>
                <w:lang w:eastAsia="ar-SA"/>
              </w:rPr>
              <w:t>400 mg (podana jako 2 podskórne wstrzyknięcia po 200 mg każde) w tygodniach 0., 2. i 4</w:t>
            </w:r>
            <w:r w:rsidR="00056457">
              <w:rPr>
                <w:rFonts w:eastAsia="SimSun"/>
                <w:kern w:val="1"/>
                <w:sz w:val="20"/>
                <w:szCs w:val="20"/>
                <w:lang w:eastAsia="ar-SA"/>
              </w:rPr>
              <w:t>;</w:t>
            </w:r>
          </w:p>
          <w:p w14:paraId="0795DFEE" w14:textId="50574E84" w:rsidR="00ED06DB" w:rsidRPr="00C20995" w:rsidRDefault="00ED06DB" w:rsidP="0053330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dawka podtrzymująca </w:t>
            </w:r>
            <w:r w:rsidRPr="00ED06DB">
              <w:rPr>
                <w:sz w:val="20"/>
                <w:szCs w:val="20"/>
              </w:rPr>
              <w:t>zalecana i jednocześnie maksymalna</w:t>
            </w:r>
            <w:r>
              <w:rPr>
                <w:sz w:val="20"/>
                <w:szCs w:val="20"/>
              </w:rPr>
              <w:t xml:space="preserve"> to </w:t>
            </w:r>
            <w:r w:rsidR="0019394A">
              <w:rPr>
                <w:sz w:val="20"/>
                <w:szCs w:val="20"/>
              </w:rPr>
              <w:t xml:space="preserve">podanie </w:t>
            </w:r>
            <w:r w:rsidRPr="00ED06DB">
              <w:rPr>
                <w:sz w:val="20"/>
                <w:szCs w:val="20"/>
              </w:rPr>
              <w:t>200 mg co 2 tygodnie lub 400 mg co 4 tygodnie.</w:t>
            </w:r>
          </w:p>
          <w:p w14:paraId="71F29FB3" w14:textId="2C672688" w:rsidR="00E22928" w:rsidRPr="00C20995" w:rsidRDefault="00901064" w:rsidP="00F66FD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C20995">
              <w:rPr>
                <w:b/>
                <w:bCs/>
                <w:sz w:val="20"/>
                <w:szCs w:val="20"/>
              </w:rPr>
              <w:t>etanercept</w:t>
            </w:r>
            <w:proofErr w:type="spellEnd"/>
          </w:p>
          <w:p w14:paraId="420C31E1" w14:textId="200E7537" w:rsidR="00ED06DB" w:rsidRPr="00C20995" w:rsidRDefault="00ED06DB" w:rsidP="0053330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ED06DB">
              <w:rPr>
                <w:sz w:val="20"/>
                <w:szCs w:val="20"/>
              </w:rPr>
              <w:t>dawka zalecana i jednocześnie maksymalna to</w:t>
            </w:r>
            <w:r>
              <w:rPr>
                <w:sz w:val="20"/>
                <w:szCs w:val="20"/>
              </w:rPr>
              <w:t xml:space="preserve"> </w:t>
            </w:r>
            <w:r w:rsidR="00BD6D40" w:rsidRPr="00BD6D40">
              <w:rPr>
                <w:sz w:val="20"/>
                <w:szCs w:val="20"/>
              </w:rPr>
              <w:t>poda</w:t>
            </w:r>
            <w:r w:rsidR="00824BFB">
              <w:rPr>
                <w:sz w:val="20"/>
                <w:szCs w:val="20"/>
              </w:rPr>
              <w:t>nie</w:t>
            </w:r>
            <w:r w:rsidR="00BD6D40" w:rsidRPr="00BD6D40">
              <w:rPr>
                <w:sz w:val="20"/>
                <w:szCs w:val="20"/>
              </w:rPr>
              <w:t xml:space="preserve"> 25 mg</w:t>
            </w:r>
            <w:r w:rsidR="00824BFB">
              <w:rPr>
                <w:sz w:val="20"/>
                <w:szCs w:val="20"/>
              </w:rPr>
              <w:t xml:space="preserve"> </w:t>
            </w:r>
            <w:r w:rsidR="00824BFB" w:rsidRPr="00824BFB">
              <w:rPr>
                <w:sz w:val="20"/>
                <w:szCs w:val="20"/>
              </w:rPr>
              <w:t>dwa razy w tygodniu</w:t>
            </w:r>
            <w:r w:rsidR="00BD6D40" w:rsidRPr="00BD6D40">
              <w:rPr>
                <w:sz w:val="20"/>
                <w:szCs w:val="20"/>
              </w:rPr>
              <w:t xml:space="preserve"> lub 50 mg</w:t>
            </w:r>
            <w:r w:rsidR="0019394A">
              <w:rPr>
                <w:sz w:val="20"/>
                <w:szCs w:val="20"/>
              </w:rPr>
              <w:t xml:space="preserve"> </w:t>
            </w:r>
            <w:r w:rsidR="00BD6D40" w:rsidRPr="00C20995">
              <w:rPr>
                <w:sz w:val="20"/>
                <w:szCs w:val="20"/>
              </w:rPr>
              <w:t xml:space="preserve">raz w tygodniu. </w:t>
            </w:r>
          </w:p>
          <w:p w14:paraId="0FF2D7A6" w14:textId="0C3E0C2C" w:rsidR="00824BFB" w:rsidRPr="00C20995" w:rsidRDefault="00D274EC" w:rsidP="00F66FD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C20995">
              <w:rPr>
                <w:b/>
                <w:bCs/>
                <w:sz w:val="20"/>
                <w:szCs w:val="20"/>
              </w:rPr>
              <w:t>iksekizumab</w:t>
            </w:r>
            <w:proofErr w:type="spellEnd"/>
          </w:p>
          <w:p w14:paraId="1321B06A" w14:textId="2E207EA3" w:rsidR="00056457" w:rsidRPr="004C318E" w:rsidRDefault="00824BFB" w:rsidP="00F66FDF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824BFB">
              <w:rPr>
                <w:sz w:val="20"/>
                <w:szCs w:val="20"/>
              </w:rPr>
              <w:t xml:space="preserve">dawka </w:t>
            </w:r>
            <w:r>
              <w:rPr>
                <w:sz w:val="20"/>
                <w:szCs w:val="20"/>
              </w:rPr>
              <w:t xml:space="preserve">początkowa </w:t>
            </w:r>
            <w:r w:rsidRPr="00824BFB">
              <w:rPr>
                <w:sz w:val="20"/>
                <w:szCs w:val="20"/>
              </w:rPr>
              <w:t>zalecana i jednocześnie maksymalna to poda</w:t>
            </w:r>
            <w:r>
              <w:rPr>
                <w:sz w:val="20"/>
                <w:szCs w:val="20"/>
              </w:rPr>
              <w:t>nie</w:t>
            </w:r>
            <w:r w:rsidRPr="00824BFB">
              <w:rPr>
                <w:sz w:val="20"/>
                <w:szCs w:val="20"/>
              </w:rPr>
              <w:t xml:space="preserve"> 160 mg (dwa wstrzyknięcia po 80 mg) we wstrzyknięciach podskórnych w</w:t>
            </w:r>
            <w:r w:rsidR="004C318E">
              <w:rPr>
                <w:sz w:val="20"/>
                <w:szCs w:val="20"/>
              </w:rPr>
              <w:t xml:space="preserve"> </w:t>
            </w:r>
            <w:r w:rsidRPr="004C318E">
              <w:rPr>
                <w:sz w:val="20"/>
                <w:szCs w:val="20"/>
              </w:rPr>
              <w:t>tygodniu 0</w:t>
            </w:r>
            <w:r w:rsidR="007C421C">
              <w:rPr>
                <w:sz w:val="20"/>
                <w:szCs w:val="20"/>
              </w:rPr>
              <w:t>,</w:t>
            </w:r>
          </w:p>
          <w:p w14:paraId="3F538765" w14:textId="7BC95493" w:rsidR="00E22928" w:rsidRDefault="00056457" w:rsidP="00F66FDF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056457">
              <w:rPr>
                <w:sz w:val="20"/>
                <w:szCs w:val="20"/>
              </w:rPr>
              <w:lastRenderedPageBreak/>
              <w:t xml:space="preserve">dawka </w:t>
            </w:r>
            <w:r>
              <w:rPr>
                <w:sz w:val="20"/>
                <w:szCs w:val="20"/>
              </w:rPr>
              <w:t>podtrzymująca</w:t>
            </w:r>
            <w:r w:rsidRPr="00056457">
              <w:rPr>
                <w:sz w:val="20"/>
                <w:szCs w:val="20"/>
              </w:rPr>
              <w:t xml:space="preserve"> zalecana i jednocześnie maksymalna to podanie </w:t>
            </w:r>
            <w:r w:rsidR="00824BFB" w:rsidRPr="00824BFB">
              <w:rPr>
                <w:sz w:val="20"/>
                <w:szCs w:val="20"/>
              </w:rPr>
              <w:t>80 mg co 4 tygodnie</w:t>
            </w:r>
            <w:r w:rsidR="00824BFB">
              <w:rPr>
                <w:sz w:val="20"/>
                <w:szCs w:val="20"/>
              </w:rPr>
              <w:t>.</w:t>
            </w:r>
          </w:p>
          <w:p w14:paraId="5399D6F5" w14:textId="7363D23E" w:rsidR="00E22928" w:rsidRPr="00C20995" w:rsidRDefault="0094053A" w:rsidP="00F66FD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C20995">
              <w:rPr>
                <w:b/>
                <w:bCs/>
                <w:sz w:val="20"/>
                <w:szCs w:val="20"/>
              </w:rPr>
              <w:t>sekukinumab</w:t>
            </w:r>
            <w:proofErr w:type="spellEnd"/>
          </w:p>
          <w:p w14:paraId="02C638E3" w14:textId="2FA709C2" w:rsidR="00056457" w:rsidRDefault="00824BFB" w:rsidP="0053330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824BFB">
              <w:rPr>
                <w:sz w:val="20"/>
                <w:szCs w:val="20"/>
              </w:rPr>
              <w:t xml:space="preserve">dawka </w:t>
            </w:r>
            <w:r w:rsidR="00056457">
              <w:rPr>
                <w:sz w:val="20"/>
                <w:szCs w:val="20"/>
              </w:rPr>
              <w:t xml:space="preserve">początkowa </w:t>
            </w:r>
            <w:r w:rsidRPr="00824BFB">
              <w:rPr>
                <w:sz w:val="20"/>
                <w:szCs w:val="20"/>
              </w:rPr>
              <w:t>zalecana i jednocześnie maksymalna to podanie 150 mg we wstrzyknięciu podskórnym w tygodniu 0., 1., 2., 3. i 4.</w:t>
            </w:r>
            <w:r w:rsidR="00056457">
              <w:rPr>
                <w:sz w:val="20"/>
                <w:szCs w:val="20"/>
              </w:rPr>
              <w:t>;</w:t>
            </w:r>
          </w:p>
          <w:p w14:paraId="7FFB7CF7" w14:textId="05F116F7" w:rsidR="00824BFB" w:rsidRPr="00C20995" w:rsidRDefault="00056457" w:rsidP="0053330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056457">
              <w:rPr>
                <w:sz w:val="20"/>
                <w:szCs w:val="20"/>
              </w:rPr>
              <w:t>dawka</w:t>
            </w:r>
            <w:r>
              <w:rPr>
                <w:sz w:val="20"/>
                <w:szCs w:val="20"/>
              </w:rPr>
              <w:t xml:space="preserve"> podtrzymująca </w:t>
            </w:r>
            <w:r w:rsidRPr="00056457">
              <w:rPr>
                <w:sz w:val="20"/>
                <w:szCs w:val="20"/>
              </w:rPr>
              <w:t xml:space="preserve">zalecana i jednocześnie maksymalna to podanie </w:t>
            </w:r>
            <w:r>
              <w:rPr>
                <w:sz w:val="20"/>
                <w:szCs w:val="20"/>
              </w:rPr>
              <w:t>150 mg</w:t>
            </w:r>
            <w:r w:rsidR="00824BFB" w:rsidRPr="00824BFB">
              <w:rPr>
                <w:sz w:val="20"/>
                <w:szCs w:val="20"/>
              </w:rPr>
              <w:t xml:space="preserve"> co</w:t>
            </w:r>
            <w:r>
              <w:rPr>
                <w:sz w:val="20"/>
                <w:szCs w:val="20"/>
              </w:rPr>
              <w:t xml:space="preserve"> </w:t>
            </w:r>
            <w:r w:rsidR="00824BFB" w:rsidRPr="00824BFB">
              <w:rPr>
                <w:sz w:val="20"/>
                <w:szCs w:val="20"/>
              </w:rPr>
              <w:t>mies</w:t>
            </w:r>
            <w:r>
              <w:rPr>
                <w:sz w:val="20"/>
                <w:szCs w:val="20"/>
              </w:rPr>
              <w:t>iąc.</w:t>
            </w:r>
          </w:p>
          <w:p w14:paraId="011A2F3A" w14:textId="57858178" w:rsidR="00824BFB" w:rsidRPr="00C20995" w:rsidRDefault="00824BFB" w:rsidP="00F66FD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C20995">
              <w:rPr>
                <w:b/>
                <w:bCs/>
                <w:color w:val="000000" w:themeColor="text1"/>
                <w:sz w:val="20"/>
                <w:szCs w:val="20"/>
              </w:rPr>
              <w:t>u</w:t>
            </w:r>
            <w:r w:rsidR="00371B0F" w:rsidRPr="00C20995">
              <w:rPr>
                <w:b/>
                <w:bCs/>
                <w:color w:val="000000" w:themeColor="text1"/>
                <w:sz w:val="20"/>
                <w:szCs w:val="20"/>
              </w:rPr>
              <w:t>padacytynib</w:t>
            </w:r>
            <w:proofErr w:type="spellEnd"/>
          </w:p>
          <w:p w14:paraId="63248452" w14:textId="3BF41E10" w:rsidR="00BB51BB" w:rsidRPr="00BB51BB" w:rsidRDefault="00824BFB" w:rsidP="00BB51BB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sz w:val="20"/>
                <w:szCs w:val="20"/>
              </w:rPr>
            </w:pPr>
            <w:r w:rsidRPr="00824BFB">
              <w:rPr>
                <w:color w:val="000000" w:themeColor="text1"/>
                <w:sz w:val="20"/>
                <w:szCs w:val="20"/>
              </w:rPr>
              <w:t>dawka zalecana i jednocześnie maksymalna to poda</w:t>
            </w:r>
            <w:r>
              <w:rPr>
                <w:color w:val="000000" w:themeColor="text1"/>
                <w:sz w:val="20"/>
                <w:szCs w:val="20"/>
              </w:rPr>
              <w:t>nie</w:t>
            </w:r>
            <w:r w:rsidRPr="00824BFB">
              <w:rPr>
                <w:color w:val="000000" w:themeColor="text1"/>
                <w:sz w:val="20"/>
                <w:szCs w:val="20"/>
              </w:rPr>
              <w:t xml:space="preserve"> 15 mg raz na dobę.</w:t>
            </w:r>
          </w:p>
          <w:p w14:paraId="1C1D5ABD" w14:textId="1C1FF471" w:rsidR="00BB51BB" w:rsidRPr="00BB51BB" w:rsidRDefault="00BB51BB" w:rsidP="00BB51B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  <w:r w:rsidRPr="00BB51BB">
              <w:rPr>
                <w:b/>
                <w:bCs/>
                <w:color w:val="000000" w:themeColor="text1"/>
                <w:sz w:val="20"/>
                <w:szCs w:val="20"/>
              </w:rPr>
              <w:t>imekizumab</w:t>
            </w:r>
            <w:proofErr w:type="spellEnd"/>
          </w:p>
          <w:p w14:paraId="7DB78EB8" w14:textId="750980AA" w:rsidR="00BB51BB" w:rsidRPr="006A1A40" w:rsidRDefault="00143B49" w:rsidP="006A1A40">
            <w:pPr>
              <w:pStyle w:val="Akapitzlist"/>
              <w:numPr>
                <w:ilvl w:val="4"/>
                <w:numId w:val="2"/>
              </w:numPr>
              <w:spacing w:after="60" w:line="276" w:lineRule="auto"/>
              <w:ind w:left="681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6A1A40">
              <w:rPr>
                <w:color w:val="000000" w:themeColor="text1"/>
                <w:sz w:val="20"/>
                <w:szCs w:val="20"/>
              </w:rPr>
              <w:t>zalecana i jednocześnie maksymalna dawka dla dorosłych wynosi 160 mg (podawana jako jedno podskórne wstrzyknięcie) co cztery tygodnie.</w:t>
            </w:r>
          </w:p>
          <w:p w14:paraId="574AF9FC" w14:textId="0AF6018A" w:rsidR="00824BFB" w:rsidRPr="00533308" w:rsidRDefault="00824BFB" w:rsidP="00533308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533308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2E2A90B4" w14:textId="5008C404" w:rsidR="00056457" w:rsidRPr="00C20995" w:rsidRDefault="00056457" w:rsidP="00F66FDF">
            <w:pPr>
              <w:pStyle w:val="Akapitzlist"/>
              <w:numPr>
                <w:ilvl w:val="0"/>
                <w:numId w:val="2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C20995">
              <w:rPr>
                <w:b/>
                <w:bCs/>
                <w:sz w:val="20"/>
                <w:szCs w:val="20"/>
              </w:rPr>
              <w:t>Modyfikacja dawkowania</w:t>
            </w:r>
          </w:p>
          <w:p w14:paraId="010AB30E" w14:textId="72A24FD4" w:rsidR="00056457" w:rsidRPr="00C20995" w:rsidRDefault="00056457" w:rsidP="00C2099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C20995">
              <w:rPr>
                <w:sz w:val="20"/>
                <w:szCs w:val="20"/>
              </w:rPr>
              <w:t>Sposób podawania</w:t>
            </w:r>
            <w:r w:rsidR="006E057B">
              <w:rPr>
                <w:sz w:val="20"/>
                <w:szCs w:val="20"/>
              </w:rPr>
              <w:t>, zmniejszenie dawki</w:t>
            </w:r>
            <w:r w:rsidRPr="00C20995">
              <w:rPr>
                <w:sz w:val="20"/>
                <w:szCs w:val="20"/>
              </w:rPr>
              <w:t xml:space="preserve"> oraz ewentualne czasowe wstrzymania leczenia</w:t>
            </w:r>
            <w:r w:rsidR="006E057B">
              <w:t xml:space="preserve"> </w:t>
            </w:r>
            <w:r w:rsidR="006E057B" w:rsidRPr="006E057B">
              <w:rPr>
                <w:sz w:val="20"/>
                <w:szCs w:val="20"/>
              </w:rPr>
              <w:t>lub wydłużenia odstępu pomiędzy kolejnymi dawkami u pacjentów, u których uzyskano cel terapii</w:t>
            </w:r>
            <w:r w:rsidRPr="00C20995">
              <w:rPr>
                <w:sz w:val="20"/>
                <w:szCs w:val="20"/>
              </w:rPr>
              <w:t>, prowadzone zgodnie z aktualną Charakterystyką Produktu Leczniczego (</w:t>
            </w:r>
            <w:proofErr w:type="spellStart"/>
            <w:r w:rsidRPr="00C20995">
              <w:rPr>
                <w:sz w:val="20"/>
                <w:szCs w:val="20"/>
              </w:rPr>
              <w:t>ChPL</w:t>
            </w:r>
            <w:proofErr w:type="spellEnd"/>
            <w:r w:rsidRPr="00C20995">
              <w:rPr>
                <w:sz w:val="20"/>
                <w:szCs w:val="20"/>
              </w:rPr>
              <w:t>) lub przyjętą praktyką kliniczną</w:t>
            </w:r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r w:rsidRPr="00056457">
              <w:rPr>
                <w:sz w:val="20"/>
                <w:szCs w:val="20"/>
              </w:rPr>
              <w:t>z uwzględnieniem rekomendacji EULAR/ASAS</w:t>
            </w:r>
            <w:r w:rsidR="006E057B">
              <w:rPr>
                <w:sz w:val="20"/>
                <w:szCs w:val="20"/>
              </w:rPr>
              <w:t>.</w:t>
            </w:r>
          </w:p>
          <w:p w14:paraId="28CE3F1B" w14:textId="3EE71E17" w:rsidR="00533308" w:rsidRDefault="00901064" w:rsidP="00C20995">
            <w:pPr>
              <w:pStyle w:val="Akapitzlist"/>
              <w:spacing w:after="60" w:line="276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pacjentów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zapaleniem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stawów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obwodowych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należy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rozważyć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stosowanie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certolizumabu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pegol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  <w:r w:rsidR="00F36F7C" w:rsidRPr="0031251F">
              <w:rPr>
                <w:sz w:val="20"/>
                <w:szCs w:val="20"/>
              </w:rPr>
              <w:lastRenderedPageBreak/>
              <w:t>lub</w:t>
            </w:r>
            <w:r w:rsidR="00DC40BD" w:rsidRPr="0031251F">
              <w:rPr>
                <w:sz w:val="20"/>
                <w:szCs w:val="20"/>
              </w:rPr>
              <w:t xml:space="preserve"> </w:t>
            </w:r>
            <w:proofErr w:type="spellStart"/>
            <w:r w:rsidR="00DC40BD" w:rsidRPr="0031251F">
              <w:rPr>
                <w:sz w:val="20"/>
                <w:szCs w:val="20"/>
              </w:rPr>
              <w:t>etanerceptu</w:t>
            </w:r>
            <w:proofErr w:type="spellEnd"/>
            <w:r w:rsidR="00DC40BD" w:rsidRPr="0031251F">
              <w:rPr>
                <w:sz w:val="20"/>
                <w:szCs w:val="20"/>
              </w:rPr>
              <w:t xml:space="preserve"> lub </w:t>
            </w:r>
            <w:proofErr w:type="spellStart"/>
            <w:r w:rsidR="00D57063" w:rsidRPr="0031251F">
              <w:rPr>
                <w:sz w:val="20"/>
                <w:szCs w:val="20"/>
              </w:rPr>
              <w:t>iksekizumabu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  <w:r w:rsidR="00F36F7C"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="0094053A" w:rsidRPr="0031251F">
              <w:rPr>
                <w:sz w:val="20"/>
                <w:szCs w:val="20"/>
              </w:rPr>
              <w:t>sekukinumabu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  <w:r w:rsidR="005F5549" w:rsidRPr="00CE6C1A">
              <w:rPr>
                <w:color w:val="000000" w:themeColor="text1"/>
                <w:sz w:val="20"/>
                <w:szCs w:val="20"/>
              </w:rPr>
              <w:t xml:space="preserve">lub </w:t>
            </w:r>
            <w:proofErr w:type="spellStart"/>
            <w:r w:rsidR="005F5549" w:rsidRPr="00CE6C1A">
              <w:rPr>
                <w:color w:val="000000" w:themeColor="text1"/>
                <w:sz w:val="20"/>
                <w:szCs w:val="20"/>
              </w:rPr>
              <w:t>upadacytynibu</w:t>
            </w:r>
            <w:proofErr w:type="spellEnd"/>
            <w:r w:rsidR="00674656">
              <w:rPr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="00674656">
              <w:rPr>
                <w:color w:val="000000" w:themeColor="text1"/>
                <w:sz w:val="20"/>
                <w:szCs w:val="20"/>
              </w:rPr>
              <w:t>bimekizumabu</w:t>
            </w:r>
            <w:proofErr w:type="spellEnd"/>
            <w:r w:rsidR="00674656">
              <w:rPr>
                <w:color w:val="000000" w:themeColor="text1"/>
                <w:sz w:val="20"/>
                <w:szCs w:val="20"/>
              </w:rPr>
              <w:t xml:space="preserve">, </w:t>
            </w:r>
            <w:r w:rsidR="00F36F7C" w:rsidRPr="00165CB7">
              <w:rPr>
                <w:sz w:val="20"/>
                <w:szCs w:val="20"/>
              </w:rPr>
              <w:t>łącznie</w:t>
            </w:r>
            <w:r w:rsidR="00273620" w:rsidRPr="00165CB7">
              <w:rPr>
                <w:sz w:val="20"/>
                <w:szCs w:val="20"/>
              </w:rPr>
              <w:t xml:space="preserve"> </w:t>
            </w:r>
            <w:r w:rsidRPr="00165CB7">
              <w:rPr>
                <w:sz w:val="20"/>
                <w:szCs w:val="20"/>
              </w:rPr>
              <w:t>z</w:t>
            </w:r>
            <w:r w:rsidR="00273620" w:rsidRPr="00165CB7">
              <w:rPr>
                <w:sz w:val="20"/>
                <w:szCs w:val="20"/>
              </w:rPr>
              <w:t xml:space="preserve"> </w:t>
            </w:r>
            <w:proofErr w:type="spellStart"/>
            <w:r w:rsidRPr="00165CB7">
              <w:rPr>
                <w:sz w:val="20"/>
                <w:szCs w:val="20"/>
              </w:rPr>
              <w:t>metotreksatem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sz w:val="20"/>
                <w:szCs w:val="20"/>
              </w:rPr>
              <w:t>sulfasalazyną</w:t>
            </w:r>
            <w:proofErr w:type="spellEnd"/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skutecznych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klinicznie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dobrze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tolerowanych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dawkach.</w:t>
            </w:r>
          </w:p>
          <w:p w14:paraId="0EEDAE94" w14:textId="77777777" w:rsidR="00533308" w:rsidRDefault="00533308" w:rsidP="00C20995">
            <w:pPr>
              <w:pStyle w:val="Akapitzlist"/>
              <w:spacing w:after="60" w:line="276" w:lineRule="auto"/>
              <w:ind w:left="0"/>
              <w:contextualSpacing w:val="0"/>
              <w:jc w:val="both"/>
              <w:rPr>
                <w:sz w:val="20"/>
                <w:szCs w:val="20"/>
              </w:rPr>
            </w:pPr>
          </w:p>
          <w:p w14:paraId="3106B9FE" w14:textId="14EF72C6" w:rsidR="00402138" w:rsidRPr="00626C4F" w:rsidRDefault="00626C4F" w:rsidP="00F66FDF">
            <w:pPr>
              <w:pStyle w:val="Akapitzlist"/>
              <w:numPr>
                <w:ilvl w:val="0"/>
                <w:numId w:val="2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26C4F">
              <w:rPr>
                <w:b/>
                <w:bCs/>
                <w:sz w:val="20"/>
                <w:szCs w:val="20"/>
              </w:rPr>
              <w:t>Kontynuacja leczenia w warunkach domowych</w:t>
            </w:r>
          </w:p>
          <w:p w14:paraId="4EAC2B13" w14:textId="40239B39" w:rsidR="00D660F1" w:rsidRPr="00D660F1" w:rsidRDefault="00D660F1" w:rsidP="004C318E">
            <w:pPr>
              <w:spacing w:after="60" w:line="276" w:lineRule="auto"/>
              <w:ind w:left="-43"/>
              <w:jc w:val="both"/>
              <w:rPr>
                <w:sz w:val="20"/>
                <w:szCs w:val="20"/>
              </w:rPr>
            </w:pPr>
            <w:r w:rsidRPr="00D660F1">
              <w:rPr>
                <w:sz w:val="20"/>
                <w:szCs w:val="20"/>
              </w:rPr>
              <w:t>Pacjent odbywa w ośrodku minimum trzy wizyty monitorujące (z wynikami badań i oceną efektywności leczenia) od początku leczenia. Po uzyskaniu celu leczenia (niskiej aktywności lub remisji) i utrzymywania się tego stanu minimum 6 miesięcy możliwe jest wydawanie leku do kolejnej wizyty monitorującej. Leczenie może być kontynuowane w warunkach domowych, jeśli lekarz i pacjent uznają to za właściwe. Na pierwszej wizycie z podaniem leku w ośrodku pacjent lub opiekunowie prawni pacjenta otrzymują wyczerpującą informację na temat techniki podawania leków stosowanych pozajelitowo oraz potencjalnych objawach niepożądanych związanych ze stosowanym leczeniem.</w:t>
            </w:r>
          </w:p>
          <w:p w14:paraId="55BB0941" w14:textId="7D543911" w:rsidR="00CA4C90" w:rsidRPr="0031251F" w:rsidRDefault="00D660F1" w:rsidP="006A1A40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D660F1">
              <w:rPr>
                <w:sz w:val="20"/>
                <w:szCs w:val="20"/>
              </w:rPr>
              <w:t xml:space="preserve">Pacjent otrzymuje leki dla celów terapii domowej w ośrodku prowadzącym terapię w programie lekowym danego pacjenta na okres pomiędzy wizytami w ośrodku. </w:t>
            </w:r>
          </w:p>
          <w:p w14:paraId="035EDD95" w14:textId="77777777" w:rsidR="00CA4C90" w:rsidRPr="0031251F" w:rsidRDefault="00CA4C90" w:rsidP="0031251F">
            <w:pPr>
              <w:pStyle w:val="Default"/>
              <w:spacing w:after="60"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673DDF" w14:textId="7F425356" w:rsidR="00CA4C90" w:rsidRPr="0031251F" w:rsidRDefault="00901064" w:rsidP="00F66FDF">
            <w:pPr>
              <w:pStyle w:val="Akapitzlist"/>
              <w:numPr>
                <w:ilvl w:val="0"/>
                <w:numId w:val="3"/>
              </w:numPr>
              <w:spacing w:before="120"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1251F">
              <w:rPr>
                <w:b/>
                <w:sz w:val="20"/>
                <w:szCs w:val="20"/>
              </w:rPr>
              <w:lastRenderedPageBreak/>
              <w:t>Badania</w:t>
            </w:r>
            <w:r w:rsidR="00273620" w:rsidRPr="0031251F">
              <w:rPr>
                <w:b/>
                <w:sz w:val="20"/>
                <w:szCs w:val="20"/>
              </w:rPr>
              <w:t xml:space="preserve"> </w:t>
            </w:r>
            <w:r w:rsidRPr="0031251F">
              <w:rPr>
                <w:b/>
                <w:sz w:val="20"/>
                <w:szCs w:val="20"/>
              </w:rPr>
              <w:t>przy</w:t>
            </w:r>
            <w:r w:rsidR="00273620" w:rsidRPr="0031251F">
              <w:rPr>
                <w:b/>
                <w:sz w:val="20"/>
                <w:szCs w:val="20"/>
              </w:rPr>
              <w:t xml:space="preserve"> </w:t>
            </w:r>
            <w:r w:rsidRPr="0031251F">
              <w:rPr>
                <w:b/>
                <w:sz w:val="20"/>
                <w:szCs w:val="20"/>
              </w:rPr>
              <w:t>kwalifikacji</w:t>
            </w:r>
          </w:p>
          <w:p w14:paraId="38BD7C50" w14:textId="652B2539" w:rsidR="00CA4C90" w:rsidRPr="0031251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oznaczenie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antygenu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HLA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B27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kiedykolwiek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w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przeszłości;</w:t>
            </w:r>
          </w:p>
          <w:p w14:paraId="5856DCE8" w14:textId="66C44DC7" w:rsidR="00CA4C90" w:rsidRPr="00CE6C1A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31251F">
              <w:rPr>
                <w:bCs/>
                <w:iCs/>
                <w:sz w:val="20"/>
                <w:szCs w:val="20"/>
              </w:rPr>
              <w:t>morfologia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krwi</w:t>
            </w:r>
            <w:r w:rsidR="00371B0F" w:rsidRPr="00CE6C1A">
              <w:rPr>
                <w:bCs/>
                <w:iCs/>
                <w:color w:val="000000" w:themeColor="text1"/>
                <w:sz w:val="20"/>
                <w:szCs w:val="20"/>
              </w:rPr>
              <w:t>,</w:t>
            </w:r>
            <w:r w:rsidR="00B6777D">
              <w:rPr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71B0F" w:rsidRPr="00CE6C1A">
              <w:rPr>
                <w:bCs/>
                <w:iCs/>
                <w:color w:val="000000" w:themeColor="text1"/>
                <w:sz w:val="20"/>
                <w:szCs w:val="20"/>
              </w:rPr>
              <w:t xml:space="preserve">a w przypadku pacjentów kwalifikowanych do leczenia </w:t>
            </w:r>
            <w:proofErr w:type="spellStart"/>
            <w:r w:rsidR="00371B0F" w:rsidRPr="00CE6C1A">
              <w:rPr>
                <w:bCs/>
                <w:iCs/>
                <w:color w:val="000000" w:themeColor="text1"/>
                <w:sz w:val="20"/>
                <w:szCs w:val="20"/>
              </w:rPr>
              <w:t>upadacytynibem</w:t>
            </w:r>
            <w:proofErr w:type="spellEnd"/>
            <w:r w:rsidR="00626C4F">
              <w:rPr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71B0F" w:rsidRPr="00CE6C1A">
              <w:rPr>
                <w:bCs/>
                <w:iCs/>
                <w:color w:val="000000" w:themeColor="text1"/>
                <w:sz w:val="20"/>
                <w:szCs w:val="20"/>
              </w:rPr>
              <w:t>- morfologia krwi z oznaczeniem bezwzględnej liczby granulocytów i limfocytów</w:t>
            </w:r>
            <w:r w:rsidR="00EC1042" w:rsidRPr="00CE6C1A">
              <w:rPr>
                <w:bCs/>
                <w:iCs/>
                <w:color w:val="000000" w:themeColor="text1"/>
                <w:sz w:val="20"/>
                <w:szCs w:val="20"/>
              </w:rPr>
              <w:t>;</w:t>
            </w:r>
          </w:p>
          <w:p w14:paraId="176593F0" w14:textId="68A6F6C2" w:rsidR="00CA4C90" w:rsidRPr="0031251F" w:rsidRDefault="00B6777D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 xml:space="preserve">oznaczenie </w:t>
            </w:r>
            <w:r w:rsidR="00901064" w:rsidRPr="0031251F">
              <w:rPr>
                <w:bCs/>
                <w:iCs/>
                <w:sz w:val="20"/>
                <w:szCs w:val="20"/>
              </w:rPr>
              <w:t>pły</w:t>
            </w:r>
            <w:r>
              <w:rPr>
                <w:bCs/>
                <w:iCs/>
                <w:sz w:val="20"/>
                <w:szCs w:val="20"/>
              </w:rPr>
              <w:t>tek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="00901064" w:rsidRPr="0031251F">
              <w:rPr>
                <w:bCs/>
                <w:iCs/>
                <w:sz w:val="20"/>
                <w:szCs w:val="20"/>
              </w:rPr>
              <w:t>krwi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="00901064" w:rsidRPr="0031251F">
              <w:rPr>
                <w:bCs/>
                <w:iCs/>
                <w:sz w:val="20"/>
                <w:szCs w:val="20"/>
              </w:rPr>
              <w:t>(PLT);</w:t>
            </w:r>
          </w:p>
          <w:p w14:paraId="2EE927FE" w14:textId="1FF4AD41" w:rsidR="00CA4C90" w:rsidRPr="0031251F" w:rsidRDefault="00B6777D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B6777D">
              <w:rPr>
                <w:bCs/>
                <w:iCs/>
                <w:sz w:val="20"/>
                <w:szCs w:val="20"/>
              </w:rPr>
              <w:t>oznaczenie wartości odczynu Biernackiego (OB)</w:t>
            </w:r>
            <w:r w:rsidR="00901064" w:rsidRPr="0031251F">
              <w:rPr>
                <w:bCs/>
                <w:iCs/>
                <w:sz w:val="20"/>
                <w:szCs w:val="20"/>
              </w:rPr>
              <w:t>;</w:t>
            </w:r>
          </w:p>
          <w:p w14:paraId="0B80E7D0" w14:textId="08A7576E" w:rsidR="00B6777D" w:rsidRPr="00B6777D" w:rsidRDefault="00B6777D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B6777D">
              <w:rPr>
                <w:bCs/>
                <w:iCs/>
                <w:sz w:val="20"/>
                <w:szCs w:val="20"/>
              </w:rPr>
              <w:t>oznaczenie aktywności aminotransferazy alaninowej (ALT)</w:t>
            </w:r>
            <w:r w:rsidR="00626C4F">
              <w:rPr>
                <w:bCs/>
                <w:iCs/>
                <w:sz w:val="20"/>
                <w:szCs w:val="20"/>
              </w:rPr>
              <w:t>;</w:t>
            </w:r>
          </w:p>
          <w:p w14:paraId="1AAB30C5" w14:textId="11ECCC29" w:rsidR="00CA4C90" w:rsidRPr="0031251F" w:rsidRDefault="00B6777D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C20995">
              <w:rPr>
                <w:bCs/>
                <w:iCs/>
                <w:sz w:val="20"/>
                <w:szCs w:val="20"/>
              </w:rPr>
              <w:t xml:space="preserve">oznaczenie aktywności aminotransferazy </w:t>
            </w:r>
            <w:proofErr w:type="spellStart"/>
            <w:r w:rsidRPr="00C20995">
              <w:rPr>
                <w:bCs/>
                <w:iCs/>
                <w:sz w:val="20"/>
                <w:szCs w:val="20"/>
              </w:rPr>
              <w:t>asparaginianowej</w:t>
            </w:r>
            <w:proofErr w:type="spellEnd"/>
            <w:r w:rsidRPr="00C20995">
              <w:rPr>
                <w:bCs/>
                <w:iCs/>
                <w:sz w:val="20"/>
                <w:szCs w:val="20"/>
              </w:rPr>
              <w:t xml:space="preserve"> (AST</w:t>
            </w:r>
            <w:r w:rsidR="00901064" w:rsidRPr="0031251F">
              <w:rPr>
                <w:bCs/>
                <w:iCs/>
                <w:sz w:val="20"/>
                <w:szCs w:val="20"/>
              </w:rPr>
              <w:t>);</w:t>
            </w:r>
          </w:p>
          <w:p w14:paraId="347AC059" w14:textId="63A44E93" w:rsidR="00CA4C90" w:rsidRPr="0031251F" w:rsidRDefault="00B6777D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B6777D">
              <w:rPr>
                <w:bCs/>
                <w:iCs/>
                <w:sz w:val="20"/>
                <w:szCs w:val="20"/>
              </w:rPr>
              <w:t>oznaczenie stężenia kreatyniny w surowicy krwi</w:t>
            </w:r>
            <w:r w:rsidR="00901064" w:rsidRPr="0031251F">
              <w:rPr>
                <w:bCs/>
                <w:iCs/>
                <w:sz w:val="20"/>
                <w:szCs w:val="20"/>
              </w:rPr>
              <w:t>;</w:t>
            </w:r>
          </w:p>
          <w:p w14:paraId="6431D472" w14:textId="76A8746B" w:rsidR="00CA4C90" w:rsidRPr="0031251F" w:rsidRDefault="00B6777D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B6777D">
              <w:rPr>
                <w:bCs/>
                <w:iCs/>
                <w:sz w:val="20"/>
                <w:szCs w:val="20"/>
              </w:rPr>
              <w:t>oznaczenie stężenia białka C-reaktywnego (CRP)</w:t>
            </w:r>
            <w:r w:rsidR="00901064" w:rsidRPr="0031251F">
              <w:rPr>
                <w:bCs/>
                <w:iCs/>
                <w:sz w:val="20"/>
                <w:szCs w:val="20"/>
              </w:rPr>
              <w:t>;</w:t>
            </w:r>
          </w:p>
          <w:p w14:paraId="0A56F042" w14:textId="77777777" w:rsidR="00626C4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31251F">
              <w:rPr>
                <w:bCs/>
                <w:iCs/>
                <w:sz w:val="20"/>
                <w:szCs w:val="20"/>
              </w:rPr>
              <w:t>badanie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ogólne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moczu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(do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decyzji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lekarza);</w:t>
            </w:r>
          </w:p>
          <w:p w14:paraId="0A698FE1" w14:textId="10A44E27" w:rsidR="00CA4C90" w:rsidRPr="00626C4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626C4F">
              <w:rPr>
                <w:bCs/>
                <w:iCs/>
                <w:sz w:val="20"/>
                <w:szCs w:val="20"/>
              </w:rPr>
              <w:t>próba</w:t>
            </w:r>
            <w:r w:rsidR="00273620" w:rsidRPr="00626C4F">
              <w:rPr>
                <w:bCs/>
                <w:iCs/>
                <w:sz w:val="20"/>
                <w:szCs w:val="20"/>
              </w:rPr>
              <w:t xml:space="preserve"> </w:t>
            </w:r>
            <w:r w:rsidRPr="00626C4F">
              <w:rPr>
                <w:bCs/>
                <w:iCs/>
                <w:sz w:val="20"/>
                <w:szCs w:val="20"/>
              </w:rPr>
              <w:t>tuberkulinowa</w:t>
            </w:r>
            <w:r w:rsidR="00273620" w:rsidRPr="00626C4F">
              <w:rPr>
                <w:bCs/>
                <w:iCs/>
                <w:sz w:val="20"/>
                <w:szCs w:val="20"/>
              </w:rPr>
              <w:t xml:space="preserve"> </w:t>
            </w:r>
            <w:r w:rsidRPr="00626C4F">
              <w:rPr>
                <w:bCs/>
                <w:iCs/>
                <w:sz w:val="20"/>
                <w:szCs w:val="20"/>
              </w:rPr>
              <w:t>lub</w:t>
            </w:r>
            <w:r w:rsidR="00273620" w:rsidRPr="00626C4F">
              <w:rPr>
                <w:bCs/>
                <w:iCs/>
                <w:sz w:val="20"/>
                <w:szCs w:val="20"/>
              </w:rPr>
              <w:t xml:space="preserve"> </w:t>
            </w:r>
            <w:r w:rsidRPr="00626C4F">
              <w:rPr>
                <w:bCs/>
                <w:iCs/>
                <w:sz w:val="20"/>
                <w:szCs w:val="20"/>
              </w:rPr>
              <w:t>test</w:t>
            </w:r>
            <w:r w:rsidR="00273620" w:rsidRPr="00626C4F">
              <w:rPr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26C4F">
              <w:rPr>
                <w:bCs/>
                <w:iCs/>
                <w:sz w:val="20"/>
                <w:szCs w:val="20"/>
              </w:rPr>
              <w:t>Quantiferon</w:t>
            </w:r>
            <w:proofErr w:type="spellEnd"/>
            <w:r w:rsidRPr="00626C4F">
              <w:rPr>
                <w:bCs/>
                <w:iCs/>
                <w:sz w:val="20"/>
                <w:szCs w:val="20"/>
              </w:rPr>
              <w:t>;</w:t>
            </w:r>
          </w:p>
          <w:p w14:paraId="34AB35FB" w14:textId="77777777" w:rsidR="00626C4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31251F">
              <w:rPr>
                <w:bCs/>
                <w:iCs/>
                <w:sz w:val="20"/>
                <w:szCs w:val="20"/>
              </w:rPr>
              <w:lastRenderedPageBreak/>
              <w:t>obecność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antygenu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31251F">
              <w:rPr>
                <w:bCs/>
                <w:iCs/>
                <w:sz w:val="20"/>
                <w:szCs w:val="20"/>
              </w:rPr>
              <w:t>HBs</w:t>
            </w:r>
            <w:proofErr w:type="spellEnd"/>
            <w:r w:rsidRPr="0031251F">
              <w:rPr>
                <w:bCs/>
                <w:iCs/>
                <w:sz w:val="20"/>
                <w:szCs w:val="20"/>
              </w:rPr>
              <w:t>;</w:t>
            </w:r>
          </w:p>
          <w:p w14:paraId="4D0BF4FA" w14:textId="2B60311B" w:rsidR="00626C4F" w:rsidRDefault="00626C4F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626C4F">
              <w:rPr>
                <w:bCs/>
                <w:iCs/>
                <w:sz w:val="20"/>
                <w:szCs w:val="20"/>
              </w:rPr>
              <w:t>p</w:t>
            </w:r>
            <w:r w:rsidR="002C6FEB" w:rsidRPr="00626C4F">
              <w:rPr>
                <w:bCs/>
                <w:iCs/>
                <w:sz w:val="20"/>
                <w:szCs w:val="20"/>
              </w:rPr>
              <w:t>rzeciwciała anty-</w:t>
            </w:r>
            <w:proofErr w:type="spellStart"/>
            <w:r w:rsidR="002C6FEB" w:rsidRPr="00626C4F">
              <w:rPr>
                <w:bCs/>
                <w:iCs/>
                <w:sz w:val="20"/>
                <w:szCs w:val="20"/>
              </w:rPr>
              <w:t>Hbc</w:t>
            </w:r>
            <w:proofErr w:type="spellEnd"/>
            <w:r>
              <w:rPr>
                <w:bCs/>
                <w:iCs/>
                <w:sz w:val="20"/>
                <w:szCs w:val="20"/>
              </w:rPr>
              <w:t>;</w:t>
            </w:r>
          </w:p>
          <w:p w14:paraId="2BC3D018" w14:textId="1A9479A8" w:rsidR="00CA4C90" w:rsidRPr="00626C4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626C4F">
              <w:rPr>
                <w:bCs/>
                <w:iCs/>
                <w:sz w:val="20"/>
                <w:szCs w:val="20"/>
              </w:rPr>
              <w:t>przeciwciała</w:t>
            </w:r>
            <w:r w:rsidR="00273620" w:rsidRPr="00626C4F">
              <w:rPr>
                <w:bCs/>
                <w:iCs/>
                <w:sz w:val="20"/>
                <w:szCs w:val="20"/>
              </w:rPr>
              <w:t xml:space="preserve"> </w:t>
            </w:r>
            <w:r w:rsidRPr="00626C4F">
              <w:rPr>
                <w:bCs/>
                <w:iCs/>
                <w:sz w:val="20"/>
                <w:szCs w:val="20"/>
              </w:rPr>
              <w:t>anty-HCV;</w:t>
            </w:r>
          </w:p>
          <w:p w14:paraId="1212EA5C" w14:textId="03897856" w:rsidR="00CA4C90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31251F">
              <w:rPr>
                <w:bCs/>
                <w:iCs/>
                <w:sz w:val="20"/>
                <w:szCs w:val="20"/>
              </w:rPr>
              <w:t>obecność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antygenu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wirusa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HIV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(HIV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Ag/Ab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Combo);</w:t>
            </w:r>
          </w:p>
          <w:p w14:paraId="4BDA22F4" w14:textId="3787177F" w:rsidR="00371B0F" w:rsidRPr="00CE6C1A" w:rsidRDefault="00237577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237577">
              <w:rPr>
                <w:bCs/>
                <w:iCs/>
                <w:color w:val="000000" w:themeColor="text1"/>
                <w:sz w:val="20"/>
                <w:szCs w:val="20"/>
              </w:rPr>
              <w:t xml:space="preserve">oznaczenie stężenia cholesterolu całkowitego, cholesterolu HDL, cholesterolu LDL i </w:t>
            </w:r>
            <w:proofErr w:type="spellStart"/>
            <w:r w:rsidRPr="00237577">
              <w:rPr>
                <w:bCs/>
                <w:iCs/>
                <w:color w:val="000000" w:themeColor="text1"/>
                <w:sz w:val="20"/>
                <w:szCs w:val="20"/>
              </w:rPr>
              <w:t>triglicerydów</w:t>
            </w:r>
            <w:proofErr w:type="spellEnd"/>
            <w:r w:rsidRPr="00237577">
              <w:rPr>
                <w:bCs/>
                <w:i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237577">
              <w:rPr>
                <w:bCs/>
                <w:iCs/>
                <w:color w:val="000000" w:themeColor="text1"/>
                <w:sz w:val="20"/>
                <w:szCs w:val="20"/>
              </w:rPr>
              <w:t>lipidogram</w:t>
            </w:r>
            <w:proofErr w:type="spellEnd"/>
            <w:r w:rsidRPr="00237577">
              <w:rPr>
                <w:bCs/>
                <w:iCs/>
                <w:color w:val="000000" w:themeColor="text1"/>
                <w:sz w:val="20"/>
                <w:szCs w:val="20"/>
              </w:rPr>
              <w:t>)</w:t>
            </w:r>
            <w:r w:rsidR="00371B0F" w:rsidRPr="00CE6C1A">
              <w:rPr>
                <w:bCs/>
                <w:iCs/>
                <w:color w:val="000000" w:themeColor="text1"/>
                <w:sz w:val="20"/>
                <w:szCs w:val="20"/>
              </w:rPr>
              <w:t xml:space="preserve">- u pacjentów kwalifikowanych do leczenia </w:t>
            </w:r>
            <w:proofErr w:type="spellStart"/>
            <w:r w:rsidR="00371B0F" w:rsidRPr="00CE6C1A">
              <w:rPr>
                <w:bCs/>
                <w:iCs/>
                <w:color w:val="000000" w:themeColor="text1"/>
                <w:sz w:val="20"/>
                <w:szCs w:val="20"/>
              </w:rPr>
              <w:t>upadacytynibem</w:t>
            </w:r>
            <w:proofErr w:type="spellEnd"/>
            <w:r w:rsidR="00371B0F" w:rsidRPr="00CE6C1A">
              <w:rPr>
                <w:bCs/>
                <w:iCs/>
                <w:color w:val="000000" w:themeColor="text1"/>
                <w:sz w:val="20"/>
                <w:szCs w:val="20"/>
              </w:rPr>
              <w:t>;</w:t>
            </w:r>
          </w:p>
          <w:p w14:paraId="7AB58364" w14:textId="4F51215B" w:rsidR="00CA4C90" w:rsidRPr="0031251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31251F">
              <w:rPr>
                <w:bCs/>
                <w:iCs/>
                <w:sz w:val="20"/>
                <w:szCs w:val="20"/>
              </w:rPr>
              <w:t>RTG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klatki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piersiowej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z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opisem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(maksymalnie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do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6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miesięcy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przed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kwalifikacją);</w:t>
            </w:r>
          </w:p>
          <w:p w14:paraId="207E8778" w14:textId="32E44F82" w:rsidR="00CA4C90" w:rsidRPr="0031251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31251F">
              <w:rPr>
                <w:bCs/>
                <w:iCs/>
                <w:sz w:val="20"/>
                <w:szCs w:val="20"/>
              </w:rPr>
              <w:t>EKG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z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opisem;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</w:p>
          <w:p w14:paraId="311FCF0D" w14:textId="714248A9" w:rsidR="00CA4C90" w:rsidRPr="0031251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31251F">
              <w:rPr>
                <w:bCs/>
                <w:iCs/>
                <w:sz w:val="20"/>
                <w:szCs w:val="20"/>
              </w:rPr>
              <w:t>badanie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obrazowe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RTG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stawów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krzyżowo-biodrowych;</w:t>
            </w:r>
          </w:p>
          <w:p w14:paraId="2C56F200" w14:textId="66ECFF25" w:rsidR="00CA4C90" w:rsidRPr="0031251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31251F">
              <w:rPr>
                <w:bCs/>
                <w:iCs/>
                <w:sz w:val="20"/>
                <w:szCs w:val="20"/>
              </w:rPr>
              <w:t>MR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stawów</w:t>
            </w:r>
            <w:r w:rsidR="00273620" w:rsidRPr="0031251F">
              <w:rPr>
                <w:bCs/>
                <w:iCs/>
                <w:sz w:val="20"/>
                <w:szCs w:val="20"/>
              </w:rPr>
              <w:t xml:space="preserve"> </w:t>
            </w:r>
            <w:r w:rsidRPr="0031251F">
              <w:rPr>
                <w:bCs/>
                <w:iCs/>
                <w:sz w:val="20"/>
                <w:szCs w:val="20"/>
              </w:rPr>
              <w:t>krzyżowo-biodrowych.</w:t>
            </w:r>
          </w:p>
          <w:p w14:paraId="1E8EC065" w14:textId="77777777" w:rsidR="00CA4C90" w:rsidRPr="0031251F" w:rsidRDefault="00CA4C90" w:rsidP="00C418E1">
            <w:pPr>
              <w:spacing w:after="60" w:line="276" w:lineRule="auto"/>
              <w:ind w:left="180"/>
              <w:jc w:val="both"/>
              <w:rPr>
                <w:bCs/>
                <w:iCs/>
                <w:sz w:val="20"/>
                <w:szCs w:val="20"/>
              </w:rPr>
            </w:pPr>
          </w:p>
          <w:p w14:paraId="6577A6B9" w14:textId="38E7181E" w:rsidR="00CA4C90" w:rsidRPr="0031251F" w:rsidRDefault="00901064" w:rsidP="00F66FDF">
            <w:pPr>
              <w:pStyle w:val="Akapitzlist"/>
              <w:numPr>
                <w:ilvl w:val="0"/>
                <w:numId w:val="3"/>
              </w:numPr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1251F">
              <w:rPr>
                <w:b/>
                <w:sz w:val="20"/>
                <w:szCs w:val="20"/>
              </w:rPr>
              <w:t>Monitorowanie</w:t>
            </w:r>
            <w:r w:rsidR="00273620" w:rsidRPr="0031251F">
              <w:rPr>
                <w:b/>
                <w:sz w:val="20"/>
                <w:szCs w:val="20"/>
              </w:rPr>
              <w:t xml:space="preserve"> </w:t>
            </w:r>
            <w:r w:rsidRPr="0031251F">
              <w:rPr>
                <w:b/>
                <w:sz w:val="20"/>
                <w:szCs w:val="20"/>
              </w:rPr>
              <w:t>leczenia</w:t>
            </w:r>
          </w:p>
          <w:p w14:paraId="3A4404B6" w14:textId="772B77D6" w:rsidR="00CA4C90" w:rsidRPr="00626C4F" w:rsidRDefault="00901064" w:rsidP="00C418E1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626C4F">
              <w:rPr>
                <w:sz w:val="20"/>
                <w:szCs w:val="20"/>
              </w:rPr>
              <w:t>Po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="00F67DD2" w:rsidRPr="00626C4F">
              <w:rPr>
                <w:sz w:val="20"/>
                <w:szCs w:val="20"/>
              </w:rPr>
              <w:t>3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="00F67DD2" w:rsidRPr="00626C4F">
              <w:rPr>
                <w:sz w:val="20"/>
                <w:szCs w:val="20"/>
              </w:rPr>
              <w:t>miesiącach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(±</w:t>
            </w:r>
            <w:r w:rsidR="00F67DD2" w:rsidRPr="00626C4F">
              <w:rPr>
                <w:sz w:val="20"/>
                <w:szCs w:val="20"/>
              </w:rPr>
              <w:t>1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="00F67DD2" w:rsidRPr="00626C4F">
              <w:rPr>
                <w:sz w:val="20"/>
                <w:szCs w:val="20"/>
              </w:rPr>
              <w:t>miesiąc</w:t>
            </w:r>
            <w:r w:rsidRPr="00626C4F">
              <w:rPr>
                <w:sz w:val="20"/>
                <w:szCs w:val="20"/>
              </w:rPr>
              <w:t>)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i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="00F67DD2" w:rsidRPr="00626C4F">
              <w:rPr>
                <w:sz w:val="20"/>
                <w:szCs w:val="20"/>
              </w:rPr>
              <w:t>6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="00F67DD2" w:rsidRPr="00626C4F">
              <w:rPr>
                <w:sz w:val="20"/>
                <w:szCs w:val="20"/>
              </w:rPr>
              <w:t>miesiącach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(±</w:t>
            </w:r>
            <w:r w:rsidR="00F67DD2" w:rsidRPr="00626C4F">
              <w:rPr>
                <w:sz w:val="20"/>
                <w:szCs w:val="20"/>
              </w:rPr>
              <w:t>1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="00F67DD2" w:rsidRPr="00626C4F">
              <w:rPr>
                <w:sz w:val="20"/>
                <w:szCs w:val="20"/>
              </w:rPr>
              <w:t>miesiąc</w:t>
            </w:r>
            <w:r w:rsidRPr="00626C4F">
              <w:rPr>
                <w:sz w:val="20"/>
                <w:szCs w:val="20"/>
              </w:rPr>
              <w:t>)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od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pierwszego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podania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substancji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czynnej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należy</w:t>
            </w:r>
            <w:r w:rsidR="00273620" w:rsidRPr="00626C4F">
              <w:rPr>
                <w:sz w:val="20"/>
                <w:szCs w:val="20"/>
              </w:rPr>
              <w:t xml:space="preserve"> </w:t>
            </w:r>
            <w:r w:rsidRPr="00626C4F">
              <w:rPr>
                <w:sz w:val="20"/>
                <w:szCs w:val="20"/>
              </w:rPr>
              <w:t>wykonać:</w:t>
            </w:r>
          </w:p>
          <w:p w14:paraId="5E759D78" w14:textId="362E2973" w:rsidR="00CA4C90" w:rsidRPr="00533308" w:rsidRDefault="00901064" w:rsidP="00533308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>morfologię</w:t>
            </w:r>
            <w:r w:rsidR="00273620" w:rsidRPr="00533308">
              <w:rPr>
                <w:bCs/>
                <w:iCs/>
                <w:sz w:val="20"/>
                <w:szCs w:val="20"/>
              </w:rPr>
              <w:t xml:space="preserve"> </w:t>
            </w:r>
            <w:r w:rsidRPr="00533308">
              <w:rPr>
                <w:bCs/>
                <w:iCs/>
                <w:sz w:val="20"/>
                <w:szCs w:val="20"/>
              </w:rPr>
              <w:t>krwi</w:t>
            </w:r>
            <w:r w:rsidR="00371B0F" w:rsidRPr="00533308">
              <w:rPr>
                <w:bCs/>
                <w:iCs/>
                <w:sz w:val="20"/>
                <w:szCs w:val="20"/>
              </w:rPr>
              <w:t xml:space="preserve">, a w przypadku pacjentów kwalifikowanych do leczenia </w:t>
            </w:r>
            <w:proofErr w:type="spellStart"/>
            <w:r w:rsidR="00371B0F" w:rsidRPr="00533308">
              <w:rPr>
                <w:bCs/>
                <w:iCs/>
                <w:sz w:val="20"/>
                <w:szCs w:val="20"/>
              </w:rPr>
              <w:t>upadacytynibem</w:t>
            </w:r>
            <w:proofErr w:type="spellEnd"/>
            <w:r w:rsidR="00371B0F" w:rsidRPr="00533308">
              <w:rPr>
                <w:bCs/>
                <w:iCs/>
                <w:sz w:val="20"/>
                <w:szCs w:val="20"/>
              </w:rPr>
              <w:t xml:space="preserve"> morfologia krwi z oznaczeniem bezwzględnej liczby granulocytów i limfocytów</w:t>
            </w:r>
            <w:r w:rsidR="007C421C">
              <w:rPr>
                <w:bCs/>
                <w:iCs/>
                <w:sz w:val="20"/>
                <w:szCs w:val="20"/>
              </w:rPr>
              <w:t>;</w:t>
            </w:r>
          </w:p>
          <w:p w14:paraId="6126FF40" w14:textId="200FA3F4" w:rsidR="00CA4C90" w:rsidRPr="00533308" w:rsidRDefault="007C2A4C" w:rsidP="00533308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>oznaczenie wartości odczynu Biernackiego (OB)</w:t>
            </w:r>
            <w:r w:rsidR="007C421C">
              <w:rPr>
                <w:bCs/>
                <w:iCs/>
                <w:sz w:val="20"/>
                <w:szCs w:val="20"/>
              </w:rPr>
              <w:t>;</w:t>
            </w:r>
          </w:p>
          <w:p w14:paraId="301B215A" w14:textId="43A0133A" w:rsidR="00CA4C90" w:rsidRPr="00533308" w:rsidRDefault="007C2A4C" w:rsidP="00533308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lastRenderedPageBreak/>
              <w:t>oznaczenie stężenia białka C-reaktywnego (CRP</w:t>
            </w:r>
            <w:r w:rsidR="00901064" w:rsidRPr="00533308">
              <w:rPr>
                <w:bCs/>
                <w:iCs/>
                <w:sz w:val="20"/>
                <w:szCs w:val="20"/>
              </w:rPr>
              <w:t>);</w:t>
            </w:r>
          </w:p>
          <w:p w14:paraId="1BDB5124" w14:textId="6F0E6FA9" w:rsidR="00CA4C90" w:rsidRPr="00533308" w:rsidRDefault="007C2A4C" w:rsidP="00533308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>oznaczenie stężenia kreatyniny w surowicy krw</w:t>
            </w:r>
            <w:r w:rsidR="00CD5064" w:rsidRPr="00533308">
              <w:rPr>
                <w:bCs/>
                <w:iCs/>
                <w:sz w:val="20"/>
                <w:szCs w:val="20"/>
              </w:rPr>
              <w:t>i</w:t>
            </w:r>
            <w:r w:rsidR="00901064" w:rsidRPr="00533308">
              <w:rPr>
                <w:bCs/>
                <w:iCs/>
                <w:sz w:val="20"/>
                <w:szCs w:val="20"/>
              </w:rPr>
              <w:t>;</w:t>
            </w:r>
          </w:p>
          <w:p w14:paraId="46CA6375" w14:textId="131194E5" w:rsidR="007C2A4C" w:rsidRPr="00533308" w:rsidRDefault="007C2A4C" w:rsidP="00533308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>oznaczenie aktywności aminotransferazy alaninowej (ALT)</w:t>
            </w:r>
            <w:r w:rsidR="007C421C">
              <w:rPr>
                <w:bCs/>
                <w:iCs/>
                <w:sz w:val="20"/>
                <w:szCs w:val="20"/>
              </w:rPr>
              <w:t>;</w:t>
            </w:r>
          </w:p>
          <w:p w14:paraId="47C48494" w14:textId="78C2124A" w:rsidR="00CA4C90" w:rsidRPr="00533308" w:rsidRDefault="007C2A4C" w:rsidP="00533308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 xml:space="preserve">oznaczenie aktywności aminotransferazy </w:t>
            </w:r>
            <w:proofErr w:type="spellStart"/>
            <w:r w:rsidRPr="00533308">
              <w:rPr>
                <w:bCs/>
                <w:iCs/>
                <w:sz w:val="20"/>
                <w:szCs w:val="20"/>
              </w:rPr>
              <w:t>asparaginianowej</w:t>
            </w:r>
            <w:proofErr w:type="spellEnd"/>
            <w:r w:rsidRPr="00533308">
              <w:rPr>
                <w:bCs/>
                <w:iCs/>
                <w:sz w:val="20"/>
                <w:szCs w:val="20"/>
              </w:rPr>
              <w:t xml:space="preserve"> (AST)</w:t>
            </w:r>
            <w:r w:rsidR="00EC1042" w:rsidRPr="00533308">
              <w:rPr>
                <w:bCs/>
                <w:iCs/>
                <w:sz w:val="20"/>
                <w:szCs w:val="20"/>
              </w:rPr>
              <w:t>;</w:t>
            </w:r>
          </w:p>
          <w:p w14:paraId="43355614" w14:textId="77777777" w:rsidR="00BB7F0D" w:rsidRDefault="007C2A4C" w:rsidP="00C418E1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 xml:space="preserve">oznaczenie stężenia cholesterolu całkowitego, cholesterolu HDL, cholesterolu LDL i </w:t>
            </w:r>
            <w:proofErr w:type="spellStart"/>
            <w:r w:rsidRPr="00533308">
              <w:rPr>
                <w:bCs/>
                <w:iCs/>
                <w:sz w:val="20"/>
                <w:szCs w:val="20"/>
              </w:rPr>
              <w:t>triglicerydów</w:t>
            </w:r>
            <w:proofErr w:type="spellEnd"/>
            <w:r w:rsidRPr="00533308">
              <w:rPr>
                <w:bCs/>
                <w:iCs/>
                <w:sz w:val="20"/>
                <w:szCs w:val="20"/>
              </w:rPr>
              <w:t xml:space="preserve"> (</w:t>
            </w:r>
            <w:proofErr w:type="spellStart"/>
            <w:r w:rsidRPr="00533308">
              <w:rPr>
                <w:bCs/>
                <w:iCs/>
                <w:sz w:val="20"/>
                <w:szCs w:val="20"/>
              </w:rPr>
              <w:t>lipidogram</w:t>
            </w:r>
            <w:proofErr w:type="spellEnd"/>
            <w:r w:rsidRPr="00533308">
              <w:rPr>
                <w:bCs/>
                <w:iCs/>
                <w:sz w:val="20"/>
                <w:szCs w:val="20"/>
              </w:rPr>
              <w:t>)</w:t>
            </w:r>
            <w:r w:rsidRPr="00533308" w:rsidDel="007C2A4C">
              <w:rPr>
                <w:bCs/>
                <w:iCs/>
                <w:sz w:val="20"/>
                <w:szCs w:val="20"/>
              </w:rPr>
              <w:t xml:space="preserve"> </w:t>
            </w:r>
            <w:r w:rsidR="00371B0F" w:rsidRPr="00533308">
              <w:rPr>
                <w:bCs/>
                <w:iCs/>
                <w:sz w:val="20"/>
                <w:szCs w:val="20"/>
              </w:rPr>
              <w:t xml:space="preserve">- u pacjentów kwalifikowanych do leczenia </w:t>
            </w:r>
            <w:proofErr w:type="spellStart"/>
            <w:r w:rsidR="00371B0F" w:rsidRPr="00533308">
              <w:rPr>
                <w:bCs/>
                <w:iCs/>
                <w:sz w:val="20"/>
                <w:szCs w:val="20"/>
              </w:rPr>
              <w:t>upadacytynibem</w:t>
            </w:r>
            <w:proofErr w:type="spellEnd"/>
            <w:r w:rsidR="007C421C">
              <w:rPr>
                <w:bCs/>
                <w:iCs/>
                <w:sz w:val="20"/>
                <w:szCs w:val="20"/>
              </w:rPr>
              <w:t>;</w:t>
            </w:r>
          </w:p>
          <w:p w14:paraId="0FAD79BA" w14:textId="6025E3D5" w:rsidR="00EB2137" w:rsidRPr="006A1A40" w:rsidRDefault="00901064" w:rsidP="00C418E1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BB7F0D">
              <w:rPr>
                <w:sz w:val="20"/>
                <w:szCs w:val="20"/>
              </w:rPr>
              <w:t>ocen</w:t>
            </w:r>
            <w:r w:rsidR="00BB7F0D">
              <w:rPr>
                <w:sz w:val="20"/>
                <w:szCs w:val="20"/>
              </w:rPr>
              <w:t>ę</w:t>
            </w:r>
            <w:r w:rsidR="00273620" w:rsidRPr="00BB7F0D">
              <w:rPr>
                <w:sz w:val="20"/>
                <w:szCs w:val="20"/>
              </w:rPr>
              <w:t xml:space="preserve"> </w:t>
            </w:r>
            <w:r w:rsidRPr="00BB7F0D">
              <w:rPr>
                <w:sz w:val="20"/>
                <w:szCs w:val="20"/>
              </w:rPr>
              <w:t>skuteczności</w:t>
            </w:r>
            <w:r w:rsidR="00273620" w:rsidRPr="00BB7F0D">
              <w:rPr>
                <w:sz w:val="20"/>
                <w:szCs w:val="20"/>
              </w:rPr>
              <w:t xml:space="preserve"> </w:t>
            </w:r>
            <w:r w:rsidRPr="00BB7F0D">
              <w:rPr>
                <w:sz w:val="20"/>
                <w:szCs w:val="20"/>
              </w:rPr>
              <w:t>zastosowanej</w:t>
            </w:r>
            <w:r w:rsidR="00273620" w:rsidRPr="00BB7F0D">
              <w:rPr>
                <w:sz w:val="20"/>
                <w:szCs w:val="20"/>
              </w:rPr>
              <w:t xml:space="preserve"> </w:t>
            </w:r>
            <w:r w:rsidRPr="00BB7F0D">
              <w:rPr>
                <w:sz w:val="20"/>
                <w:szCs w:val="20"/>
              </w:rPr>
              <w:t>terapii</w:t>
            </w:r>
            <w:r w:rsidR="002D3676" w:rsidRPr="00BB7F0D">
              <w:rPr>
                <w:sz w:val="20"/>
                <w:szCs w:val="20"/>
              </w:rPr>
              <w:t xml:space="preserve"> wg wskaźników </w:t>
            </w:r>
            <w:r w:rsidR="00EB2137" w:rsidRPr="00BB7F0D">
              <w:rPr>
                <w:sz w:val="20"/>
                <w:szCs w:val="20"/>
              </w:rPr>
              <w:t xml:space="preserve">zalecanych przez EULAR/ASAS i stosowanych rutynowo w </w:t>
            </w:r>
            <w:proofErr w:type="spellStart"/>
            <w:r w:rsidR="00EB2137" w:rsidRPr="00BB7F0D">
              <w:rPr>
                <w:sz w:val="20"/>
                <w:szCs w:val="20"/>
              </w:rPr>
              <w:t>SpA</w:t>
            </w:r>
            <w:proofErr w:type="spellEnd"/>
            <w:r w:rsidR="00EB2137" w:rsidRPr="00BB7F0D">
              <w:rPr>
                <w:sz w:val="20"/>
                <w:szCs w:val="20"/>
              </w:rPr>
              <w:t>.</w:t>
            </w:r>
          </w:p>
          <w:p w14:paraId="65BFA11E" w14:textId="77777777" w:rsidR="006A1A40" w:rsidRPr="006A1A40" w:rsidRDefault="006A1A40" w:rsidP="006A1A40">
            <w:pPr>
              <w:spacing w:after="60" w:line="276" w:lineRule="auto"/>
              <w:ind w:left="227"/>
              <w:jc w:val="both"/>
              <w:rPr>
                <w:bCs/>
                <w:iCs/>
                <w:sz w:val="20"/>
                <w:szCs w:val="20"/>
              </w:rPr>
            </w:pPr>
          </w:p>
          <w:p w14:paraId="75D71745" w14:textId="77777777" w:rsidR="00BB7F0D" w:rsidRPr="000E44E6" w:rsidRDefault="00BB7F0D" w:rsidP="00BB7F0D">
            <w:pPr>
              <w:pStyle w:val="Akapitzlist"/>
              <w:numPr>
                <w:ilvl w:val="0"/>
                <w:numId w:val="3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E44E6">
              <w:rPr>
                <w:b/>
                <w:bCs/>
                <w:sz w:val="20"/>
                <w:szCs w:val="20"/>
              </w:rPr>
              <w:t>Monitorowanie skuteczności i bezpieczeństwa</w:t>
            </w:r>
          </w:p>
          <w:p w14:paraId="4B1A137B" w14:textId="77777777" w:rsidR="00BB7F0D" w:rsidRDefault="00BB7F0D" w:rsidP="00C418E1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BB7F0D">
              <w:rPr>
                <w:sz w:val="20"/>
                <w:szCs w:val="20"/>
              </w:rPr>
              <w:t>Jeżeli terapia jest kontynuowana należy wykonać co najmniej raz na 6 miesięcy (±1 miesiąc):</w:t>
            </w:r>
          </w:p>
          <w:p w14:paraId="58163D43" w14:textId="77777777" w:rsidR="00BB7F0D" w:rsidRPr="00533308" w:rsidRDefault="00BB7F0D" w:rsidP="00BB7F0D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 xml:space="preserve">morfologię krwi, a w przypadku pacjentów kwalifikowanych do leczenia </w:t>
            </w:r>
            <w:proofErr w:type="spellStart"/>
            <w:r w:rsidRPr="00533308">
              <w:rPr>
                <w:bCs/>
                <w:iCs/>
                <w:sz w:val="20"/>
                <w:szCs w:val="20"/>
              </w:rPr>
              <w:t>upadacytynibem</w:t>
            </w:r>
            <w:proofErr w:type="spellEnd"/>
            <w:r w:rsidRPr="00533308">
              <w:rPr>
                <w:bCs/>
                <w:iCs/>
                <w:sz w:val="20"/>
                <w:szCs w:val="20"/>
              </w:rPr>
              <w:t xml:space="preserve"> morfologia krwi z oznaczeniem bezwzględnej liczby granulocytów i limfocytów</w:t>
            </w:r>
            <w:r>
              <w:rPr>
                <w:bCs/>
                <w:iCs/>
                <w:sz w:val="20"/>
                <w:szCs w:val="20"/>
              </w:rPr>
              <w:t>;</w:t>
            </w:r>
          </w:p>
          <w:p w14:paraId="68391558" w14:textId="77777777" w:rsidR="00BB7F0D" w:rsidRPr="00533308" w:rsidRDefault="00BB7F0D" w:rsidP="00BB7F0D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>oznaczenie wartości odczynu Biernackiego (OB)</w:t>
            </w:r>
            <w:r>
              <w:rPr>
                <w:bCs/>
                <w:iCs/>
                <w:sz w:val="20"/>
                <w:szCs w:val="20"/>
              </w:rPr>
              <w:t>;</w:t>
            </w:r>
          </w:p>
          <w:p w14:paraId="70F4C149" w14:textId="77777777" w:rsidR="00BB7F0D" w:rsidRPr="00533308" w:rsidRDefault="00BB7F0D" w:rsidP="00BB7F0D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>oznaczenie stężenia białka C-reaktywnego (CRP);</w:t>
            </w:r>
          </w:p>
          <w:p w14:paraId="78A7F212" w14:textId="77777777" w:rsidR="00BB7F0D" w:rsidRPr="00533308" w:rsidRDefault="00BB7F0D" w:rsidP="00BB7F0D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lastRenderedPageBreak/>
              <w:t>oznaczenie stężenia kreatyniny w surowicy krwi;</w:t>
            </w:r>
          </w:p>
          <w:p w14:paraId="5DFE93C0" w14:textId="77777777" w:rsidR="00BB7F0D" w:rsidRPr="00533308" w:rsidRDefault="00BB7F0D" w:rsidP="00BB7F0D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>oznaczenie aktywności aminotransferazy alaninowej (ALT)</w:t>
            </w:r>
            <w:r>
              <w:rPr>
                <w:bCs/>
                <w:iCs/>
                <w:sz w:val="20"/>
                <w:szCs w:val="20"/>
              </w:rPr>
              <w:t>;</w:t>
            </w:r>
          </w:p>
          <w:p w14:paraId="0A77064B" w14:textId="77777777" w:rsidR="00BB7F0D" w:rsidRPr="00533308" w:rsidRDefault="00BB7F0D" w:rsidP="00BB7F0D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 xml:space="preserve">oznaczenie aktywności aminotransferazy </w:t>
            </w:r>
            <w:proofErr w:type="spellStart"/>
            <w:r w:rsidRPr="00533308">
              <w:rPr>
                <w:bCs/>
                <w:iCs/>
                <w:sz w:val="20"/>
                <w:szCs w:val="20"/>
              </w:rPr>
              <w:t>asparaginianowej</w:t>
            </w:r>
            <w:proofErr w:type="spellEnd"/>
            <w:r w:rsidRPr="00533308">
              <w:rPr>
                <w:bCs/>
                <w:iCs/>
                <w:sz w:val="20"/>
                <w:szCs w:val="20"/>
              </w:rPr>
              <w:t xml:space="preserve"> (AST);</w:t>
            </w:r>
          </w:p>
          <w:p w14:paraId="1339210C" w14:textId="77777777" w:rsidR="00BB7F0D" w:rsidRDefault="00BB7F0D" w:rsidP="00BB7F0D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533308">
              <w:rPr>
                <w:bCs/>
                <w:iCs/>
                <w:sz w:val="20"/>
                <w:szCs w:val="20"/>
              </w:rPr>
              <w:t xml:space="preserve">oznaczenie stężenia cholesterolu całkowitego, cholesterolu HDL, cholesterolu LDL i </w:t>
            </w:r>
            <w:proofErr w:type="spellStart"/>
            <w:r w:rsidRPr="00533308">
              <w:rPr>
                <w:bCs/>
                <w:iCs/>
                <w:sz w:val="20"/>
                <w:szCs w:val="20"/>
              </w:rPr>
              <w:t>triglicerydów</w:t>
            </w:r>
            <w:proofErr w:type="spellEnd"/>
            <w:r w:rsidRPr="00533308">
              <w:rPr>
                <w:bCs/>
                <w:iCs/>
                <w:sz w:val="20"/>
                <w:szCs w:val="20"/>
              </w:rPr>
              <w:t xml:space="preserve"> (</w:t>
            </w:r>
            <w:proofErr w:type="spellStart"/>
            <w:r w:rsidRPr="00533308">
              <w:rPr>
                <w:bCs/>
                <w:iCs/>
                <w:sz w:val="20"/>
                <w:szCs w:val="20"/>
              </w:rPr>
              <w:t>lipidogram</w:t>
            </w:r>
            <w:proofErr w:type="spellEnd"/>
            <w:r w:rsidRPr="00533308">
              <w:rPr>
                <w:bCs/>
                <w:iCs/>
                <w:sz w:val="20"/>
                <w:szCs w:val="20"/>
              </w:rPr>
              <w:t>)</w:t>
            </w:r>
            <w:r w:rsidRPr="00533308" w:rsidDel="007C2A4C">
              <w:rPr>
                <w:bCs/>
                <w:iCs/>
                <w:sz w:val="20"/>
                <w:szCs w:val="20"/>
              </w:rPr>
              <w:t xml:space="preserve"> </w:t>
            </w:r>
            <w:r w:rsidRPr="00533308">
              <w:rPr>
                <w:bCs/>
                <w:iCs/>
                <w:sz w:val="20"/>
                <w:szCs w:val="20"/>
              </w:rPr>
              <w:t xml:space="preserve">- u pacjentów kwalifikowanych do leczenia </w:t>
            </w:r>
            <w:proofErr w:type="spellStart"/>
            <w:r w:rsidRPr="00533308">
              <w:rPr>
                <w:bCs/>
                <w:iCs/>
                <w:sz w:val="20"/>
                <w:szCs w:val="20"/>
              </w:rPr>
              <w:t>upadacytynibem</w:t>
            </w:r>
            <w:proofErr w:type="spellEnd"/>
            <w:r>
              <w:rPr>
                <w:bCs/>
                <w:iCs/>
                <w:sz w:val="20"/>
                <w:szCs w:val="20"/>
              </w:rPr>
              <w:t>;</w:t>
            </w:r>
          </w:p>
          <w:p w14:paraId="2284FC4C" w14:textId="1BED09A2" w:rsidR="00BB7F0D" w:rsidRPr="00BB7F0D" w:rsidRDefault="00BB7F0D" w:rsidP="00C418E1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</w:rPr>
            </w:pPr>
            <w:r w:rsidRPr="00BB7F0D">
              <w:rPr>
                <w:sz w:val="20"/>
                <w:szCs w:val="20"/>
              </w:rPr>
              <w:t>ocen</w:t>
            </w:r>
            <w:r>
              <w:rPr>
                <w:sz w:val="20"/>
                <w:szCs w:val="20"/>
              </w:rPr>
              <w:t>ę</w:t>
            </w:r>
            <w:r w:rsidRPr="00BB7F0D">
              <w:rPr>
                <w:sz w:val="20"/>
                <w:szCs w:val="20"/>
              </w:rPr>
              <w:t xml:space="preserve"> skuteczności zastosowanej terapii wg wskaźników zalecanych przez EULAR/ASAS i stosowanych rutynowo w </w:t>
            </w:r>
            <w:proofErr w:type="spellStart"/>
            <w:r w:rsidRPr="00BB7F0D">
              <w:rPr>
                <w:sz w:val="20"/>
                <w:szCs w:val="20"/>
              </w:rPr>
              <w:t>SpA</w:t>
            </w:r>
            <w:proofErr w:type="spellEnd"/>
            <w:r w:rsidRPr="00BB7F0D">
              <w:rPr>
                <w:sz w:val="20"/>
                <w:szCs w:val="20"/>
              </w:rPr>
              <w:t>.</w:t>
            </w:r>
          </w:p>
          <w:p w14:paraId="5CE93B6D" w14:textId="099242D1" w:rsidR="003A1D1C" w:rsidRPr="003A1D1C" w:rsidRDefault="003A1D1C" w:rsidP="00C418E1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3A1D1C">
              <w:rPr>
                <w:sz w:val="20"/>
                <w:szCs w:val="20"/>
              </w:rPr>
              <w:t xml:space="preserve">Zespół Koordynacyjny w celu monitorowania adekwatnej odpowiedzi na leczenie, na podstawie danych gromadzonych w </w:t>
            </w:r>
            <w:r w:rsidR="00B432DB" w:rsidRPr="00B432DB">
              <w:rPr>
                <w:sz w:val="20"/>
                <w:szCs w:val="20"/>
              </w:rPr>
              <w:t>elektronicznym systemie monitorowania programów lekowych</w:t>
            </w:r>
            <w:r w:rsidRPr="003A1D1C">
              <w:rPr>
                <w:sz w:val="20"/>
                <w:szCs w:val="20"/>
              </w:rPr>
              <w:t xml:space="preserve"> podsumowuje wyniki leczenia w programie lekowym na koniec każdego roku. </w:t>
            </w:r>
          </w:p>
          <w:p w14:paraId="2A7C43A3" w14:textId="7C3B94E9" w:rsidR="00533308" w:rsidRDefault="003A1D1C" w:rsidP="00C418E1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3A1D1C">
              <w:rPr>
                <w:sz w:val="20"/>
                <w:szCs w:val="20"/>
              </w:rPr>
              <w:t xml:space="preserve">Możliwe jest, po wyrażeniu zgody przez lekarza prowadzącego terapię, przeprowadzenie wizyty w programie w formie zdalnej konsultacji i przesunięcie wykonania badań w programie na późniejszy okres o ile nie stanowi to zagrożenia dla zdrowia pacjenta i pozostaje bez wpływu na skuteczność i bezpieczeństwo prowadzonej terapii. W takiej sytuacji możliwe jest wydanie leków osobie przez niego upoważnionej w ilości każdorazowo nie większej niż niezbędna do zabezpieczenia 4-6 miesięcy terapii (w zależności </w:t>
            </w:r>
            <w:r w:rsidRPr="003A1D1C">
              <w:rPr>
                <w:sz w:val="20"/>
                <w:szCs w:val="20"/>
              </w:rPr>
              <w:lastRenderedPageBreak/>
              <w:t xml:space="preserve">od indywidualnego dawkowania oraz wielkości opakowań poszczególnych leków). Opisane powyżej postępowanie, w tym wynik zdalnej konsultacji i ocena stanu zdrowia dokonana przez lekarza prowadzącego, powinno zostać odnotowane w dokumentacji medycznej pacjenta oraz </w:t>
            </w:r>
            <w:r w:rsidR="00B432DB" w:rsidRPr="00B432DB">
              <w:rPr>
                <w:sz w:val="20"/>
                <w:szCs w:val="20"/>
              </w:rPr>
              <w:t>elektronicznym systemie monitorowania programów lekowych</w:t>
            </w:r>
            <w:r w:rsidRPr="003A1D1C">
              <w:rPr>
                <w:sz w:val="20"/>
                <w:szCs w:val="20"/>
              </w:rPr>
              <w:t>. Osobiste stawiennictwo pacjenta w ośrodku prowadzącym terapię nie może być jednak rzadsze niż 2 razy w ciągu każdych kolejnych 12 miesięcy z wyjątkiem sytuacji nadzwyczajnych, w tym zjawisk epidemicznych, kiedy dopuszcza się osobiste stawiennictwo w ośrodku prowadzącym terapię nie rzadziej niż 1 raz w ciągu każdych kolejnych 12 miesięcy.</w:t>
            </w:r>
          </w:p>
          <w:p w14:paraId="09378535" w14:textId="77777777" w:rsidR="00533308" w:rsidRPr="003A1D1C" w:rsidRDefault="00533308" w:rsidP="00C418E1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C1689D5" w14:textId="702430D4" w:rsidR="00CA4C90" w:rsidRPr="0031251F" w:rsidRDefault="00901064" w:rsidP="00F66FDF">
            <w:pPr>
              <w:pStyle w:val="Akapitzlist"/>
              <w:numPr>
                <w:ilvl w:val="0"/>
                <w:numId w:val="3"/>
              </w:numPr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1251F">
              <w:rPr>
                <w:b/>
                <w:bCs/>
                <w:sz w:val="20"/>
                <w:szCs w:val="20"/>
              </w:rPr>
              <w:t>Monitorowanie</w:t>
            </w:r>
            <w:r w:rsidR="00273620" w:rsidRPr="0031251F">
              <w:rPr>
                <w:rFonts w:eastAsia="Calibri"/>
                <w:b/>
                <w:sz w:val="20"/>
                <w:szCs w:val="20"/>
              </w:rPr>
              <w:t xml:space="preserve"> </w:t>
            </w:r>
            <w:r w:rsidRPr="0031251F">
              <w:rPr>
                <w:rFonts w:eastAsia="Calibri"/>
                <w:b/>
                <w:sz w:val="20"/>
                <w:szCs w:val="20"/>
              </w:rPr>
              <w:t>programu</w:t>
            </w:r>
          </w:p>
          <w:p w14:paraId="47B27BAF" w14:textId="70029430" w:rsidR="00CA4C90" w:rsidRPr="0031251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gromadzenie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dokumentacji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medycznej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pacjenta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dotyczących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monitorowania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leczenia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każdorazowe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ich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przedstawianie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żądanie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kontrolerów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Narodowego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Funduszu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Zdrowia;</w:t>
            </w:r>
          </w:p>
          <w:p w14:paraId="253FB11B" w14:textId="262F5C26" w:rsidR="00CA4C90" w:rsidRPr="0031251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uzupełnianie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danych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zawartych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F9555D"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F9555D" w:rsidRPr="0031251F">
              <w:rPr>
                <w:sz w:val="20"/>
                <w:szCs w:val="20"/>
              </w:rPr>
              <w:t>elektronicznym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F9555D" w:rsidRPr="0031251F">
              <w:rPr>
                <w:sz w:val="20"/>
                <w:szCs w:val="20"/>
              </w:rPr>
              <w:t>systemie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F9555D" w:rsidRPr="0031251F">
              <w:rPr>
                <w:sz w:val="20"/>
                <w:szCs w:val="20"/>
              </w:rPr>
              <w:t>monitorowania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F9555D" w:rsidRPr="0031251F">
              <w:rPr>
                <w:sz w:val="20"/>
                <w:szCs w:val="20"/>
              </w:rPr>
              <w:t>programów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F9555D" w:rsidRPr="0031251F">
              <w:rPr>
                <w:sz w:val="20"/>
                <w:szCs w:val="20"/>
              </w:rPr>
              <w:t>lekowych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dostępnym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za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pomocą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aplikacji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internetowej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udostępnionej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NFZ,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BB7F0D" w:rsidRPr="00BB7F0D">
              <w:rPr>
                <w:sz w:val="20"/>
                <w:szCs w:val="20"/>
              </w:rPr>
              <w:t>w tym przekazywanie danych dotyczących wskaźników skuteczności terapii z częstotliwością zgodną z opisem programu oraz na zakończenie leczenia;</w:t>
            </w:r>
          </w:p>
          <w:p w14:paraId="177A2C0F" w14:textId="047590AC" w:rsidR="00CA4C90" w:rsidRPr="0031251F" w:rsidRDefault="00901064" w:rsidP="00F66FDF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1251F">
              <w:rPr>
                <w:sz w:val="20"/>
                <w:szCs w:val="20"/>
              </w:rPr>
              <w:t>przekazywanie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informacji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sprawozdawczo-rozliczeniowych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NFZ: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informacje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lastRenderedPageBreak/>
              <w:t>przekazuje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się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do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NFZ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formie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papierowej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lub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formie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elektronicznej,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zgodnie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wymaganiami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opublikowanymi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Pr="0031251F">
              <w:rPr>
                <w:sz w:val="20"/>
                <w:szCs w:val="20"/>
              </w:rPr>
              <w:t>przez</w:t>
            </w:r>
            <w:r w:rsidR="00273620" w:rsidRPr="0031251F">
              <w:rPr>
                <w:sz w:val="20"/>
                <w:szCs w:val="20"/>
              </w:rPr>
              <w:t xml:space="preserve"> </w:t>
            </w:r>
            <w:r w:rsidR="002F4595" w:rsidRPr="0031251F">
              <w:rPr>
                <w:sz w:val="20"/>
                <w:szCs w:val="20"/>
              </w:rPr>
              <w:t>NFZ</w:t>
            </w:r>
            <w:r w:rsidRPr="0031251F">
              <w:rPr>
                <w:sz w:val="20"/>
                <w:szCs w:val="20"/>
              </w:rPr>
              <w:t>.</w:t>
            </w:r>
          </w:p>
        </w:tc>
      </w:tr>
    </w:tbl>
    <w:p w14:paraId="1BD078D5" w14:textId="77777777" w:rsidR="00CA4C90" w:rsidRPr="0031251F" w:rsidRDefault="00CA4C90">
      <w:pPr>
        <w:rPr>
          <w:sz w:val="2"/>
          <w:szCs w:val="2"/>
        </w:rPr>
      </w:pPr>
    </w:p>
    <w:sectPr w:rsidR="00CA4C90" w:rsidRPr="0031251F" w:rsidSect="003F2025">
      <w:footerReference w:type="default" r:id="rId8"/>
      <w:pgSz w:w="16838" w:h="11906" w:orient="landscape"/>
      <w:pgMar w:top="1588" w:right="720" w:bottom="1418" w:left="720" w:header="0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6251C" w14:textId="77777777" w:rsidR="00203514" w:rsidRDefault="00203514">
      <w:r>
        <w:separator/>
      </w:r>
    </w:p>
  </w:endnote>
  <w:endnote w:type="continuationSeparator" w:id="0">
    <w:p w14:paraId="41B8292A" w14:textId="77777777" w:rsidR="00203514" w:rsidRDefault="0020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E2380" w14:textId="77777777" w:rsidR="00E027D2" w:rsidRDefault="00E027D2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94B50" w14:textId="77777777" w:rsidR="00203514" w:rsidRDefault="00203514">
      <w:r>
        <w:separator/>
      </w:r>
    </w:p>
  </w:footnote>
  <w:footnote w:type="continuationSeparator" w:id="0">
    <w:p w14:paraId="7D944CA6" w14:textId="77777777" w:rsidR="00203514" w:rsidRDefault="00203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1536"/>
    <w:multiLevelType w:val="hybridMultilevel"/>
    <w:tmpl w:val="AC84C55C"/>
    <w:lvl w:ilvl="0" w:tplc="E64C7CE2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03D9"/>
    <w:multiLevelType w:val="hybridMultilevel"/>
    <w:tmpl w:val="EB38655A"/>
    <w:lvl w:ilvl="0" w:tplc="619E6D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1DDB"/>
    <w:multiLevelType w:val="multilevel"/>
    <w:tmpl w:val="CA9A1D1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bullet"/>
      <w:suff w:val="space"/>
      <w:lvlText w:val=""/>
      <w:lvlJc w:val="left"/>
      <w:pPr>
        <w:ind w:left="81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3CC3FB5"/>
    <w:multiLevelType w:val="hybridMultilevel"/>
    <w:tmpl w:val="6F30EED6"/>
    <w:lvl w:ilvl="0" w:tplc="04150017">
      <w:start w:val="1"/>
      <w:numFmt w:val="lowerLetter"/>
      <w:lvlText w:val="%1)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97A1723"/>
    <w:multiLevelType w:val="hybridMultilevel"/>
    <w:tmpl w:val="EB38655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D60F8"/>
    <w:multiLevelType w:val="multilevel"/>
    <w:tmpl w:val="04B60A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bullet"/>
      <w:suff w:val="space"/>
      <w:lvlText w:val=""/>
      <w:lvlJc w:val="left"/>
      <w:pPr>
        <w:ind w:left="81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4464029"/>
    <w:multiLevelType w:val="multilevel"/>
    <w:tmpl w:val="04B60A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bullet"/>
      <w:suff w:val="space"/>
      <w:lvlText w:val=""/>
      <w:lvlJc w:val="left"/>
      <w:pPr>
        <w:ind w:left="81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DF70754"/>
    <w:multiLevelType w:val="multilevel"/>
    <w:tmpl w:val="9F24CE4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326D4752"/>
    <w:multiLevelType w:val="multilevel"/>
    <w:tmpl w:val="04B60A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bullet"/>
      <w:suff w:val="space"/>
      <w:lvlText w:val=""/>
      <w:lvlJc w:val="left"/>
      <w:pPr>
        <w:ind w:left="81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5DD92828"/>
    <w:multiLevelType w:val="multilevel"/>
    <w:tmpl w:val="04B60A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bullet"/>
      <w:suff w:val="space"/>
      <w:lvlText w:val=""/>
      <w:lvlJc w:val="left"/>
      <w:pPr>
        <w:ind w:left="81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683C1F57"/>
    <w:multiLevelType w:val="hybridMultilevel"/>
    <w:tmpl w:val="EB38655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A6FA3"/>
    <w:multiLevelType w:val="multilevel"/>
    <w:tmpl w:val="C71C285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/>
        <w:bCs/>
      </w:rPr>
    </w:lvl>
    <w:lvl w:ilvl="4">
      <w:start w:val="1"/>
      <w:numFmt w:val="lowerLetter"/>
      <w:suff w:val="space"/>
      <w:lvlText w:val="%5)"/>
      <w:lvlJc w:val="left"/>
      <w:pPr>
        <w:ind w:left="651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6D8854D5"/>
    <w:multiLevelType w:val="multilevel"/>
    <w:tmpl w:val="04B60A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bullet"/>
      <w:suff w:val="space"/>
      <w:lvlText w:val=""/>
      <w:lvlJc w:val="left"/>
      <w:pPr>
        <w:ind w:left="81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72126045"/>
    <w:multiLevelType w:val="hybridMultilevel"/>
    <w:tmpl w:val="EB38655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81508"/>
    <w:multiLevelType w:val="hybridMultilevel"/>
    <w:tmpl w:val="EB38655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E527F"/>
    <w:multiLevelType w:val="hybridMultilevel"/>
    <w:tmpl w:val="EB38655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023574">
    <w:abstractNumId w:val="2"/>
  </w:num>
  <w:num w:numId="2" w16cid:durableId="148913337">
    <w:abstractNumId w:val="11"/>
  </w:num>
  <w:num w:numId="3" w16cid:durableId="1306398046">
    <w:abstractNumId w:val="7"/>
  </w:num>
  <w:num w:numId="4" w16cid:durableId="1014965513">
    <w:abstractNumId w:val="0"/>
  </w:num>
  <w:num w:numId="5" w16cid:durableId="923876429">
    <w:abstractNumId w:val="1"/>
  </w:num>
  <w:num w:numId="6" w16cid:durableId="949124850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  <w:b/>
          <w:color w:val="auto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227" w:hanging="227"/>
        </w:pPr>
        <w:rPr>
          <w:rFonts w:hint="default"/>
          <w:b w:val="0"/>
          <w:bCs w:val="0"/>
          <w:i w:val="0"/>
        </w:rPr>
      </w:lvl>
    </w:lvlOverride>
    <w:lvlOverride w:ilvl="3">
      <w:lvl w:ilvl="3">
        <w:start w:val="1"/>
        <w:numFmt w:val="lowerLetter"/>
        <w:suff w:val="space"/>
        <w:lvlText w:val="%4)"/>
        <w:lvlJc w:val="left"/>
        <w:pPr>
          <w:ind w:left="587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"/>
        <w:lvlJc w:val="left"/>
        <w:pPr>
          <w:ind w:left="814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"/>
        <w:lvlJc w:val="left"/>
        <w:pPr>
          <w:ind w:left="907" w:hanging="227"/>
        </w:pPr>
        <w:rPr>
          <w:rFonts w:ascii="Symbol" w:hAnsi="Symbol" w:hint="default"/>
        </w:rPr>
      </w:lvl>
    </w:lvlOverride>
    <w:lvlOverride w:ilvl="6">
      <w:lvl w:ilvl="6">
        <w:start w:val="1"/>
        <w:numFmt w:val="lowerRoman"/>
        <w:lvlText w:val="%7."/>
        <w:lvlJc w:val="left"/>
        <w:pPr>
          <w:ind w:left="1134" w:hanging="22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7" w16cid:durableId="1631520379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  <w:b/>
          <w:color w:val="auto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227" w:hanging="227"/>
        </w:pPr>
        <w:rPr>
          <w:rFonts w:hint="default"/>
          <w:b w:val="0"/>
          <w:bCs w:val="0"/>
          <w:i w:val="0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587" w:hanging="360"/>
        </w:pPr>
        <w:rPr>
          <w:rFonts w:hint="default"/>
        </w:rPr>
      </w:lvl>
    </w:lvlOverride>
    <w:lvlOverride w:ilvl="4">
      <w:lvl w:ilvl="4">
        <w:start w:val="1"/>
        <w:numFmt w:val="bullet"/>
        <w:suff w:val="space"/>
        <w:lvlText w:val=""/>
        <w:lvlJc w:val="left"/>
        <w:pPr>
          <w:ind w:left="814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suff w:val="space"/>
        <w:lvlText w:val=""/>
        <w:lvlJc w:val="left"/>
        <w:pPr>
          <w:ind w:left="907" w:hanging="227"/>
        </w:pPr>
        <w:rPr>
          <w:rFonts w:ascii="Symbol" w:hAnsi="Symbol" w:hint="default"/>
        </w:rPr>
      </w:lvl>
    </w:lvlOverride>
    <w:lvlOverride w:ilvl="6">
      <w:lvl w:ilvl="6">
        <w:start w:val="1"/>
        <w:numFmt w:val="lowerRoman"/>
        <w:lvlText w:val="%7."/>
        <w:lvlJc w:val="left"/>
        <w:pPr>
          <w:ind w:left="1134" w:hanging="22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8" w16cid:durableId="1295212019">
    <w:abstractNumId w:val="5"/>
  </w:num>
  <w:num w:numId="9" w16cid:durableId="1288396624">
    <w:abstractNumId w:val="8"/>
  </w:num>
  <w:num w:numId="10" w16cid:durableId="1190099640">
    <w:abstractNumId w:val="4"/>
  </w:num>
  <w:num w:numId="11" w16cid:durableId="349839759">
    <w:abstractNumId w:val="6"/>
  </w:num>
  <w:num w:numId="12" w16cid:durableId="919559588">
    <w:abstractNumId w:val="12"/>
  </w:num>
  <w:num w:numId="13" w16cid:durableId="218710390">
    <w:abstractNumId w:val="14"/>
  </w:num>
  <w:num w:numId="14" w16cid:durableId="1169635275">
    <w:abstractNumId w:val="9"/>
  </w:num>
  <w:num w:numId="15" w16cid:durableId="694162587">
    <w:abstractNumId w:val="15"/>
  </w:num>
  <w:num w:numId="16" w16cid:durableId="52237536">
    <w:abstractNumId w:val="13"/>
  </w:num>
  <w:num w:numId="17" w16cid:durableId="189150638">
    <w:abstractNumId w:val="10"/>
  </w:num>
  <w:num w:numId="18" w16cid:durableId="1899634803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90"/>
    <w:rsid w:val="0001466B"/>
    <w:rsid w:val="000277EF"/>
    <w:rsid w:val="00036819"/>
    <w:rsid w:val="00044094"/>
    <w:rsid w:val="00056457"/>
    <w:rsid w:val="00086FF7"/>
    <w:rsid w:val="000B7D81"/>
    <w:rsid w:val="000F4E6C"/>
    <w:rsid w:val="0010646B"/>
    <w:rsid w:val="0011272B"/>
    <w:rsid w:val="00117079"/>
    <w:rsid w:val="00143B49"/>
    <w:rsid w:val="0014601D"/>
    <w:rsid w:val="001530DD"/>
    <w:rsid w:val="00160631"/>
    <w:rsid w:val="00165CB7"/>
    <w:rsid w:val="001711D9"/>
    <w:rsid w:val="0017615F"/>
    <w:rsid w:val="0018297B"/>
    <w:rsid w:val="00190AB7"/>
    <w:rsid w:val="0019394A"/>
    <w:rsid w:val="001C5FD7"/>
    <w:rsid w:val="00203514"/>
    <w:rsid w:val="00215D2B"/>
    <w:rsid w:val="00237577"/>
    <w:rsid w:val="00241B1E"/>
    <w:rsid w:val="002426BC"/>
    <w:rsid w:val="00242BC3"/>
    <w:rsid w:val="002436A9"/>
    <w:rsid w:val="00262C9C"/>
    <w:rsid w:val="00271C30"/>
    <w:rsid w:val="00273620"/>
    <w:rsid w:val="002850DD"/>
    <w:rsid w:val="00297DB0"/>
    <w:rsid w:val="002A4FB8"/>
    <w:rsid w:val="002C5DC5"/>
    <w:rsid w:val="002C6FEB"/>
    <w:rsid w:val="002D3676"/>
    <w:rsid w:val="002F4595"/>
    <w:rsid w:val="00302066"/>
    <w:rsid w:val="003079F8"/>
    <w:rsid w:val="0031251F"/>
    <w:rsid w:val="00332924"/>
    <w:rsid w:val="00341998"/>
    <w:rsid w:val="00371B0F"/>
    <w:rsid w:val="003A1D1C"/>
    <w:rsid w:val="003A7F40"/>
    <w:rsid w:val="003F2025"/>
    <w:rsid w:val="00402138"/>
    <w:rsid w:val="004158D3"/>
    <w:rsid w:val="00427173"/>
    <w:rsid w:val="004727F6"/>
    <w:rsid w:val="004C318E"/>
    <w:rsid w:val="004E03DF"/>
    <w:rsid w:val="004F2B23"/>
    <w:rsid w:val="005239A8"/>
    <w:rsid w:val="00533308"/>
    <w:rsid w:val="00540B95"/>
    <w:rsid w:val="00547447"/>
    <w:rsid w:val="005A471C"/>
    <w:rsid w:val="005F4871"/>
    <w:rsid w:val="005F5549"/>
    <w:rsid w:val="00605C32"/>
    <w:rsid w:val="006133D4"/>
    <w:rsid w:val="0061538B"/>
    <w:rsid w:val="00626C4F"/>
    <w:rsid w:val="00664165"/>
    <w:rsid w:val="00674656"/>
    <w:rsid w:val="00675B04"/>
    <w:rsid w:val="00694AE3"/>
    <w:rsid w:val="006A1A40"/>
    <w:rsid w:val="006A240E"/>
    <w:rsid w:val="006A7F28"/>
    <w:rsid w:val="006C57EF"/>
    <w:rsid w:val="006E057B"/>
    <w:rsid w:val="007323CD"/>
    <w:rsid w:val="0073465C"/>
    <w:rsid w:val="007373E5"/>
    <w:rsid w:val="00763816"/>
    <w:rsid w:val="00770EFF"/>
    <w:rsid w:val="00781A5C"/>
    <w:rsid w:val="007A0605"/>
    <w:rsid w:val="007B6F61"/>
    <w:rsid w:val="007C2A4C"/>
    <w:rsid w:val="007C421C"/>
    <w:rsid w:val="007E17E8"/>
    <w:rsid w:val="007E4379"/>
    <w:rsid w:val="00824BFB"/>
    <w:rsid w:val="00846896"/>
    <w:rsid w:val="008774B9"/>
    <w:rsid w:val="008850A9"/>
    <w:rsid w:val="008915E4"/>
    <w:rsid w:val="00897842"/>
    <w:rsid w:val="008C3470"/>
    <w:rsid w:val="008C66C7"/>
    <w:rsid w:val="008D25F1"/>
    <w:rsid w:val="008D40EF"/>
    <w:rsid w:val="00901064"/>
    <w:rsid w:val="0094053A"/>
    <w:rsid w:val="00980518"/>
    <w:rsid w:val="009902FD"/>
    <w:rsid w:val="00992FE9"/>
    <w:rsid w:val="00993D4A"/>
    <w:rsid w:val="009B19FD"/>
    <w:rsid w:val="009D44B9"/>
    <w:rsid w:val="00A24DFA"/>
    <w:rsid w:val="00A44832"/>
    <w:rsid w:val="00A75F07"/>
    <w:rsid w:val="00A765DB"/>
    <w:rsid w:val="00AC05E9"/>
    <w:rsid w:val="00AE53C3"/>
    <w:rsid w:val="00AE7D77"/>
    <w:rsid w:val="00B21B6C"/>
    <w:rsid w:val="00B432DB"/>
    <w:rsid w:val="00B5117D"/>
    <w:rsid w:val="00B51C0F"/>
    <w:rsid w:val="00B54682"/>
    <w:rsid w:val="00B6295E"/>
    <w:rsid w:val="00B6777D"/>
    <w:rsid w:val="00B93F96"/>
    <w:rsid w:val="00B96196"/>
    <w:rsid w:val="00BB51BB"/>
    <w:rsid w:val="00BB7F0D"/>
    <w:rsid w:val="00BD6D40"/>
    <w:rsid w:val="00C01CBC"/>
    <w:rsid w:val="00C11FF7"/>
    <w:rsid w:val="00C20995"/>
    <w:rsid w:val="00C404CA"/>
    <w:rsid w:val="00C418E1"/>
    <w:rsid w:val="00C4564D"/>
    <w:rsid w:val="00C46C17"/>
    <w:rsid w:val="00CA4C90"/>
    <w:rsid w:val="00CB084B"/>
    <w:rsid w:val="00CD5064"/>
    <w:rsid w:val="00CD7341"/>
    <w:rsid w:val="00CE647F"/>
    <w:rsid w:val="00CE6C1A"/>
    <w:rsid w:val="00D274EC"/>
    <w:rsid w:val="00D44272"/>
    <w:rsid w:val="00D57063"/>
    <w:rsid w:val="00D660F1"/>
    <w:rsid w:val="00D766E8"/>
    <w:rsid w:val="00D8104D"/>
    <w:rsid w:val="00D951A5"/>
    <w:rsid w:val="00DA4746"/>
    <w:rsid w:val="00DC40BD"/>
    <w:rsid w:val="00DD0E62"/>
    <w:rsid w:val="00DE3EB5"/>
    <w:rsid w:val="00DE3FFC"/>
    <w:rsid w:val="00DE744C"/>
    <w:rsid w:val="00E027D2"/>
    <w:rsid w:val="00E03555"/>
    <w:rsid w:val="00E17669"/>
    <w:rsid w:val="00E22928"/>
    <w:rsid w:val="00E234A5"/>
    <w:rsid w:val="00E6259F"/>
    <w:rsid w:val="00EA267D"/>
    <w:rsid w:val="00EB2137"/>
    <w:rsid w:val="00EC1042"/>
    <w:rsid w:val="00EC4FB5"/>
    <w:rsid w:val="00ED06DB"/>
    <w:rsid w:val="00EE02FE"/>
    <w:rsid w:val="00EE5D35"/>
    <w:rsid w:val="00EF4AF8"/>
    <w:rsid w:val="00F14527"/>
    <w:rsid w:val="00F25DEC"/>
    <w:rsid w:val="00F356C9"/>
    <w:rsid w:val="00F357E7"/>
    <w:rsid w:val="00F36F7C"/>
    <w:rsid w:val="00F66A12"/>
    <w:rsid w:val="00F66FDF"/>
    <w:rsid w:val="00F67DD2"/>
    <w:rsid w:val="00F802C8"/>
    <w:rsid w:val="00F85471"/>
    <w:rsid w:val="00F9555D"/>
    <w:rsid w:val="00FA5636"/>
    <w:rsid w:val="00FC5DC8"/>
    <w:rsid w:val="00FD1BE9"/>
    <w:rsid w:val="00FE15D8"/>
    <w:rsid w:val="00FF14B7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FD7"/>
  <w15:docId w15:val="{CFB6ADF8-6F67-420F-8535-9A39A65A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E33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4E33A6"/>
    <w:pPr>
      <w:keepNext/>
      <w:outlineLvl w:val="0"/>
    </w:pPr>
    <w:rPr>
      <w:b/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4E33A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4E33A6"/>
    <w:rPr>
      <w:rFonts w:ascii="Times New Roman" w:eastAsia="Times New Roman" w:hAnsi="Times New Roman" w:cs="Times New Roman"/>
      <w:b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qFormat/>
    <w:rsid w:val="004E33A6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StopkaZnak">
    <w:name w:val="Stopka Znak"/>
    <w:basedOn w:val="Domylnaczcionkaakapitu"/>
    <w:link w:val="Stopka"/>
    <w:qFormat/>
    <w:rsid w:val="004E33A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qFormat/>
    <w:rsid w:val="004E33A6"/>
  </w:style>
  <w:style w:type="character" w:customStyle="1" w:styleId="TekstpodstawowywcityZnak">
    <w:name w:val="Tekst podstawowy wcięty Znak"/>
    <w:basedOn w:val="Domylnaczcionkaakapitu"/>
    <w:link w:val="Tekstpodstawowywcity"/>
    <w:qFormat/>
    <w:rsid w:val="004E33A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4D356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4D3560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7A78A2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7A78A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7A78A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7A78A2"/>
    <w:rPr>
      <w:rFonts w:ascii="Tahoma" w:eastAsia="Times New Roman" w:hAnsi="Tahoma" w:cs="Tahoma"/>
      <w:sz w:val="16"/>
      <w:szCs w:val="16"/>
      <w:lang w:eastAsia="pl-PL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4E33A6"/>
    <w:pPr>
      <w:widowControl w:val="0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rsid w:val="004E33A6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link w:val="TekstpodstawowywcityZnak"/>
    <w:rsid w:val="004E33A6"/>
    <w:pPr>
      <w:spacing w:after="120"/>
      <w:ind w:left="283"/>
    </w:pPr>
  </w:style>
  <w:style w:type="paragraph" w:styleId="Akapitzlist">
    <w:name w:val="List Paragraph"/>
    <w:aliases w:val="Styl moj,Akapit z listą11,podpunkt ankietyy"/>
    <w:basedOn w:val="Normalny"/>
    <w:link w:val="AkapitzlistZnak"/>
    <w:uiPriority w:val="99"/>
    <w:qFormat/>
    <w:rsid w:val="004E33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356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7A78A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7A78A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7A78A2"/>
    <w:rPr>
      <w:rFonts w:ascii="Tahoma" w:hAnsi="Tahoma" w:cs="Tahoma"/>
      <w:sz w:val="16"/>
      <w:szCs w:val="16"/>
    </w:rPr>
  </w:style>
  <w:style w:type="paragraph" w:styleId="Poprawka">
    <w:name w:val="Revision"/>
    <w:uiPriority w:val="99"/>
    <w:semiHidden/>
    <w:qFormat/>
    <w:rsid w:val="00A66152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aliases w:val="Styl moj Znak,Akapit z listą11 Znak,podpunkt ankietyy Znak"/>
    <w:link w:val="Akapitzlist"/>
    <w:uiPriority w:val="99"/>
    <w:locked/>
    <w:rsid w:val="00781A5C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97510-F67F-4AC4-900F-63BCBA60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2838</Words>
  <Characters>17032</Characters>
  <Application>Microsoft Office Word</Application>
  <DocSecurity>0</DocSecurity>
  <Lines>141</Lines>
  <Paragraphs>39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Bołzan Renata</dc:creator>
  <dc:description/>
  <cp:lastModifiedBy>Wilk Justyna</cp:lastModifiedBy>
  <cp:revision>3</cp:revision>
  <cp:lastPrinted>2016-11-29T09:09:00Z</cp:lastPrinted>
  <dcterms:created xsi:type="dcterms:W3CDTF">2024-09-12T06:21:00Z</dcterms:created>
  <dcterms:modified xsi:type="dcterms:W3CDTF">2024-09-12T06:24:00Z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