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33A" w:rsidRDefault="00A2533A" w:rsidP="00A2533A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lang w:val="pl-PL" w:eastAsia="pl-PL"/>
        </w:rPr>
      </w:pPr>
      <w:r>
        <w:rPr>
          <w:rFonts w:ascii="Times New Roman" w:eastAsia="Times New Roman" w:hAnsi="Times New Roman" w:cs="Times New Roman"/>
          <w:lang w:val="pl-PL" w:eastAsia="pl-PL"/>
        </w:rPr>
        <w:t>Załącznik B.87</w:t>
      </w:r>
      <w:r w:rsidRPr="00A2533A">
        <w:rPr>
          <w:rFonts w:ascii="Times New Roman" w:eastAsia="Times New Roman" w:hAnsi="Times New Roman" w:cs="Times New Roman"/>
          <w:lang w:val="pl-PL" w:eastAsia="pl-PL"/>
        </w:rPr>
        <w:t>.</w:t>
      </w:r>
    </w:p>
    <w:p w:rsidR="00A2533A" w:rsidRPr="00A2533A" w:rsidRDefault="00A2533A" w:rsidP="00A253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l-PL" w:eastAsia="pl-PL"/>
        </w:rPr>
      </w:pPr>
    </w:p>
    <w:p w:rsidR="00B63A7E" w:rsidRPr="00A2533A" w:rsidRDefault="00B63A7E" w:rsidP="00B63A7E">
      <w:pPr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</w:pPr>
      <w:r w:rsidRPr="00A2533A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LECZENIE IDIOPATYCZNEGO WŁÓKNIENIA PŁUC (ICD-10 J84.1)</w:t>
      </w:r>
    </w:p>
    <w:tbl>
      <w:tblPr>
        <w:tblStyle w:val="Tabela-Siatka"/>
        <w:tblW w:w="15316" w:type="dxa"/>
        <w:jc w:val="center"/>
        <w:tblLook w:val="04A0" w:firstRow="1" w:lastRow="0" w:firstColumn="1" w:lastColumn="0" w:noHBand="0" w:noVBand="1"/>
      </w:tblPr>
      <w:tblGrid>
        <w:gridCol w:w="5098"/>
        <w:gridCol w:w="5387"/>
        <w:gridCol w:w="4831"/>
      </w:tblGrid>
      <w:tr w:rsidR="00B63A7E" w:rsidRPr="00A2533A" w:rsidTr="00A85CB2">
        <w:trPr>
          <w:trHeight w:val="452"/>
          <w:jc w:val="center"/>
        </w:trPr>
        <w:tc>
          <w:tcPr>
            <w:tcW w:w="15316" w:type="dxa"/>
            <w:gridSpan w:val="3"/>
            <w:vAlign w:val="center"/>
          </w:tcPr>
          <w:p w:rsidR="00B63A7E" w:rsidRPr="00A85CB2" w:rsidRDefault="00B63A7E" w:rsidP="00A85CB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pl-PL" w:eastAsia="pl-PL"/>
              </w:rPr>
            </w:pPr>
            <w:r w:rsidRPr="00A85CB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pl-PL" w:eastAsia="pl-PL"/>
              </w:rPr>
              <w:t>ZAKRES ŚWIADCZENIA GWARANTOWANEGO</w:t>
            </w:r>
          </w:p>
        </w:tc>
      </w:tr>
      <w:tr w:rsidR="00F64DF4" w:rsidRPr="00A85CB2" w:rsidTr="00A85CB2">
        <w:trPr>
          <w:trHeight w:val="557"/>
          <w:jc w:val="center"/>
        </w:trPr>
        <w:tc>
          <w:tcPr>
            <w:tcW w:w="5098" w:type="dxa"/>
            <w:tcBorders>
              <w:bottom w:val="single" w:sz="4" w:space="0" w:color="auto"/>
            </w:tcBorders>
            <w:vAlign w:val="center"/>
          </w:tcPr>
          <w:p w:rsidR="00F64DF4" w:rsidRPr="00A85CB2" w:rsidRDefault="00F64DF4" w:rsidP="00A85CB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pl-PL" w:eastAsia="pl-PL"/>
              </w:rPr>
            </w:pPr>
            <w:r w:rsidRPr="00A85CB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pl-PL" w:eastAsia="pl-PL"/>
              </w:rPr>
              <w:t>ŚWIADCZENIOBIORCY</w:t>
            </w:r>
          </w:p>
        </w:tc>
        <w:tc>
          <w:tcPr>
            <w:tcW w:w="5387" w:type="dxa"/>
            <w:vAlign w:val="center"/>
          </w:tcPr>
          <w:p w:rsidR="00F64DF4" w:rsidRPr="00A85CB2" w:rsidRDefault="00F64DF4" w:rsidP="00A85CB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pl-PL" w:eastAsia="pl-PL"/>
              </w:rPr>
            </w:pPr>
            <w:r w:rsidRPr="00A85CB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pl-PL" w:eastAsia="pl-PL"/>
              </w:rPr>
              <w:t>SCHEMAT DAWKOWANIA LEKU W PROGRAMIE</w:t>
            </w:r>
          </w:p>
        </w:tc>
        <w:tc>
          <w:tcPr>
            <w:tcW w:w="4831" w:type="dxa"/>
            <w:vAlign w:val="center"/>
          </w:tcPr>
          <w:p w:rsidR="00F64DF4" w:rsidRPr="00A85CB2" w:rsidRDefault="00F64DF4" w:rsidP="00A85CB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pl-PL" w:eastAsia="pl-PL"/>
              </w:rPr>
            </w:pPr>
            <w:r w:rsidRPr="00A85CB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pl-PL" w:eastAsia="pl-PL"/>
              </w:rPr>
              <w:t xml:space="preserve">BADANIA DIAGNOSTYCZNE WYKONYWANE </w:t>
            </w:r>
            <w:r w:rsidRPr="00A85CB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pl-PL" w:eastAsia="pl-PL"/>
              </w:rPr>
              <w:br/>
              <w:t>W RAMACH PROGRAMU</w:t>
            </w:r>
          </w:p>
        </w:tc>
      </w:tr>
      <w:tr w:rsidR="00BD2918" w:rsidRPr="00A85CB2" w:rsidTr="00A85CB2">
        <w:trPr>
          <w:trHeight w:val="280"/>
          <w:jc w:val="center"/>
        </w:trPr>
        <w:tc>
          <w:tcPr>
            <w:tcW w:w="15316" w:type="dxa"/>
            <w:gridSpan w:val="3"/>
            <w:tcBorders>
              <w:bottom w:val="single" w:sz="4" w:space="0" w:color="auto"/>
            </w:tcBorders>
            <w:vAlign w:val="center"/>
          </w:tcPr>
          <w:p w:rsidR="00BD2918" w:rsidRPr="00A85CB2" w:rsidRDefault="00BD2918" w:rsidP="00BD2918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b/>
                <w:i/>
                <w:sz w:val="20"/>
                <w:szCs w:val="20"/>
                <w:lang w:val="pl-PL"/>
              </w:rPr>
              <w:t>Leczenie idiopatycznego włóknienia płuc z zastosowaniem pirfenidonu</w:t>
            </w:r>
          </w:p>
        </w:tc>
      </w:tr>
      <w:tr w:rsidR="00B63A7E" w:rsidRPr="00A85CB2" w:rsidTr="00A85CB2">
        <w:trPr>
          <w:trHeight w:val="5660"/>
          <w:jc w:val="center"/>
        </w:trPr>
        <w:tc>
          <w:tcPr>
            <w:tcW w:w="5098" w:type="dxa"/>
          </w:tcPr>
          <w:p w:rsidR="00B63A7E" w:rsidRPr="00A85CB2" w:rsidRDefault="00B63A7E" w:rsidP="00A85CB2">
            <w:pPr>
              <w:pStyle w:val="NormalnyWeb"/>
              <w:spacing w:before="240" w:beforeAutospacing="0" w:after="0" w:afterAutospacing="0" w:line="276" w:lineRule="auto"/>
              <w:jc w:val="both"/>
              <w:rPr>
                <w:b/>
                <w:sz w:val="20"/>
                <w:szCs w:val="20"/>
              </w:rPr>
            </w:pPr>
            <w:r w:rsidRPr="00A85CB2">
              <w:rPr>
                <w:b/>
                <w:sz w:val="20"/>
                <w:szCs w:val="20"/>
              </w:rPr>
              <w:t>1. Kryteria kwalifikacji</w:t>
            </w:r>
          </w:p>
          <w:p w:rsidR="00B63A7E" w:rsidRPr="00A85CB2" w:rsidRDefault="00B63A7E" w:rsidP="00A85CB2">
            <w:pPr>
              <w:pStyle w:val="NormalnyWeb"/>
              <w:spacing w:before="120" w:beforeAutospacing="0" w:after="0" w:afterAutospacing="0" w:line="276" w:lineRule="auto"/>
              <w:jc w:val="both"/>
              <w:rPr>
                <w:sz w:val="20"/>
                <w:szCs w:val="20"/>
              </w:rPr>
            </w:pPr>
            <w:r w:rsidRPr="00A85CB2">
              <w:rPr>
                <w:b/>
                <w:sz w:val="20"/>
                <w:szCs w:val="20"/>
              </w:rPr>
              <w:t>Do leczenia pirfenidonem kwalifikują się świadczeniobiorcy spełniający wszystkie poniższe kryteria: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1"/>
              </w:numPr>
              <w:spacing w:before="120" w:beforeAutospacing="0" w:after="0" w:afterAutospacing="0" w:line="276" w:lineRule="auto"/>
              <w:ind w:left="318" w:hanging="284"/>
              <w:jc w:val="both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Wiek powyżej 18. roku życia;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1"/>
              </w:numPr>
              <w:spacing w:before="60" w:line="276" w:lineRule="auto"/>
              <w:ind w:left="318" w:hanging="284"/>
              <w:jc w:val="both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Rozpoznanie idiopatycznego włóknienia płuc (IPF), na podstawie badania tomografii komputerowej wysokiej rozdzielczości – TKWR; po uprzednim wykluczeniu znanych przyczyn włóknienia płuc przez lekarza specjalistę chorób płuc;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1"/>
              </w:numPr>
              <w:spacing w:before="60" w:line="276" w:lineRule="auto"/>
              <w:ind w:left="318" w:hanging="284"/>
              <w:jc w:val="both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 xml:space="preserve">W przypadku gdy badanie TKWR nie było wystarczające do postawienia diagnozy, konieczna jest ocena histopatologiczna materiału pobranego w czasie chirurgicznej biopsji płuca; 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1"/>
              </w:numPr>
              <w:spacing w:after="60" w:line="276" w:lineRule="auto"/>
              <w:ind w:left="318" w:hanging="284"/>
              <w:jc w:val="both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FVC powyżej 50% wartości należnej;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1"/>
              </w:numPr>
              <w:spacing w:before="0" w:beforeAutospacing="0" w:after="0" w:afterAutospacing="0" w:line="276" w:lineRule="auto"/>
              <w:ind w:left="318" w:hanging="284"/>
              <w:jc w:val="both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DLco powyżej 30%;</w:t>
            </w:r>
          </w:p>
          <w:p w:rsidR="00B63A7E" w:rsidRPr="00A85CB2" w:rsidRDefault="00B63A7E" w:rsidP="00A85CB2">
            <w:pPr>
              <w:pStyle w:val="NormalnyWeb"/>
              <w:spacing w:before="240" w:beforeAutospacing="0" w:after="0" w:afterAutospacing="0" w:line="276" w:lineRule="auto"/>
              <w:jc w:val="both"/>
              <w:rPr>
                <w:sz w:val="20"/>
                <w:szCs w:val="20"/>
              </w:rPr>
            </w:pPr>
            <w:r w:rsidRPr="00A85CB2">
              <w:rPr>
                <w:b/>
                <w:sz w:val="20"/>
                <w:szCs w:val="20"/>
              </w:rPr>
              <w:t>2. Określenie czasu leczenia w programie</w:t>
            </w:r>
          </w:p>
          <w:p w:rsidR="00B63A7E" w:rsidRPr="00A85CB2" w:rsidRDefault="00B63A7E" w:rsidP="00A85CB2">
            <w:pPr>
              <w:pStyle w:val="NormalnyWeb"/>
              <w:spacing w:before="120" w:beforeAutospacing="0" w:after="0" w:afterAutospacing="0" w:line="276" w:lineRule="auto"/>
              <w:jc w:val="both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Leczenie w programie prowadzone jest do czasy spełnienia przez świadczeniobiorcę któregokolwiek kryterium wyłączenia z programu.</w:t>
            </w:r>
          </w:p>
          <w:p w:rsidR="00B63A7E" w:rsidRPr="00A85CB2" w:rsidRDefault="00B63A7E" w:rsidP="00A85CB2">
            <w:pPr>
              <w:pStyle w:val="NormalnyWeb"/>
              <w:spacing w:before="240" w:beforeAutospacing="0" w:after="0" w:afterAutospacing="0" w:line="276" w:lineRule="auto"/>
              <w:rPr>
                <w:sz w:val="20"/>
                <w:szCs w:val="20"/>
              </w:rPr>
            </w:pPr>
            <w:r w:rsidRPr="00A85CB2">
              <w:rPr>
                <w:b/>
                <w:sz w:val="20"/>
                <w:szCs w:val="20"/>
              </w:rPr>
              <w:lastRenderedPageBreak/>
              <w:t>3. Kryteria wyłączenia</w:t>
            </w:r>
          </w:p>
          <w:p w:rsidR="00770D22" w:rsidRPr="00A85CB2" w:rsidRDefault="00770D22" w:rsidP="00A85CB2">
            <w:pPr>
              <w:pStyle w:val="NormalnyWeb"/>
              <w:numPr>
                <w:ilvl w:val="0"/>
                <w:numId w:val="2"/>
              </w:numPr>
              <w:spacing w:before="120" w:beforeAutospacing="0" w:after="0" w:afterAutospacing="0" w:line="276" w:lineRule="auto"/>
              <w:ind w:left="318" w:hanging="284"/>
              <w:jc w:val="both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Progresja choroby definiowana jako obniżenie FVC o co najmniej 10% w ciągu pierwszych 12 miesięcy leczenia, a następnie co 6 miesięcy, potwierdzone w dwóch badaniach spirometrycznych wykonanych w odstępie 2-4 tygodni mierzona co 6 miesięcy leczenia.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2"/>
              </w:numPr>
              <w:spacing w:before="120" w:beforeAutospacing="0" w:after="0" w:afterAutospacing="0" w:line="276" w:lineRule="auto"/>
              <w:ind w:left="318" w:hanging="284"/>
              <w:jc w:val="both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Nadwrażliwość na substancję czynną lub którąkolwiek substancję pomocniczą;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2"/>
              </w:numPr>
              <w:spacing w:before="60" w:after="60" w:line="276" w:lineRule="auto"/>
              <w:ind w:left="318" w:hanging="284"/>
              <w:jc w:val="both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Obrzęk naczynioruchowy podczas stosowania pirfenidonu w wywiadzie;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2"/>
              </w:numPr>
              <w:spacing w:before="60" w:after="60" w:line="276" w:lineRule="auto"/>
              <w:ind w:left="318" w:hanging="284"/>
              <w:jc w:val="both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Jednoczesne stosowanie fluwoksaminy;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2"/>
              </w:numPr>
              <w:spacing w:before="60" w:after="60" w:line="276" w:lineRule="auto"/>
              <w:ind w:left="318" w:hanging="284"/>
              <w:jc w:val="both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Ciężkie zaburzenia czynności wątroby lub krańcowa niewydolność wątroby;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2"/>
              </w:numPr>
              <w:spacing w:before="60" w:after="60" w:line="276" w:lineRule="auto"/>
              <w:ind w:left="318" w:hanging="284"/>
              <w:jc w:val="both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Ciężka niewydolność nerek (klirens kreatyniny poniżej 30 ml/min) lub krańcowa niewydolność nerek wymagająca dializoterapii;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2"/>
              </w:numPr>
              <w:tabs>
                <w:tab w:val="left" w:pos="2880"/>
              </w:tabs>
              <w:spacing w:before="60" w:after="60" w:line="276" w:lineRule="auto"/>
              <w:ind w:left="318" w:hanging="284"/>
              <w:jc w:val="both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Ciąża i karmienie piersią;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2"/>
              </w:numPr>
              <w:spacing w:before="60" w:after="60" w:line="276" w:lineRule="auto"/>
              <w:ind w:left="318" w:hanging="284"/>
              <w:jc w:val="both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Inne ciężkie i źle rokujące choroby np. aktywna choroba nowotworowa, ciężka niewydolność serca.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2"/>
              </w:numPr>
              <w:spacing w:before="60" w:after="60" w:line="276" w:lineRule="auto"/>
              <w:ind w:left="318" w:hanging="284"/>
              <w:jc w:val="both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Brak zgody na leczenie</w:t>
            </w:r>
          </w:p>
        </w:tc>
        <w:tc>
          <w:tcPr>
            <w:tcW w:w="5387" w:type="dxa"/>
          </w:tcPr>
          <w:p w:rsidR="00B63A7E" w:rsidRPr="00A85CB2" w:rsidRDefault="00B63A7E" w:rsidP="00A85CB2">
            <w:pPr>
              <w:spacing w:before="240" w:after="60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lastRenderedPageBreak/>
              <w:t xml:space="preserve">1. Dawkowanie </w:t>
            </w:r>
          </w:p>
          <w:p w:rsidR="00B63A7E" w:rsidRPr="00A85CB2" w:rsidRDefault="00B63A7E" w:rsidP="00A85CB2">
            <w:pPr>
              <w:spacing w:before="120" w:after="6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Sposób dawkowania pirfenidonu oraz ewentualne przerwanie leczenia prowadzone jest zgodnie z Charakterystyką Produktu Leczniczego.</w:t>
            </w:r>
            <w:bookmarkStart w:id="0" w:name="_GoBack"/>
            <w:bookmarkEnd w:id="0"/>
          </w:p>
        </w:tc>
        <w:tc>
          <w:tcPr>
            <w:tcW w:w="4831" w:type="dxa"/>
          </w:tcPr>
          <w:p w:rsidR="00B63A7E" w:rsidRPr="00A85CB2" w:rsidRDefault="00B63A7E" w:rsidP="00A85CB2">
            <w:pPr>
              <w:pStyle w:val="NormalnyWeb"/>
              <w:spacing w:before="240" w:beforeAutospacing="0" w:after="60" w:afterAutospacing="0" w:line="276" w:lineRule="auto"/>
              <w:rPr>
                <w:b/>
                <w:sz w:val="20"/>
                <w:szCs w:val="20"/>
              </w:rPr>
            </w:pPr>
            <w:r w:rsidRPr="00A85CB2">
              <w:rPr>
                <w:b/>
                <w:sz w:val="20"/>
                <w:szCs w:val="20"/>
              </w:rPr>
              <w:t>1. Badania przy kwalifikacji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6"/>
              </w:numPr>
              <w:spacing w:before="60" w:beforeAutospacing="0" w:after="60" w:afterAutospacing="0" w:line="276" w:lineRule="auto"/>
              <w:ind w:left="270" w:hanging="270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 xml:space="preserve">Spirometria; 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6"/>
              </w:numPr>
              <w:spacing w:before="60" w:beforeAutospacing="0" w:after="60" w:afterAutospacing="0" w:line="276" w:lineRule="auto"/>
              <w:ind w:left="270" w:hanging="270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 xml:space="preserve">Oznaczenie pojemności dyfuzyjnej CO (DLco); 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6"/>
              </w:numPr>
              <w:spacing w:before="60" w:beforeAutospacing="0" w:after="60" w:afterAutospacing="0" w:line="276" w:lineRule="auto"/>
              <w:ind w:left="270" w:hanging="270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TKWR klatki piersiowej (tomografia komputerowa wysokiej rozdzielczości);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6"/>
              </w:numPr>
              <w:spacing w:before="60" w:beforeAutospacing="0" w:after="60" w:afterAutospacing="0" w:line="276" w:lineRule="auto"/>
              <w:ind w:left="270" w:hanging="270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Chirurgiczna biopsja płuc z oceną (badanie nieobligatoryjne) ;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6"/>
              </w:numPr>
              <w:spacing w:before="60" w:beforeAutospacing="0" w:after="60" w:afterAutospacing="0" w:line="276" w:lineRule="auto"/>
              <w:ind w:left="270" w:hanging="270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Gazometria krwi lub pulsoksymetria;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6"/>
              </w:numPr>
              <w:spacing w:before="60" w:beforeAutospacing="0" w:after="60" w:afterAutospacing="0" w:line="276" w:lineRule="auto"/>
              <w:ind w:left="270" w:hanging="270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Aktywność AlAT i AspAT, bilirubina w surowicy, wskaźnik protrombinowy;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6"/>
              </w:numPr>
              <w:spacing w:before="60" w:beforeAutospacing="0" w:after="60" w:afterAutospacing="0" w:line="276" w:lineRule="auto"/>
              <w:ind w:left="270" w:hanging="270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Klirens kreatyniny endogennej;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6"/>
              </w:numPr>
              <w:spacing w:before="60" w:beforeAutospacing="0" w:after="60" w:afterAutospacing="0" w:line="276" w:lineRule="auto"/>
              <w:ind w:left="270" w:hanging="270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 xml:space="preserve">Morfologia krwi. </w:t>
            </w:r>
          </w:p>
          <w:p w:rsidR="00B63A7E" w:rsidRPr="00A85CB2" w:rsidRDefault="00B63A7E" w:rsidP="00A85CB2">
            <w:pPr>
              <w:pStyle w:val="NormalnyWeb"/>
              <w:spacing w:before="240" w:beforeAutospacing="0" w:after="60" w:afterAutospacing="0" w:line="276" w:lineRule="auto"/>
              <w:rPr>
                <w:b/>
                <w:sz w:val="20"/>
                <w:szCs w:val="20"/>
              </w:rPr>
            </w:pPr>
            <w:r w:rsidRPr="00A85CB2">
              <w:rPr>
                <w:b/>
                <w:sz w:val="20"/>
                <w:szCs w:val="20"/>
              </w:rPr>
              <w:t>2. Monitorowanie leczenia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4"/>
              </w:numPr>
              <w:spacing w:before="60" w:beforeAutospacing="0" w:after="60" w:afterAutospacing="0" w:line="276" w:lineRule="auto"/>
              <w:ind w:left="270" w:hanging="283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Badania oceniające czynność układu oddechowego i skuteczność leczenia wykonywane co 6 miesięcy;</w:t>
            </w:r>
          </w:p>
          <w:p w:rsidR="00B63A7E" w:rsidRPr="00A85CB2" w:rsidRDefault="00B63A7E" w:rsidP="00A85CB2">
            <w:pPr>
              <w:pStyle w:val="NormalnyWeb"/>
              <w:numPr>
                <w:ilvl w:val="2"/>
                <w:numId w:val="5"/>
              </w:numPr>
              <w:spacing w:before="60" w:beforeAutospacing="0" w:after="60" w:afterAutospacing="0" w:line="276" w:lineRule="auto"/>
              <w:ind w:left="412" w:hanging="284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Spirometria;</w:t>
            </w:r>
          </w:p>
          <w:p w:rsidR="00B63A7E" w:rsidRPr="00A85CB2" w:rsidRDefault="00B63A7E" w:rsidP="00A85CB2">
            <w:pPr>
              <w:pStyle w:val="NormalnyWeb"/>
              <w:numPr>
                <w:ilvl w:val="2"/>
                <w:numId w:val="5"/>
              </w:numPr>
              <w:spacing w:before="60" w:beforeAutospacing="0" w:after="60" w:afterAutospacing="0" w:line="276" w:lineRule="auto"/>
              <w:ind w:left="412" w:hanging="284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DLco</w:t>
            </w:r>
          </w:p>
          <w:p w:rsidR="00B63A7E" w:rsidRPr="00A85CB2" w:rsidRDefault="00B63A7E" w:rsidP="00A85CB2">
            <w:pPr>
              <w:pStyle w:val="NormalnyWeb"/>
              <w:numPr>
                <w:ilvl w:val="2"/>
                <w:numId w:val="5"/>
              </w:numPr>
              <w:spacing w:before="60" w:beforeAutospacing="0" w:after="60" w:afterAutospacing="0" w:line="276" w:lineRule="auto"/>
              <w:ind w:left="412" w:hanging="284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Gazometria krwi lub pulsoksymetria;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4"/>
              </w:numPr>
              <w:spacing w:before="60" w:beforeAutospacing="0" w:after="60" w:afterAutospacing="0" w:line="276" w:lineRule="auto"/>
              <w:ind w:left="270" w:hanging="283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lastRenderedPageBreak/>
              <w:t>TKWR klatki piersiowej co 12 miesięcy;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4"/>
              </w:numPr>
              <w:spacing w:before="60" w:beforeAutospacing="0" w:after="60" w:afterAutospacing="0" w:line="276" w:lineRule="auto"/>
              <w:ind w:left="270" w:hanging="283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 xml:space="preserve">Badania oceniające funkcję wątroby w czasie terapii: </w:t>
            </w:r>
          </w:p>
          <w:p w:rsidR="00B63A7E" w:rsidRPr="00A85CB2" w:rsidRDefault="00B63A7E" w:rsidP="00A85CB2">
            <w:pPr>
              <w:pStyle w:val="NormalnyWeb"/>
              <w:numPr>
                <w:ilvl w:val="2"/>
                <w:numId w:val="4"/>
              </w:numPr>
              <w:spacing w:before="60" w:beforeAutospacing="0" w:after="60" w:afterAutospacing="0" w:line="276" w:lineRule="auto"/>
              <w:ind w:left="412" w:hanging="284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Aktywność AlAT i AspAT oraz stężenie bilirubiny co miesiąc w ciągu pierwszych 6 miesięcy; leczenia, a następnie co 3 miesiące;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4"/>
              </w:numPr>
              <w:spacing w:before="60" w:beforeAutospacing="0" w:after="60" w:afterAutospacing="0" w:line="276" w:lineRule="auto"/>
              <w:ind w:left="270" w:hanging="270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Morfologia krwi co 6 miesięcy.</w:t>
            </w:r>
          </w:p>
          <w:p w:rsidR="00B63A7E" w:rsidRPr="00A85CB2" w:rsidRDefault="00B63A7E" w:rsidP="00A85CB2">
            <w:pPr>
              <w:pStyle w:val="NormalnyWeb"/>
              <w:spacing w:before="240" w:beforeAutospacing="0" w:after="60" w:afterAutospacing="0" w:line="276" w:lineRule="auto"/>
              <w:rPr>
                <w:b/>
                <w:sz w:val="20"/>
                <w:szCs w:val="20"/>
              </w:rPr>
            </w:pPr>
            <w:r w:rsidRPr="00A85CB2">
              <w:rPr>
                <w:b/>
                <w:sz w:val="20"/>
                <w:szCs w:val="20"/>
              </w:rPr>
              <w:t>3. Monitorowanie programu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3"/>
              </w:numPr>
              <w:spacing w:before="60" w:beforeAutospacing="0" w:after="60" w:afterAutospacing="0" w:line="276" w:lineRule="auto"/>
              <w:ind w:left="270" w:hanging="270"/>
              <w:jc w:val="both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Gromadzenie w dokumentacji medycznej pacjenta danych dotyczących monitorowania leczenia i każdorazowe ich przedstawianie na żądanie kontrolerów Narodowego Funduszu Zdrowia;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3"/>
              </w:numPr>
              <w:spacing w:before="60" w:beforeAutospacing="0" w:after="60" w:afterAutospacing="0" w:line="276" w:lineRule="auto"/>
              <w:ind w:left="270" w:hanging="270"/>
              <w:jc w:val="both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Uzupełnienie danych zawartych w rejestrze (SMPT) dostępnym za pomocą aplikacji internetowej udostępnionej przez OW NFZ, z częstotliwością zgodną z opisem programu oraz na zakończenie leczenia;</w:t>
            </w:r>
          </w:p>
          <w:p w:rsidR="00B63A7E" w:rsidRPr="00A85CB2" w:rsidRDefault="00B63A7E" w:rsidP="00A85CB2">
            <w:pPr>
              <w:pStyle w:val="NormalnyWeb"/>
              <w:numPr>
                <w:ilvl w:val="0"/>
                <w:numId w:val="3"/>
              </w:numPr>
              <w:spacing w:before="60" w:beforeAutospacing="0" w:after="60" w:afterAutospacing="0" w:line="276" w:lineRule="auto"/>
              <w:ind w:left="270" w:hanging="270"/>
              <w:jc w:val="both"/>
              <w:rPr>
                <w:sz w:val="20"/>
                <w:szCs w:val="20"/>
              </w:rPr>
            </w:pPr>
            <w:r w:rsidRPr="00A85CB2">
              <w:rPr>
                <w:sz w:val="20"/>
                <w:szCs w:val="20"/>
              </w:rPr>
              <w:t>Przekazywanie informacji sprawozdawczo-rozliczeniowych do NFZ: informacje przekazuje się do NFZ w formie papierowej lub w formie elektronicznej, zgodnie z wymaganiami opublikowanymi przez NFZ.</w:t>
            </w:r>
          </w:p>
        </w:tc>
      </w:tr>
      <w:tr w:rsidR="00BD2918" w:rsidRPr="00A85CB2" w:rsidTr="00A85CB2">
        <w:trPr>
          <w:trHeight w:val="70"/>
          <w:jc w:val="center"/>
        </w:trPr>
        <w:tc>
          <w:tcPr>
            <w:tcW w:w="15316" w:type="dxa"/>
            <w:gridSpan w:val="3"/>
          </w:tcPr>
          <w:p w:rsidR="00BD2918" w:rsidRPr="00A85CB2" w:rsidRDefault="00BD2918" w:rsidP="00A85CB2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b/>
                <w:i/>
                <w:sz w:val="20"/>
                <w:szCs w:val="20"/>
                <w:lang w:val="pl-PL"/>
              </w:rPr>
              <w:lastRenderedPageBreak/>
              <w:t>Leczenie idiopatycznego włóknienia płuc z zastosowaniem nintedanibu</w:t>
            </w:r>
          </w:p>
        </w:tc>
      </w:tr>
      <w:tr w:rsidR="00BD2918" w:rsidRPr="00A85CB2" w:rsidTr="00A85CB2">
        <w:trPr>
          <w:trHeight w:val="70"/>
          <w:jc w:val="center"/>
        </w:trPr>
        <w:tc>
          <w:tcPr>
            <w:tcW w:w="5098" w:type="dxa"/>
            <w:tcBorders>
              <w:bottom w:val="single" w:sz="4" w:space="0" w:color="auto"/>
            </w:tcBorders>
          </w:tcPr>
          <w:p w:rsidR="00BD2918" w:rsidRPr="00A85CB2" w:rsidRDefault="00BD2918" w:rsidP="00A85C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85CB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1. Kryteria kwalifikacji</w:t>
            </w:r>
          </w:p>
          <w:p w:rsidR="00BD2918" w:rsidRPr="00A85CB2" w:rsidRDefault="00BD2918" w:rsidP="00A85CB2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wiek ≥ 18 lat;</w:t>
            </w:r>
          </w:p>
          <w:p w:rsidR="00BD2918" w:rsidRPr="00A85CB2" w:rsidRDefault="00BD2918" w:rsidP="00A85CB2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rozpoznanie idiopatycznego włóknienia płuc (IPF), na podstawie badania tomografii komputerowej wysokiej rozdzielczości – TKWR; po uprzednim wykluczeniu znanych przyczyn włóknienia płuc przez lekarza specjalistę chorób płuc;</w:t>
            </w:r>
          </w:p>
          <w:p w:rsidR="00BD2918" w:rsidRPr="00A85CB2" w:rsidRDefault="00BD2918" w:rsidP="00A85CB2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lastRenderedPageBreak/>
              <w:t>w przypadku gdy badanie TKWR nie było wystarczające do postawienia diagnozy, konieczna jest ocena histopatologiczna materiału pobranego w czasie chirurgicznej biopsji płuca;</w:t>
            </w:r>
          </w:p>
          <w:p w:rsidR="00BD2918" w:rsidRPr="00A85CB2" w:rsidRDefault="00BD2918" w:rsidP="00A85CB2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FVC ≥ 50% wartości należnej;</w:t>
            </w:r>
          </w:p>
          <w:p w:rsidR="00BD2918" w:rsidRPr="00A85CB2" w:rsidRDefault="00BD2918" w:rsidP="00A85CB2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pojemność dyfuzyjna płuc DL</w:t>
            </w: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softHyphen/>
            </w: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pl-PL"/>
              </w:rPr>
              <w:t>CO</w:t>
            </w: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 xml:space="preserve"> powyżej 30%;</w:t>
            </w:r>
          </w:p>
          <w:p w:rsidR="00BD2918" w:rsidRPr="00A85CB2" w:rsidRDefault="00BD2918" w:rsidP="00A85CB2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brak przeciwwskazań do stosowania leku, tj.:</w:t>
            </w:r>
          </w:p>
          <w:p w:rsidR="00BD2918" w:rsidRPr="00A85CB2" w:rsidRDefault="00BD2918" w:rsidP="00A85CB2">
            <w:pPr>
              <w:widowControl w:val="0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nadwrażliwość na lek,</w:t>
            </w:r>
          </w:p>
          <w:p w:rsidR="00BD2918" w:rsidRPr="00A85CB2" w:rsidRDefault="00BD2918" w:rsidP="00A85CB2">
            <w:pPr>
              <w:widowControl w:val="0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ciąża,</w:t>
            </w:r>
          </w:p>
          <w:p w:rsidR="00BD2918" w:rsidRPr="00A85CB2" w:rsidRDefault="00BD2918" w:rsidP="00A85CB2">
            <w:pPr>
              <w:widowControl w:val="0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karmienie piersią,</w:t>
            </w:r>
          </w:p>
          <w:p w:rsidR="00BD2918" w:rsidRPr="00A85CB2" w:rsidRDefault="00BD2918" w:rsidP="00A85CB2">
            <w:pPr>
              <w:widowControl w:val="0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inne przeciwskazania określone w aktualnej Charakterystyce Produktu Leczniczego.</w:t>
            </w:r>
          </w:p>
          <w:p w:rsidR="00BD2918" w:rsidRPr="00A85CB2" w:rsidRDefault="00BD2918" w:rsidP="00A85CB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Kryteria kwalifikacji muszą być spełnione łącznie.</w:t>
            </w:r>
          </w:p>
          <w:p w:rsidR="00BD2918" w:rsidRPr="00A85CB2" w:rsidRDefault="00BD2918" w:rsidP="00A85CB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</w:p>
          <w:p w:rsidR="00BD2918" w:rsidRPr="00A85CB2" w:rsidRDefault="00BD2918" w:rsidP="00A85C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pl-PL"/>
              </w:rPr>
              <w:t>2. Określenie czasu leczenia w programie</w:t>
            </w:r>
          </w:p>
          <w:p w:rsidR="00BD2918" w:rsidRPr="00A85CB2" w:rsidRDefault="00BD2918" w:rsidP="00A85C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Leczenie należy kontynuować aż  nie wystąpi którekolwiek z kryteriów wyłączenia z programu.</w:t>
            </w:r>
          </w:p>
          <w:p w:rsidR="00BD2918" w:rsidRPr="00A85CB2" w:rsidRDefault="00BD2918" w:rsidP="00A85C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85CB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3. Kryteria wyłączenia z programu</w:t>
            </w:r>
          </w:p>
          <w:p w:rsidR="00BD2918" w:rsidRPr="00A85CB2" w:rsidRDefault="00BD2918" w:rsidP="00A85CB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progresja choroby definiowana jako obniżenie FVC o co najmniej 10% w ciągu pierwszych 12 miesięcy leczenia, a następnie co 6 miesięcy, potwierdzone w dwóch badaniach spirometrycznych wykonanych w odstępie 2-4 tygodni mierzona co 6 miesięcy leczenia.</w:t>
            </w:r>
          </w:p>
          <w:p w:rsidR="00BD2918" w:rsidRPr="00A85CB2" w:rsidRDefault="00BD2918" w:rsidP="00A85CB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nadwrażliwość na nintedanib lub substancje pomocnicze;</w:t>
            </w:r>
          </w:p>
          <w:p w:rsidR="00BD2918" w:rsidRPr="00A85CB2" w:rsidRDefault="00BD2918" w:rsidP="00A85CB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ciąża </w:t>
            </w:r>
            <w:r w:rsidRPr="00A85CB2">
              <w:rPr>
                <w:rFonts w:ascii="Times New Roman" w:hAnsi="Times New Roman" w:cs="Times New Roman"/>
                <w:sz w:val="20"/>
                <w:szCs w:val="20"/>
              </w:rPr>
              <w:t>lub karmienie piersią</w:t>
            </w: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BD2918" w:rsidRPr="00A85CB2" w:rsidRDefault="00BD2918" w:rsidP="00A85CB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przeciwskazania określone w aktualnej Charakterystyce Produktu Leczniczego;</w:t>
            </w:r>
          </w:p>
          <w:p w:rsidR="00BD2918" w:rsidRPr="00A85CB2" w:rsidRDefault="00BD2918" w:rsidP="00A85CB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 xml:space="preserve">wystąpienie klinicznie istotnej toksyczności leczenia uniemożliwiającej jego kontynuację, wznowienie leczenia jest uwarunkowane ustąpieniem objawów </w:t>
            </w: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lastRenderedPageBreak/>
              <w:t>toksyczności zgodnie z zapisami aktualnej Charakterystyki Produktu Leczniczego;</w:t>
            </w:r>
          </w:p>
          <w:p w:rsidR="00BD2918" w:rsidRPr="00A85CB2" w:rsidRDefault="00BD2918" w:rsidP="00A85CB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rezygnacja pacjenta - wycofanie zgody na udział w programie.</w:t>
            </w:r>
          </w:p>
        </w:tc>
        <w:tc>
          <w:tcPr>
            <w:tcW w:w="5387" w:type="dxa"/>
          </w:tcPr>
          <w:p w:rsidR="00BD2918" w:rsidRPr="00A85CB2" w:rsidRDefault="00BD2918" w:rsidP="00A85C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pl-PL"/>
              </w:rPr>
              <w:lastRenderedPageBreak/>
              <w:t>1. Dawkowanie</w:t>
            </w:r>
          </w:p>
          <w:p w:rsidR="00BD2918" w:rsidRPr="00A85CB2" w:rsidRDefault="00BD2918" w:rsidP="00A85C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"/>
              </w:rPr>
              <w:t>Dawkowanie oraz kryteria i sposób modyfikacji dawkowania prowadzone są zgodnie z aktualną Charakterystyką Produktu Leczniczego.</w:t>
            </w:r>
          </w:p>
          <w:p w:rsidR="00BD2918" w:rsidRPr="00A85CB2" w:rsidRDefault="00BD2918" w:rsidP="00A85C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"/>
              </w:rPr>
            </w:pPr>
          </w:p>
        </w:tc>
        <w:tc>
          <w:tcPr>
            <w:tcW w:w="4831" w:type="dxa"/>
          </w:tcPr>
          <w:p w:rsidR="00BD2918" w:rsidRPr="00A85CB2" w:rsidRDefault="00BD2918" w:rsidP="00A85C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85CB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1. Badania przy kwalifikacji</w:t>
            </w:r>
          </w:p>
          <w:p w:rsidR="00BD2918" w:rsidRPr="00A85CB2" w:rsidRDefault="00BD2918" w:rsidP="00A85CB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tomografia komputerowa wysokiej rozdzielczości (TKWR) – jeśli nie była wykonana w ciągu ostatnich 12 miesięcy;</w:t>
            </w:r>
          </w:p>
          <w:p w:rsidR="00BD2918" w:rsidRPr="00A85CB2" w:rsidRDefault="00BD2918" w:rsidP="00A85CB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w razie trudności diagnostycznych, w oparciu jedynie o obraz uzyskany w tomografii komputerowej, ocena próbek materiału histologicznego pochodzących z biopsji płuc;</w:t>
            </w:r>
          </w:p>
          <w:p w:rsidR="00BD2918" w:rsidRPr="00A85CB2" w:rsidRDefault="00BD2918" w:rsidP="00A85CB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badanie spirometryczne;</w:t>
            </w:r>
          </w:p>
          <w:p w:rsidR="00BD2918" w:rsidRPr="00A85CB2" w:rsidRDefault="00BD2918" w:rsidP="00A85CB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badanie zdolności dyfuzji gazów w płucach - DL</w:t>
            </w: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pl-PL"/>
              </w:rPr>
              <w:t>CO</w:t>
            </w: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 xml:space="preserve"> </w:t>
            </w:r>
          </w:p>
          <w:p w:rsidR="00BD2918" w:rsidRPr="00A85CB2" w:rsidRDefault="00BD2918" w:rsidP="00A85CB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morfologia krwi;</w:t>
            </w:r>
          </w:p>
          <w:p w:rsidR="00BD2918" w:rsidRPr="00A85CB2" w:rsidRDefault="00BD2918" w:rsidP="00A85CB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oznaczenie stężenia kreatyniny, oznaczenie stężenia bilirubiny, aktywności aminotransferazy alaninowej, oznaczenie aktywności aminotransferazy asparaginianowej, wskaźnika protrombinowego;</w:t>
            </w:r>
          </w:p>
          <w:p w:rsidR="00BD2918" w:rsidRPr="00A85CB2" w:rsidRDefault="00BD2918" w:rsidP="00A85CB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12-odprowadzeniowe EKG.</w:t>
            </w:r>
          </w:p>
          <w:p w:rsidR="00BD2918" w:rsidRPr="00A85CB2" w:rsidRDefault="00BD2918" w:rsidP="00A85CB2">
            <w:pPr>
              <w:autoSpaceDE w:val="0"/>
              <w:autoSpaceDN w:val="0"/>
              <w:adjustRightInd w:val="0"/>
              <w:spacing w:after="0"/>
              <w:ind w:left="36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BD2918" w:rsidRPr="00A85CB2" w:rsidRDefault="00BD2918" w:rsidP="00A85C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85CB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2. Monitorowanie leczenia</w:t>
            </w:r>
          </w:p>
          <w:p w:rsidR="00BD2918" w:rsidRPr="00A85CB2" w:rsidRDefault="00BD2918" w:rsidP="00A85CB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badanie spirometryczne co 6 m-cy;</w:t>
            </w:r>
          </w:p>
          <w:p w:rsidR="00BD2918" w:rsidRPr="00A85CB2" w:rsidRDefault="00BD2918" w:rsidP="00A85CB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gazometria krwi lub pulsoksymetria co 6 m-cy;</w:t>
            </w:r>
          </w:p>
          <w:p w:rsidR="00BD2918" w:rsidRPr="00A85CB2" w:rsidRDefault="00BD2918" w:rsidP="00A85CB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badanie zdolności dyfuzji gazów w płucach - DL</w:t>
            </w: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pl-PL"/>
              </w:rPr>
              <w:t>CO</w:t>
            </w: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 xml:space="preserve"> co 6 m-cy;</w:t>
            </w:r>
          </w:p>
          <w:p w:rsidR="00BD2918" w:rsidRPr="00A85CB2" w:rsidRDefault="00BD2918" w:rsidP="00A85CB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morfologia krwi co 6 miesięcy, </w:t>
            </w:r>
          </w:p>
          <w:p w:rsidR="00BD2918" w:rsidRPr="00A85CB2" w:rsidRDefault="00BD2918" w:rsidP="00A85CB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badanie czynności wątroby (aktywność aminotransferaz i stężenie bilirubiny) przy każdej wizycie;</w:t>
            </w:r>
          </w:p>
          <w:p w:rsidR="00BD2918" w:rsidRPr="00A85CB2" w:rsidRDefault="00BD2918" w:rsidP="00A85CB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12-odprowadzeniowe EKG co 6 m-cy.</w:t>
            </w:r>
          </w:p>
          <w:p w:rsidR="00BD2918" w:rsidRPr="00A85CB2" w:rsidRDefault="00BD2918" w:rsidP="00A85C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</w:p>
          <w:p w:rsidR="00BD2918" w:rsidRPr="00A85CB2" w:rsidRDefault="00BD2918" w:rsidP="00A85CB2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pl-PL"/>
              </w:rPr>
              <w:t>3. Monitorowanie</w:t>
            </w:r>
            <w:r w:rsidRPr="00A85CB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pl-PL"/>
              </w:rPr>
              <w:t xml:space="preserve"> programu</w:t>
            </w:r>
          </w:p>
          <w:p w:rsidR="00BD2918" w:rsidRPr="00A85CB2" w:rsidRDefault="00BD2918" w:rsidP="00A85CB2">
            <w:pPr>
              <w:autoSpaceDE w:val="0"/>
              <w:autoSpaceDN w:val="0"/>
              <w:adjustRightInd w:val="0"/>
              <w:spacing w:after="60"/>
              <w:ind w:left="357" w:hanging="357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1)</w:t>
            </w: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ab/>
              <w:t>gromadzenie w dokumentacji medycznej pacjenta danych dotyczących monitorowania leczenia i każdorazowe ich przedstawianie na żądanie kontrolerów  Narodowego Funduszu Zdrowia;</w:t>
            </w:r>
          </w:p>
          <w:p w:rsidR="00BD2918" w:rsidRPr="00A85CB2" w:rsidRDefault="00BD2918" w:rsidP="00A85CB2">
            <w:pPr>
              <w:autoSpaceDE w:val="0"/>
              <w:autoSpaceDN w:val="0"/>
              <w:adjustRightInd w:val="0"/>
              <w:spacing w:before="60" w:after="60"/>
              <w:ind w:left="356" w:hanging="356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2)</w:t>
            </w:r>
            <w:r w:rsidRPr="00A85CB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ab/>
              <w:t>uzupełnienie danych zawartych w rejestrze (SMPT) dostępnym za pomocą aplikacji internetowej udostępnionej przez OW NFZ, z częstotliwością zgodną z opisem programu oraz na zakończenie leczenia;</w:t>
            </w:r>
          </w:p>
          <w:p w:rsidR="00BD2918" w:rsidRPr="00A85CB2" w:rsidRDefault="00ED12DF" w:rsidP="00A85CB2">
            <w:pPr>
              <w:pStyle w:val="NormalnyWeb"/>
              <w:spacing w:before="240" w:beforeAutospacing="0" w:after="60" w:afterAutospacing="0" w:line="276" w:lineRule="auto"/>
              <w:rPr>
                <w:b/>
                <w:sz w:val="20"/>
                <w:szCs w:val="20"/>
              </w:rPr>
            </w:pPr>
            <w:r w:rsidRPr="00A85CB2">
              <w:rPr>
                <w:color w:val="000000" w:themeColor="text1"/>
                <w:sz w:val="20"/>
                <w:szCs w:val="20"/>
              </w:rPr>
              <w:lastRenderedPageBreak/>
              <w:t xml:space="preserve">3) </w:t>
            </w:r>
            <w:r w:rsidR="00BD2918" w:rsidRPr="00A85CB2">
              <w:rPr>
                <w:color w:val="000000" w:themeColor="text1"/>
                <w:sz w:val="20"/>
                <w:szCs w:val="20"/>
              </w:rPr>
              <w:t>przekazywanie informacji sprawozdawczo-rozliczeniowych do NFZ: informacje przekazuje się do NFZ w formie papierowej lub w formie elektronicznej, zgodnie z wymaganiami opublikowanymi przez Narodowy Fundusz Zdrowia.</w:t>
            </w:r>
          </w:p>
        </w:tc>
      </w:tr>
    </w:tbl>
    <w:p w:rsidR="00B73B51" w:rsidRPr="00A2533A" w:rsidRDefault="00B73B51" w:rsidP="00B63A7E">
      <w:pPr>
        <w:rPr>
          <w:lang w:val="pl-PL"/>
        </w:rPr>
      </w:pPr>
    </w:p>
    <w:sectPr w:rsidR="00B73B51" w:rsidRPr="00A2533A" w:rsidSect="00A2533A">
      <w:pgSz w:w="16840" w:h="11907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AFD" w:rsidRDefault="005B3AFD" w:rsidP="00BD2918">
      <w:pPr>
        <w:spacing w:after="0" w:line="240" w:lineRule="auto"/>
      </w:pPr>
      <w:r>
        <w:separator/>
      </w:r>
    </w:p>
  </w:endnote>
  <w:endnote w:type="continuationSeparator" w:id="0">
    <w:p w:rsidR="005B3AFD" w:rsidRDefault="005B3AFD" w:rsidP="00BD2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AFD" w:rsidRDefault="005B3AFD" w:rsidP="00BD2918">
      <w:pPr>
        <w:spacing w:after="0" w:line="240" w:lineRule="auto"/>
      </w:pPr>
      <w:r>
        <w:separator/>
      </w:r>
    </w:p>
  </w:footnote>
  <w:footnote w:type="continuationSeparator" w:id="0">
    <w:p w:rsidR="005B3AFD" w:rsidRDefault="005B3AFD" w:rsidP="00BD2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1256"/>
    <w:multiLevelType w:val="hybridMultilevel"/>
    <w:tmpl w:val="5ADE8096"/>
    <w:lvl w:ilvl="0" w:tplc="172AEC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B6F"/>
    <w:multiLevelType w:val="hybridMultilevel"/>
    <w:tmpl w:val="8898D44C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D0E26"/>
    <w:multiLevelType w:val="hybridMultilevel"/>
    <w:tmpl w:val="DF6489C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F2033"/>
    <w:multiLevelType w:val="hybridMultilevel"/>
    <w:tmpl w:val="EA2652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D498A"/>
    <w:multiLevelType w:val="hybridMultilevel"/>
    <w:tmpl w:val="20803A60"/>
    <w:lvl w:ilvl="0" w:tplc="AC1646B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39D6337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9D6337C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C6E12"/>
    <w:multiLevelType w:val="multilevel"/>
    <w:tmpl w:val="E91EC902"/>
    <w:lvl w:ilvl="0">
      <w:start w:val="1"/>
      <w:numFmt w:val="decimal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 w15:restartNumberingAfterBreak="0">
    <w:nsid w:val="33E23178"/>
    <w:multiLevelType w:val="hybridMultilevel"/>
    <w:tmpl w:val="18F2554E"/>
    <w:lvl w:ilvl="0" w:tplc="AC1646B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39D6337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9D6337C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259BA"/>
    <w:multiLevelType w:val="hybridMultilevel"/>
    <w:tmpl w:val="4514A270"/>
    <w:lvl w:ilvl="0" w:tplc="89ECC2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115B3"/>
    <w:multiLevelType w:val="hybridMultilevel"/>
    <w:tmpl w:val="6B168B9E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240BDF"/>
    <w:multiLevelType w:val="hybridMultilevel"/>
    <w:tmpl w:val="2EF498B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7E"/>
    <w:rsid w:val="000B3AFD"/>
    <w:rsid w:val="005B3AFD"/>
    <w:rsid w:val="00770D22"/>
    <w:rsid w:val="007905D7"/>
    <w:rsid w:val="00A2533A"/>
    <w:rsid w:val="00A85CB2"/>
    <w:rsid w:val="00B63A7E"/>
    <w:rsid w:val="00B73B51"/>
    <w:rsid w:val="00BD2918"/>
    <w:rsid w:val="00BE7753"/>
    <w:rsid w:val="00E01C56"/>
    <w:rsid w:val="00ED12DF"/>
    <w:rsid w:val="00F6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CE26B-EBD1-4F86-AAF2-BCBB7D4F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63A7E"/>
    <w:pPr>
      <w:spacing w:after="200" w:line="276" w:lineRule="auto"/>
    </w:pPr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63A7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B63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63A7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63A7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63A7E"/>
    <w:rPr>
      <w:sz w:val="20"/>
      <w:szCs w:val="20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3A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3A7E"/>
    <w:rPr>
      <w:rFonts w:ascii="Segoe UI" w:hAnsi="Segoe UI" w:cs="Segoe UI"/>
      <w:sz w:val="18"/>
      <w:szCs w:val="18"/>
      <w:lang w:val="en-US"/>
    </w:rPr>
  </w:style>
  <w:style w:type="paragraph" w:styleId="Nagwek">
    <w:name w:val="header"/>
    <w:basedOn w:val="Normalny"/>
    <w:link w:val="NagwekZnak"/>
    <w:unhideWhenUsed/>
    <w:rsid w:val="00BD2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BD2918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BD2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2918"/>
    <w:rPr>
      <w:lang w:val="en-US"/>
    </w:rPr>
  </w:style>
  <w:style w:type="paragraph" w:styleId="Akapitzlist">
    <w:name w:val="List Paragraph"/>
    <w:basedOn w:val="Normalny"/>
    <w:uiPriority w:val="34"/>
    <w:qFormat/>
    <w:rsid w:val="00BD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33979-4715-4E04-8273-E073ADA86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966</Words>
  <Characters>5797</Characters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2016-03-02T11:55:00Z</cp:lastPrinted>
  <dcterms:created xsi:type="dcterms:W3CDTF">2018-01-22T13:33:00Z</dcterms:created>
  <dcterms:modified xsi:type="dcterms:W3CDTF">2018-02-09T11:47:00Z</dcterms:modified>
</cp:coreProperties>
</file>