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8DC49" w14:textId="390C5950" w:rsidR="0040465B" w:rsidRPr="007F197D" w:rsidRDefault="0040465B" w:rsidP="007C3087">
      <w:pPr>
        <w:spacing w:after="0" w:line="240" w:lineRule="auto"/>
        <w:rPr>
          <w:rFonts w:ascii="Times New Roman" w:hAnsi="Times New Roman" w:cs="Times New Roman"/>
        </w:rPr>
      </w:pPr>
      <w:r w:rsidRPr="007F197D">
        <w:rPr>
          <w:rFonts w:ascii="Times New Roman" w:hAnsi="Times New Roman" w:cs="Times New Roman"/>
        </w:rPr>
        <w:t>Załącznik</w:t>
      </w:r>
      <w:r w:rsidR="008B04DB" w:rsidRPr="007F197D">
        <w:rPr>
          <w:rFonts w:ascii="Times New Roman" w:hAnsi="Times New Roman" w:cs="Times New Roman"/>
        </w:rPr>
        <w:t xml:space="preserve"> </w:t>
      </w:r>
      <w:r w:rsidRPr="007F197D">
        <w:rPr>
          <w:rFonts w:ascii="Times New Roman" w:hAnsi="Times New Roman" w:cs="Times New Roman"/>
        </w:rPr>
        <w:t>B.9.</w:t>
      </w:r>
      <w:r w:rsidR="00514F88" w:rsidRPr="007F197D">
        <w:rPr>
          <w:rFonts w:ascii="Times New Roman" w:hAnsi="Times New Roman" w:cs="Times New Roman"/>
        </w:rPr>
        <w:t>FM.</w:t>
      </w:r>
    </w:p>
    <w:p w14:paraId="4A778B46" w14:textId="77777777" w:rsidR="0040465B" w:rsidRPr="007F197D" w:rsidRDefault="0040465B" w:rsidP="007C3087">
      <w:pPr>
        <w:spacing w:after="0" w:line="240" w:lineRule="auto"/>
        <w:rPr>
          <w:rFonts w:ascii="Times New Roman" w:hAnsi="Times New Roman" w:cs="Times New Roman"/>
        </w:rPr>
      </w:pPr>
    </w:p>
    <w:p w14:paraId="6726E374" w14:textId="77777777" w:rsidR="00E302B5" w:rsidRPr="007F197D" w:rsidRDefault="00663097" w:rsidP="007C308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197D">
        <w:rPr>
          <w:rFonts w:ascii="Times New Roman" w:hAnsi="Times New Roman" w:cs="Times New Roman"/>
          <w:b/>
          <w:sz w:val="28"/>
          <w:szCs w:val="28"/>
        </w:rPr>
        <w:t>LECZENIE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97D">
        <w:rPr>
          <w:rFonts w:ascii="Times New Roman" w:hAnsi="Times New Roman" w:cs="Times New Roman"/>
          <w:b/>
          <w:sz w:val="28"/>
          <w:szCs w:val="28"/>
        </w:rPr>
        <w:t>CHORYCH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97D">
        <w:rPr>
          <w:rFonts w:ascii="Times New Roman" w:hAnsi="Times New Roman" w:cs="Times New Roman"/>
          <w:b/>
          <w:sz w:val="28"/>
          <w:szCs w:val="28"/>
        </w:rPr>
        <w:t>NA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97D">
        <w:rPr>
          <w:rFonts w:ascii="Times New Roman" w:hAnsi="Times New Roman" w:cs="Times New Roman"/>
          <w:b/>
          <w:sz w:val="28"/>
          <w:szCs w:val="28"/>
        </w:rPr>
        <w:t>RAKA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97D">
        <w:rPr>
          <w:rFonts w:ascii="Times New Roman" w:hAnsi="Times New Roman" w:cs="Times New Roman"/>
          <w:b/>
          <w:sz w:val="28"/>
          <w:szCs w:val="28"/>
        </w:rPr>
        <w:t>PIERSI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65B" w:rsidRPr="007F197D">
        <w:rPr>
          <w:rFonts w:ascii="Times New Roman" w:hAnsi="Times New Roman" w:cs="Times New Roman"/>
          <w:b/>
          <w:sz w:val="28"/>
          <w:szCs w:val="28"/>
        </w:rPr>
        <w:t>(ICD-10</w:t>
      </w:r>
      <w:r w:rsidR="001A336C" w:rsidRPr="007F197D">
        <w:rPr>
          <w:rFonts w:ascii="Times New Roman" w:hAnsi="Times New Roman" w:cs="Times New Roman"/>
          <w:b/>
          <w:sz w:val="28"/>
          <w:szCs w:val="28"/>
        </w:rPr>
        <w:t>:</w:t>
      </w:r>
      <w:r w:rsidR="008B04DB" w:rsidRPr="007F1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65B" w:rsidRPr="007F197D">
        <w:rPr>
          <w:rFonts w:ascii="Times New Roman" w:hAnsi="Times New Roman" w:cs="Times New Roman"/>
          <w:b/>
          <w:sz w:val="28"/>
          <w:szCs w:val="28"/>
        </w:rPr>
        <w:t>C50)</w:t>
      </w:r>
    </w:p>
    <w:tbl>
      <w:tblPr>
        <w:tblStyle w:val="Tabela-Siatka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9"/>
        <w:gridCol w:w="4279"/>
        <w:gridCol w:w="4274"/>
        <w:gridCol w:w="6"/>
      </w:tblGrid>
      <w:tr w:rsidR="007F197D" w:rsidRPr="007F197D" w14:paraId="066786CF" w14:textId="77777777" w:rsidTr="008B04DB">
        <w:trPr>
          <w:gridAfter w:val="1"/>
          <w:wAfter w:w="6" w:type="dxa"/>
          <w:trHeight w:val="567"/>
          <w:jc w:val="center"/>
        </w:trPr>
        <w:tc>
          <w:tcPr>
            <w:tcW w:w="15352" w:type="dxa"/>
            <w:gridSpan w:val="3"/>
            <w:vAlign w:val="center"/>
          </w:tcPr>
          <w:p w14:paraId="59F0CFFA" w14:textId="77777777" w:rsidR="00F1705D" w:rsidRPr="007F197D" w:rsidRDefault="00127F97" w:rsidP="00FB6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7F197D" w:rsidRPr="007F197D" w14:paraId="38D3202B" w14:textId="77777777" w:rsidTr="00C76E0D">
        <w:trPr>
          <w:trHeight w:val="20"/>
          <w:jc w:val="center"/>
        </w:trPr>
        <w:tc>
          <w:tcPr>
            <w:tcW w:w="6799" w:type="dxa"/>
            <w:tcBorders>
              <w:bottom w:val="single" w:sz="4" w:space="0" w:color="auto"/>
            </w:tcBorders>
            <w:vAlign w:val="center"/>
          </w:tcPr>
          <w:p w14:paraId="4CAB76A2" w14:textId="77777777" w:rsidR="00971D9B" w:rsidRPr="007F197D" w:rsidRDefault="00971D9B" w:rsidP="00D92A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4279" w:type="dxa"/>
            <w:tcBorders>
              <w:bottom w:val="single" w:sz="4" w:space="0" w:color="auto"/>
            </w:tcBorders>
            <w:vAlign w:val="center"/>
          </w:tcPr>
          <w:p w14:paraId="68F310F9" w14:textId="77777777" w:rsidR="00F1705D" w:rsidRPr="007F197D" w:rsidRDefault="00E302B5" w:rsidP="00FB6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MAKSYMALNE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DAWKOWANIE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SUBSTANCJI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LECZNICZYCH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OBECNYCH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CZAS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</w:tc>
        <w:tc>
          <w:tcPr>
            <w:tcW w:w="4280" w:type="dxa"/>
            <w:gridSpan w:val="2"/>
            <w:vAlign w:val="center"/>
          </w:tcPr>
          <w:p w14:paraId="4FDEFE6B" w14:textId="77777777" w:rsidR="00F1705D" w:rsidRPr="007F197D" w:rsidRDefault="00971D9B" w:rsidP="00FB6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9E457E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8B04DB"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7C3087" w:rsidRPr="007F197D" w14:paraId="351CCAED" w14:textId="77777777" w:rsidTr="00C76E0D">
        <w:trPr>
          <w:trHeight w:val="20"/>
          <w:jc w:val="center"/>
        </w:trPr>
        <w:tc>
          <w:tcPr>
            <w:tcW w:w="6799" w:type="dxa"/>
            <w:tcBorders>
              <w:bottom w:val="single" w:sz="4" w:space="0" w:color="auto"/>
            </w:tcBorders>
          </w:tcPr>
          <w:p w14:paraId="1685EE89" w14:textId="77777777" w:rsidR="00705EF6" w:rsidRPr="007F197D" w:rsidRDefault="00705EF6" w:rsidP="00D92ACE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123E" w:rsidRPr="007F19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zawansowanego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(gdy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B5" w:rsidRPr="007F197D">
              <w:rPr>
                <w:rFonts w:ascii="Times New Roman" w:hAnsi="Times New Roman" w:cs="Times New Roman"/>
                <w:sz w:val="20"/>
                <w:szCs w:val="20"/>
              </w:rPr>
              <w:t>zastosowania)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2B1CBA3D" w14:textId="77777777" w:rsidR="00705EF6" w:rsidRPr="007F197D" w:rsidRDefault="00705EF6" w:rsidP="00B8464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21800B" w14:textId="77777777" w:rsidR="00705EF6" w:rsidRPr="007F197D" w:rsidRDefault="00705EF6" w:rsidP="00B8464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39DD39" w14:textId="77777777" w:rsidR="00705EF6" w:rsidRPr="007F197D" w:rsidRDefault="001746F7" w:rsidP="00B8464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emtanzyna</w:t>
            </w:r>
            <w:proofErr w:type="spellEnd"/>
            <w:r w:rsidR="00705EF6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EE8822A" w14:textId="77777777" w:rsidR="00AB2520" w:rsidRPr="007F197D" w:rsidRDefault="00AB2520" w:rsidP="00B8464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8D6506A" w14:textId="77777777" w:rsidR="00705EF6" w:rsidRPr="007F197D" w:rsidRDefault="00AB2520" w:rsidP="00B8464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derukstekan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D7AD1A" w14:textId="77777777" w:rsidR="00705EF6" w:rsidRPr="007F197D" w:rsidRDefault="00705EF6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(podawane niezależnie lub w formie produktu leczniczego złożonego,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D1899EF" w14:textId="77777777" w:rsidR="00705EF6" w:rsidRPr="007F197D" w:rsidRDefault="00705EF6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uzupełniającym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571F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71373"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71373" w:rsidRPr="007F197D">
              <w:rPr>
                <w:rFonts w:ascii="Times New Roman" w:hAnsi="Times New Roman" w:cs="Times New Roman"/>
                <w:sz w:val="20"/>
                <w:szCs w:val="20"/>
              </w:rPr>
              <w:t>emtanzyna</w:t>
            </w:r>
            <w:proofErr w:type="spellEnd"/>
            <w:r w:rsidR="00507B13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D63759" w14:textId="77777777" w:rsidR="007C3087" w:rsidRPr="007F197D" w:rsidRDefault="007C3087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61CC8" w14:textId="77777777" w:rsidR="00705EF6" w:rsidRPr="007F197D" w:rsidRDefault="00612ECE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istnieje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jednorazowa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użyciem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emtanzyn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5B217D" w14:textId="77777777" w:rsidR="00003FDE" w:rsidRPr="007F197D" w:rsidRDefault="00003FDE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08390" w14:textId="77777777" w:rsidR="00705EF6" w:rsidRPr="007F197D" w:rsidRDefault="00705EF6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3E43"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zawansowanego</w:t>
            </w:r>
            <w:r w:rsidR="007D210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raka 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(gdy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zastosowania)</w:t>
            </w:r>
            <w:r w:rsidR="007D210E" w:rsidRPr="007F197D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tosowane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numerami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określonymi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punktach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2.1.1.-2.1.</w:t>
            </w:r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.:</w:t>
            </w:r>
          </w:p>
          <w:p w14:paraId="70640C44" w14:textId="77777777" w:rsidR="00F1705D" w:rsidRPr="007F197D" w:rsidRDefault="00705EF6" w:rsidP="008603EC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(podawane niezależnie lub w formie produktu leczniczego złożonego,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5C76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5C76" w:rsidRPr="007F197D">
              <w:rPr>
                <w:rFonts w:ascii="Times New Roman" w:hAnsi="Times New Roman" w:cs="Times New Roman"/>
                <w:sz w:val="20"/>
                <w:szCs w:val="20"/>
              </w:rPr>
              <w:t>+/-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5C76"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wynosić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378EB4" w14:textId="77777777" w:rsidR="00F1705D" w:rsidRPr="007F197D" w:rsidRDefault="00705EF6" w:rsidP="008603EC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hormonoterapią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samodzielnie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otrzymywały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uzupełniającym</w:t>
            </w:r>
            <w:r w:rsidR="00AD20F0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4502"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paliatywnego,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</w:t>
            </w:r>
            <w:r w:rsidR="00B34502" w:rsidRPr="007F197D">
              <w:rPr>
                <w:rFonts w:ascii="Times New Roman" w:hAnsi="Times New Roman" w:cs="Times New Roman"/>
                <w:sz w:val="20"/>
                <w:szCs w:val="20"/>
              </w:rPr>
              <w:t>ś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otrzymywała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6A6EEC" w14:textId="77777777" w:rsidR="00F1705D" w:rsidRPr="007F197D" w:rsidRDefault="00C84355" w:rsidP="008603EC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emtanzyna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trzeciej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wystąpił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52E4447" w14:textId="77777777" w:rsidR="00F1705D" w:rsidRPr="007F197D" w:rsidRDefault="00F9775A" w:rsidP="008603EC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kapecytabiną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trzeciej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czwartej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A1486A" w:rsidRPr="007F197D">
              <w:rPr>
                <w:rFonts w:ascii="Times New Roman" w:hAnsi="Times New Roman" w:cs="Times New Roman"/>
                <w:sz w:val="20"/>
                <w:szCs w:val="20"/>
              </w:rPr>
              <w:t>/-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emtanzyna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występują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ośrodkowego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nerwowego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odanie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tukatynibu</w:t>
            </w:r>
            <w:proofErr w:type="spellEnd"/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wymaga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najmniej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jednej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paliatywnej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anty-HER2</w:t>
            </w:r>
            <w:r w:rsidR="00AB2520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6AFE2B09" w14:textId="77777777" w:rsidR="00F1705D" w:rsidRPr="007F197D" w:rsidRDefault="00AB2520" w:rsidP="008603EC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355B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derukstekan</w:t>
            </w:r>
            <w:proofErr w:type="spellEnd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 drugiej lub trzeciej lub czwartej linii leczenia stosowanej z powodu nieoperacyjnego lub zaawansowanego HER2-dodatniego raka piersi  po zastosowaniu co najmniej jednej linii terapii anty-HER2.</w:t>
            </w:r>
          </w:p>
          <w:p w14:paraId="33C5F0E8" w14:textId="77777777" w:rsidR="00D2729B" w:rsidRPr="007F197D" w:rsidRDefault="00D2729B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B7B8D7" w14:textId="77777777" w:rsidR="00D2729B" w:rsidRPr="007F197D" w:rsidRDefault="00D2729B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programie finansuje się leczenie przerzutowego lub miejscowo zaawansowanego (gdy radykalne leczenie miejscowe jest nieskuteczne lub niemożliwe do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zastosowania) raka piersi z niską ekspresją HER2 (IHC 1+ lub IHC 2+/ISH−) niezależnie od statusu receptorów hormonalnych substancją: </w:t>
            </w:r>
          </w:p>
          <w:p w14:paraId="623AF1A9" w14:textId="77777777" w:rsidR="00D2729B" w:rsidRPr="007F197D" w:rsidRDefault="00D2729B" w:rsidP="008603EC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derukstekan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u chorych, którzy otrzymali wcześniej leczenie systemowe w przerzutowym raku piersi (przynajmniej jedna linia leczenia) lub u których doszło do nawrotu choroby w okresie otrzymywania chemioterapii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w ciągu 6 miesięcy od jej zakończenia, a 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hormonozależnym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raku piersi tylko, gdy w leczeniu przerzutowego raka piersi była stosowana hormonoterapia z lub bez inhibitorów CDK4/6 (o ile nie ma przeciwwskazań do takiego schematu leczenia).</w:t>
            </w:r>
          </w:p>
          <w:p w14:paraId="0A55CD45" w14:textId="77777777" w:rsidR="00033A6E" w:rsidRPr="007F197D" w:rsidRDefault="00D25DD4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 programie finansuje się leczenie pooperacyjne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hormonoterapią</w:t>
            </w:r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inhibitorem </w:t>
            </w:r>
            <w:proofErr w:type="spellStart"/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HR+, HER2-ujemnego raka piersi z wysokim ryzykiem nawrotu określonym klinicznie lub patomorfologicznie zgodnie z pkt 5) kryteriów włączenia.</w:t>
            </w:r>
          </w:p>
          <w:p w14:paraId="18B0809F" w14:textId="77777777" w:rsidR="00A80C64" w:rsidRPr="007F197D" w:rsidRDefault="00A80C64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32236" w14:textId="77777777" w:rsidR="00785C79" w:rsidRPr="007F197D" w:rsidRDefault="00785C79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D2D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D2D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D2D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D7D2D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1EA0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(gdy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zastosowania) HER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C1AF3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439E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439E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439E" w:rsidRPr="007F197D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18845247" w14:textId="77777777" w:rsidR="00F1705D" w:rsidRPr="007F197D" w:rsidRDefault="0092439E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palbocyklibem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552D69" w14:textId="77777777" w:rsidR="00F1705D" w:rsidRPr="007F197D" w:rsidRDefault="0092439E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BBD0CB" w14:textId="77777777" w:rsidR="00F1705D" w:rsidRPr="007F197D" w:rsidRDefault="0092439E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459F57" w14:textId="77777777" w:rsidR="00F1705D" w:rsidRPr="007F197D" w:rsidRDefault="0092439E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alpelisybem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FE8ACB" w14:textId="77777777" w:rsidR="00500AEA" w:rsidRPr="007F197D" w:rsidRDefault="00500AEA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kapiwasertybem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21F84CE" w14:textId="77777777" w:rsidR="00F1705D" w:rsidRPr="007F197D" w:rsidRDefault="0092439E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E517B2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36C4BA" w14:textId="77777777" w:rsidR="00F1705D" w:rsidRPr="007F197D" w:rsidRDefault="00E517B2" w:rsidP="008603EC">
            <w:pPr>
              <w:numPr>
                <w:ilvl w:val="3"/>
                <w:numId w:val="1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625F101" w14:textId="77777777" w:rsidR="00033A6E" w:rsidRPr="007F197D" w:rsidRDefault="00033A6E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BA09D" w14:textId="77777777" w:rsidR="00F1705D" w:rsidRPr="007F197D" w:rsidRDefault="00033A6E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</w:t>
            </w:r>
            <w:r w:rsidR="0063355B" w:rsidRPr="007F197D">
              <w:rPr>
                <w:rFonts w:ascii="Times New Roman" w:hAnsi="Times New Roman" w:cs="Times New Roman"/>
                <w:sz w:val="20"/>
                <w:szCs w:val="20"/>
              </w:rPr>
              <w:t>leczeniu uzupełniającym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luminalnego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HER2</w:t>
            </w:r>
            <w:r w:rsidR="00AC1AF3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ujemnego raka piersi oraz potrójnie ujemnego raka piersi stosowany jest: </w:t>
            </w:r>
          </w:p>
          <w:p w14:paraId="556D5411" w14:textId="77777777" w:rsidR="00F1705D" w:rsidRPr="007F197D" w:rsidRDefault="0063355B" w:rsidP="008603EC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w skojarzeniu z terapią hormonalną w leczeniu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adjuwantowym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dorosłych pacjentów z </w:t>
            </w:r>
            <w:proofErr w:type="spellStart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>germinalnymi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mutacjami BRCA1/2, u </w:t>
            </w:r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których występuje HER2</w:t>
            </w:r>
            <w:r w:rsidR="00FA2F38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ujemny wczesny rak piersi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wysokiego ryzyka</w:t>
            </w:r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, leczony wcześniej chemioterapią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neoadjuwantową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adjuwantową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E3EF062" w14:textId="77777777" w:rsidR="00A468E5" w:rsidRPr="007F197D" w:rsidRDefault="00A468E5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8C222" w14:textId="77777777" w:rsidR="00B34502" w:rsidRPr="007F197D" w:rsidRDefault="00B34502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(gdy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zastosowania)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numerami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określonymi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punktach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67D2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367D2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.1.-</w:t>
            </w:r>
            <w:r w:rsidR="00080C2A" w:rsidRPr="007F197D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.4.:</w:t>
            </w:r>
          </w:p>
          <w:p w14:paraId="125C66B9" w14:textId="77777777" w:rsidR="00F1705D" w:rsidRPr="007F197D" w:rsidRDefault="00B34502" w:rsidP="008603EC">
            <w:pPr>
              <w:numPr>
                <w:ilvl w:val="3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palbocyklib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rybocyklib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DD8EE9" w14:textId="77777777" w:rsidR="00F1705D" w:rsidRPr="007F197D" w:rsidRDefault="006A38A9" w:rsidP="008603EC">
            <w:pPr>
              <w:numPr>
                <w:ilvl w:val="3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rybocyklib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palbocyklib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rybocyklib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C07A54" w14:textId="77777777" w:rsidR="00F1705D" w:rsidRPr="007F197D" w:rsidRDefault="00C4087D" w:rsidP="008603EC">
            <w:pPr>
              <w:numPr>
                <w:ilvl w:val="3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alpelisyb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nawrocie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hormonalnego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21C1C1" w14:textId="77777777" w:rsidR="00500AEA" w:rsidRPr="007F197D" w:rsidRDefault="00500AEA" w:rsidP="008603EC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kapiwasertyb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drugiej lub trzeciej linii leczenia finansowanej w ramach programu lekowego - po progresji lub nawrocie raka piersi u chorych w trakcie lub po zakończeniu leczenia hormonalnego, a w pierwszej linii tylko, gdy była stosowana terapia uzupełniająca inhibitorem CDK 4/6;</w:t>
            </w:r>
          </w:p>
          <w:p w14:paraId="2012EFC4" w14:textId="77777777" w:rsidR="00F1705D" w:rsidRPr="007F197D" w:rsidRDefault="00C4087D" w:rsidP="008603EC">
            <w:pPr>
              <w:numPr>
                <w:ilvl w:val="3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talazoparyb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olaparyb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trzeciej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obecnością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>germinalnych</w:t>
            </w:r>
            <w:proofErr w:type="spellEnd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BRCA</w:t>
            </w:r>
            <w:r w:rsidR="000B21CF" w:rsidRPr="007F197D"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uprzednim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hormonoterapii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paliatywnym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(dopuszczalne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stosowanie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paliatywnej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okołooperacyjnej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udziałem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antracykliny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taksoidu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71B" w:rsidRPr="007F197D">
              <w:rPr>
                <w:rFonts w:ascii="Times New Roman" w:hAnsi="Times New Roman" w:cs="Times New Roman"/>
                <w:sz w:val="20"/>
                <w:szCs w:val="20"/>
              </w:rPr>
              <w:t>paliatywnej</w:t>
            </w:r>
            <w:r w:rsidR="00D50692" w:rsidRPr="007F197D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1185065A" w14:textId="77777777" w:rsidR="00F1705D" w:rsidRPr="007F197D" w:rsidRDefault="006E37A7" w:rsidP="008603EC">
            <w:pPr>
              <w:spacing w:after="60" w:line="276" w:lineRule="auto"/>
              <w:jc w:val="both"/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W programie istnieje </w:t>
            </w:r>
            <w:r w:rsidR="009B0BE2" w:rsidRPr="007F197D">
              <w:rPr>
                <w:rFonts w:ascii="Times New Roman" w:hAnsi="Times New Roman"/>
                <w:sz w:val="20"/>
                <w:szCs w:val="20"/>
              </w:rPr>
              <w:t>jednorazowa możliwość zastosowania terapii lekowej z użyciem inhibitorów PARP.</w:t>
            </w:r>
          </w:p>
          <w:p w14:paraId="37515D7F" w14:textId="77777777" w:rsidR="006E37A7" w:rsidRPr="007F197D" w:rsidRDefault="006E37A7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7CB0D2" w14:textId="77777777" w:rsidR="00FE6B87" w:rsidRPr="007F197D" w:rsidRDefault="00FE6B87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programie finansuje się leczenie przerzutowego lub miejscowo zawansowanego (gdy radykalne leczenie miejscowe jest nieskuteczne lub niemożliwe do zastosowania) HER-2 ujemnego raka piersi u pacjentów uprzednio leczonych co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najmniej jedną linią hormonoterapii (samodzielnej bądź w skojarzeniu w tym –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łacznie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z inhibitorami CDK4/6) na jakimkolwiek etapie choroby i co najmniej dwiema liniami chemioterapii z powodu choroby zaawansowanej (jeśli czas wolny od choroby wyniósł mniej niż 12 mies. od zastosowania chemioterapii okołooperacyjnej, chemioterapia okołooperacyjna traktowana jest jako jedna linia terapii systemowej w chorobie zaawansowanej):</w:t>
            </w:r>
          </w:p>
          <w:p w14:paraId="15984068" w14:textId="5F93EBC4" w:rsidR="00FE6B87" w:rsidRPr="007F197D" w:rsidRDefault="00FE6B87" w:rsidP="008603EC">
            <w:pPr>
              <w:pStyle w:val="Akapitzlist"/>
              <w:numPr>
                <w:ilvl w:val="3"/>
                <w:numId w:val="14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gowitekan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EBA0A3" w14:textId="77777777" w:rsidR="00FE6B87" w:rsidRPr="007F197D" w:rsidRDefault="00FE6B87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E524C" w14:textId="77777777" w:rsidR="007C5B2F" w:rsidRPr="007F197D" w:rsidRDefault="007C5B2F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E0B33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5AFD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1EA0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(gdy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zastosowania)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77281994" w14:textId="77777777" w:rsidR="00F1705D" w:rsidRPr="007F197D" w:rsidRDefault="00B52050" w:rsidP="008603E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86A3927" w14:textId="77777777" w:rsidR="00F1705D" w:rsidRPr="007F197D" w:rsidRDefault="007C5B2F" w:rsidP="008603EC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E1F66B4" w14:textId="77777777" w:rsidR="00F1705D" w:rsidRPr="007F197D" w:rsidRDefault="00033A6E" w:rsidP="008603EC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B409EB" w14:textId="77777777" w:rsidR="00F1705D" w:rsidRPr="007F197D" w:rsidRDefault="007C5B2F" w:rsidP="008603EC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gowitekan</w:t>
            </w:r>
            <w:proofErr w:type="spellEnd"/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6ED4008" w14:textId="77777777" w:rsidR="00B52050" w:rsidRPr="007F197D" w:rsidRDefault="00B52050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Ponadto,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kontynuowane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chirurgicznym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wczesnym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stadium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dużym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nawrotu.</w:t>
            </w:r>
          </w:p>
          <w:p w14:paraId="46BE4D92" w14:textId="77777777" w:rsidR="00EA134C" w:rsidRPr="007F197D" w:rsidRDefault="00EA134C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B2ABA4" w14:textId="77777777" w:rsidR="007C5B2F" w:rsidRPr="007F197D" w:rsidRDefault="007C5B2F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numerami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60DA" w:rsidRPr="007F197D">
              <w:rPr>
                <w:rFonts w:ascii="Times New Roman" w:hAnsi="Times New Roman" w:cs="Times New Roman"/>
                <w:sz w:val="20"/>
                <w:szCs w:val="20"/>
              </w:rPr>
              <w:t>jeden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468D" w:rsidRPr="007F197D">
              <w:rPr>
                <w:rFonts w:ascii="Times New Roman" w:hAnsi="Times New Roman" w:cs="Times New Roman"/>
                <w:sz w:val="20"/>
                <w:szCs w:val="20"/>
              </w:rPr>
              <w:t>paliatywnej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60DA" w:rsidRPr="007F197D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60DA" w:rsidRPr="007F197D">
              <w:rPr>
                <w:rFonts w:ascii="Times New Roman" w:hAnsi="Times New Roman" w:cs="Times New Roman"/>
                <w:sz w:val="20"/>
                <w:szCs w:val="20"/>
              </w:rPr>
              <w:t>poza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60DA" w:rsidRPr="007F197D">
              <w:rPr>
                <w:rFonts w:ascii="Times New Roman" w:hAnsi="Times New Roman" w:cs="Times New Roman"/>
                <w:sz w:val="20"/>
                <w:szCs w:val="20"/>
              </w:rPr>
              <w:t>programem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60DA" w:rsidRPr="007F197D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stanowi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linię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9AB" w:rsidRPr="007F197D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określonymi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punktach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E8D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D2E8D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.1.-</w:t>
            </w:r>
            <w:r w:rsidR="003D2E8D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D2E8D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04457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.:</w:t>
            </w:r>
          </w:p>
          <w:p w14:paraId="1A6F5EA3" w14:textId="77777777" w:rsidR="00F1705D" w:rsidRPr="007F197D" w:rsidRDefault="00B52050" w:rsidP="00B8464E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ekspresją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PD-L1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paklitakselem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2BE2"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gemcytabiną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karboplatyną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(pierwsza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stwierdzono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farmakologicznego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systemowe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uznaje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założeniem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radykalnym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zakończonej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Zastosowanie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wcześniejsz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immunoterapii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355" w:rsidRPr="007F197D">
              <w:rPr>
                <w:rFonts w:ascii="Times New Roman" w:hAnsi="Times New Roman" w:cs="Times New Roman"/>
                <w:sz w:val="20"/>
                <w:szCs w:val="20"/>
              </w:rPr>
              <w:t>okołooperacyjnym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8E6590" w14:textId="77777777" w:rsidR="00F1705D" w:rsidRPr="007F197D" w:rsidRDefault="007D1A4B" w:rsidP="00B8464E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talaz</w:t>
            </w:r>
            <w:r w:rsidR="00572F4C" w:rsidRPr="007F197D">
              <w:rPr>
                <w:rFonts w:ascii="Times New Roman" w:hAnsi="Times New Roman" w:cs="Times New Roman"/>
                <w:sz w:val="20"/>
                <w:szCs w:val="20"/>
              </w:rPr>
              <w:t>oparyb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proofErr w:type="spellStart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>olaparyb</w:t>
            </w:r>
            <w:proofErr w:type="spellEnd"/>
            <w:r w:rsidR="00033A6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2F4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72F4C"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trzeciej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FDB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obecnością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>germinalnych</w:t>
            </w:r>
            <w:proofErr w:type="spellEnd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BRCA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7E7" w:rsidRPr="007F197D"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BB0"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musieli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otrzymać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chemioterapię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zawierającą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taksoid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antr</w:t>
            </w:r>
            <w:r w:rsidR="00485AFD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cyklinę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485AFD"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okołooperacyjnym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paliatywnym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(dopuszczalne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stosowanie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paliatywnej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okołooperacyjnej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560" w:rsidRPr="007F197D">
              <w:rPr>
                <w:rFonts w:ascii="Times New Roman" w:hAnsi="Times New Roman" w:cs="Times New Roman"/>
                <w:sz w:val="20"/>
                <w:szCs w:val="20"/>
              </w:rPr>
              <w:t>paliatywnej)</w:t>
            </w:r>
            <w:r w:rsidR="00A468E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ADB10B1" w14:textId="77777777" w:rsidR="00F1705D" w:rsidRPr="007F197D" w:rsidRDefault="00365A2F" w:rsidP="008603EC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sacytuzumab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gowitekan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63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5639B"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trzeciej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czwartej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nieresekcyjnego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765F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E7571F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wymagane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4FE"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dwie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paliatywnego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C94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56D4"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leczonych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okołooperacyjnie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wymagana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jedna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59C9" w:rsidRPr="007F197D">
              <w:rPr>
                <w:rFonts w:ascii="Times New Roman" w:hAnsi="Times New Roman" w:cs="Times New Roman"/>
                <w:sz w:val="20"/>
                <w:szCs w:val="20"/>
              </w:rPr>
              <w:t>paliatywnego).</w:t>
            </w:r>
          </w:p>
          <w:p w14:paraId="611C25CC" w14:textId="77777777" w:rsidR="00EE2BB0" w:rsidRPr="007F197D" w:rsidRDefault="00EE2BB0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Ponadto,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kontynuowane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chirurgicznym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wczesnym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stadium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dużym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nawrotu.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35BF" w:rsidRPr="007F197D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istnieje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jednorazowa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możliwość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5520"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CC5" w:rsidRPr="007F197D">
              <w:rPr>
                <w:rFonts w:ascii="Times New Roman" w:hAnsi="Times New Roman" w:cs="Times New Roman"/>
                <w:sz w:val="20"/>
                <w:szCs w:val="20"/>
              </w:rPr>
              <w:t>immunoterapii.</w:t>
            </w:r>
          </w:p>
          <w:p w14:paraId="0FE2F89A" w14:textId="77777777" w:rsidR="00705EF6" w:rsidRPr="007F197D" w:rsidRDefault="00705EF6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67D83B" w14:textId="77777777" w:rsidR="00F1705D" w:rsidRPr="007F197D" w:rsidRDefault="0063355B" w:rsidP="008603EC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wczesnego raka piersi</w:t>
            </w:r>
          </w:p>
          <w:p w14:paraId="57DF1052" w14:textId="77777777" w:rsidR="00F1705D" w:rsidRPr="007F197D" w:rsidRDefault="00971D9B" w:rsidP="008603EC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wczesnego,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obejmuje:</w:t>
            </w:r>
          </w:p>
          <w:p w14:paraId="2381FF2B" w14:textId="77777777" w:rsidR="00F1705D" w:rsidRPr="007F197D" w:rsidRDefault="00A468E5" w:rsidP="008603EC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51C0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51C0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51C0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51C0"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</w:p>
          <w:p w14:paraId="4D26E53E" w14:textId="77777777" w:rsidR="00971D9B" w:rsidRPr="007F197D" w:rsidRDefault="00971D9B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</w:p>
          <w:p w14:paraId="68356672" w14:textId="77777777" w:rsidR="00F1705D" w:rsidRPr="007F197D" w:rsidRDefault="00A468E5" w:rsidP="008603EC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leczniczego złożonego,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</w:p>
          <w:p w14:paraId="63A804F8" w14:textId="77777777" w:rsidR="00971D9B" w:rsidRPr="007F197D" w:rsidRDefault="00847ACF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3FD38AF7" w14:textId="77777777" w:rsidR="00F1705D" w:rsidRPr="007F197D" w:rsidRDefault="00A468E5" w:rsidP="008603EC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</w:p>
          <w:p w14:paraId="3186FCA6" w14:textId="77777777" w:rsidR="00720F17" w:rsidRPr="007F197D" w:rsidRDefault="00720F17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</w:p>
          <w:p w14:paraId="22973AC2" w14:textId="77777777" w:rsidR="00F1705D" w:rsidRPr="007F197D" w:rsidRDefault="00A468E5" w:rsidP="008603EC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r w:rsidR="009C05CC" w:rsidRPr="007F197D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6A64" w:rsidRPr="007F197D">
              <w:rPr>
                <w:rFonts w:ascii="Times New Roman" w:hAnsi="Times New Roman" w:cs="Times New Roman"/>
                <w:sz w:val="20"/>
                <w:szCs w:val="20"/>
              </w:rPr>
              <w:t>emtanzyną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EB5DEC6" w14:textId="77777777" w:rsidR="00507B13" w:rsidRPr="007F197D" w:rsidRDefault="00507B13" w:rsidP="008603EC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30118B" w14:textId="77777777" w:rsidR="00971D9B" w:rsidRPr="007F197D" w:rsidRDefault="00DE6208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E039C5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 leczenia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wczesnego,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piersi</w:t>
            </w:r>
            <w:r w:rsidR="00EA5ADE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491DE381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otwierdzony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histologiczn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inwazyjny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piersi;</w:t>
            </w:r>
          </w:p>
          <w:p w14:paraId="1AAD95D2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dokumentowana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dekspresja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6208" w:rsidRPr="007F197D">
              <w:rPr>
                <w:rFonts w:ascii="Times New Roman" w:hAnsi="Times New Roman" w:cs="Times New Roman"/>
                <w:sz w:val="20"/>
                <w:szCs w:val="20"/>
              </w:rPr>
              <w:t>receptora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inwazyjnego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(wynik/3+/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IHC)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amplifikacja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/+/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ISH);</w:t>
            </w:r>
          </w:p>
          <w:p w14:paraId="1059577C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topień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zaawansowania:</w:t>
            </w:r>
          </w:p>
          <w:p w14:paraId="4E7DDA61" w14:textId="77777777" w:rsidR="00F1705D" w:rsidRPr="007F197D" w:rsidRDefault="00971D9B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D2FAD21" w14:textId="77777777" w:rsidR="00F1705D" w:rsidRPr="007F197D" w:rsidRDefault="009C46FB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pierwotnie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operacyjny,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średnica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oceniona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obrazowych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obecny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regionalnego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węzła/węzłów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FF4054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11A86D" w14:textId="77777777" w:rsidR="009C46FB" w:rsidRPr="007F197D" w:rsidRDefault="009C46FB" w:rsidP="008603E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577247A" w14:textId="77777777" w:rsidR="00F1705D" w:rsidRPr="007F197D" w:rsidRDefault="009C46FB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pierwotnie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nieoperacyjny,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chirurgiczne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58227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6BF5613" w14:textId="77777777" w:rsidR="00971D9B" w:rsidRPr="007F197D" w:rsidRDefault="00971D9B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25561D8D" w14:textId="77777777" w:rsidR="00F1705D" w:rsidRPr="007F197D" w:rsidRDefault="00971D9B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chemioterapią:</w:t>
            </w:r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B86D6E" w14:textId="77777777" w:rsidR="00F1705D" w:rsidRPr="007F197D" w:rsidRDefault="009C46FB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pierwotnie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operacyjny,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średnica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oceniona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obrazowych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obecny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regionalnego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węzła/węzłów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ekspresji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receptorów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PgR</w:t>
            </w:r>
            <w:proofErr w:type="spellEnd"/>
            <w:r w:rsidR="00FF4054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54B128B" w14:textId="77777777" w:rsidR="009C46FB" w:rsidRPr="007F197D" w:rsidRDefault="009C46FB" w:rsidP="008603E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C132275" w14:textId="77777777" w:rsidR="00F1705D" w:rsidRPr="007F197D" w:rsidRDefault="009C46FB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pierwotnie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nieoperacyjny,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chirurgiczne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68252B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1DB2AD" w14:textId="77777777" w:rsidR="00971D9B" w:rsidRPr="007F197D" w:rsidRDefault="009C46FB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0F5C7E54" w14:textId="77777777" w:rsidR="00F1705D" w:rsidRPr="007F197D" w:rsidRDefault="00971D9B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8A8" w:rsidRPr="007F197D">
              <w:rPr>
                <w:rFonts w:ascii="Times New Roman" w:hAnsi="Times New Roman" w:cs="Times New Roman"/>
                <w:sz w:val="20"/>
                <w:szCs w:val="20"/>
              </w:rPr>
              <w:t>wyłącznie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A670A25" w14:textId="77777777" w:rsidR="00F1705D" w:rsidRPr="007F197D" w:rsidRDefault="00971D9B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wyjściowo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średnica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cecha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cN1,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5D8" w:rsidRPr="007F197D">
              <w:rPr>
                <w:rFonts w:ascii="Times New Roman" w:hAnsi="Times New Roman" w:cs="Times New Roman"/>
                <w:sz w:val="20"/>
                <w:szCs w:val="20"/>
              </w:rPr>
              <w:t>otrzymały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systemowe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zawierające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chemioterapią),</w:t>
            </w:r>
          </w:p>
          <w:p w14:paraId="0DFD1F09" w14:textId="77777777" w:rsidR="00971D9B" w:rsidRPr="007F197D" w:rsidRDefault="00507B13" w:rsidP="008603E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</w:p>
          <w:p w14:paraId="429C5DD5" w14:textId="77777777" w:rsidR="00F1705D" w:rsidRPr="007F197D" w:rsidRDefault="00F051CF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ś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rednica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komponentu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inwazyjnego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5D8" w:rsidRPr="007F197D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5D8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7CF" w:rsidRPr="007F19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przerzutu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regionalnych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węzłów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stwierdzone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pooperacyjnego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niezależnie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stosowanego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przedoperacyjnego,</w:t>
            </w:r>
          </w:p>
          <w:p w14:paraId="03C88BC0" w14:textId="77777777" w:rsidR="006A559B" w:rsidRPr="007F197D" w:rsidRDefault="006A559B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3FA5F049" w14:textId="2608E221" w:rsidR="00F1705D" w:rsidRPr="007F197D" w:rsidRDefault="00CD3DB8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miejscowy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(ściana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pierś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oszczędzającym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regionalny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(węzły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chłonne)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doszczętnym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FFE873" w14:textId="77777777" w:rsidR="00CD3DB8" w:rsidRPr="007F197D" w:rsidRDefault="00CD3DB8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03856C02" w14:textId="77777777" w:rsidR="00F1705D" w:rsidRPr="007F197D" w:rsidRDefault="00436F41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pooperacyjnego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adjuwantowego</w:t>
            </w:r>
            <w:proofErr w:type="spellEnd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r w:rsidR="00F0126E" w:rsidRPr="007F197D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0F17" w:rsidRPr="007F197D">
              <w:rPr>
                <w:rFonts w:ascii="Times New Roman" w:hAnsi="Times New Roman" w:cs="Times New Roman"/>
                <w:sz w:val="20"/>
                <w:szCs w:val="20"/>
              </w:rPr>
              <w:t>emtanzyn</w:t>
            </w:r>
            <w:r w:rsidR="00F0126E" w:rsidRPr="007F197D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proofErr w:type="spellEnd"/>
            <w:r w:rsidR="00F71373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08D2F3E" w14:textId="77777777" w:rsidR="00F1705D" w:rsidRPr="007F197D" w:rsidRDefault="00F71373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pierwotny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I-III</w:t>
            </w:r>
            <w:r w:rsidR="00454FBC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5A1EF0" w14:textId="77777777" w:rsidR="00F71373" w:rsidRPr="007F197D" w:rsidRDefault="009A04A6" w:rsidP="008603E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361A69F" w14:textId="77777777" w:rsidR="00F1705D" w:rsidRPr="007F197D" w:rsidRDefault="00F71373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zakończona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zawierająca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taksoid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454FBC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441D589" w14:textId="77777777" w:rsidR="009A04A6" w:rsidRPr="007F197D" w:rsidRDefault="009A04A6" w:rsidP="008603E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oraz</w:t>
            </w:r>
          </w:p>
          <w:p w14:paraId="1CA9D651" w14:textId="77777777" w:rsidR="00F1705D" w:rsidRPr="007F197D" w:rsidRDefault="007630B6" w:rsidP="008603EC">
            <w:pPr>
              <w:pStyle w:val="Akapitzlist"/>
              <w:numPr>
                <w:ilvl w:val="5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patomorfologiczne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resztkowej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pachy</w:t>
            </w:r>
            <w:r w:rsidR="00F71373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8FAA7B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rzebyte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lecze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chirurgiczne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planowane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chirurgiczne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założeniu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radykalnym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polegające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na:</w:t>
            </w:r>
          </w:p>
          <w:p w14:paraId="348C0E58" w14:textId="77777777" w:rsidR="00F1705D" w:rsidRPr="007F197D" w:rsidRDefault="00971D9B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amputacji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wycięciu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pachowych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wartowniczego,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uzasadnia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limfadenektomii</w:t>
            </w:r>
            <w:proofErr w:type="spellEnd"/>
            <w:r w:rsidR="0055464C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C0F21C1" w14:textId="77777777" w:rsidR="00971D9B" w:rsidRPr="007F197D" w:rsidRDefault="00971D9B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B8ED682" w14:textId="77777777" w:rsidR="00F1705D" w:rsidRPr="007F197D" w:rsidRDefault="00971D9B" w:rsidP="008603EC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wycięciu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marginesem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tkanek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prawidłowych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pachowych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chłonnych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węzła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wartowniczego,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uzasadnia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limfadenektomii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uzupełniającą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radioterapią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całej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oszczędzające).</w:t>
            </w:r>
          </w:p>
          <w:p w14:paraId="61C81A8F" w14:textId="77777777" w:rsidR="00971D9B" w:rsidRPr="007F197D" w:rsidRDefault="00971D9B" w:rsidP="008603E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Przedmiotowe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kryterium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kwalifikowanych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lit.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DB8"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4AFB7FD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74E59" w:rsidRPr="007F197D">
              <w:rPr>
                <w:rFonts w:ascii="Times New Roman" w:hAnsi="Times New Roman" w:cs="Times New Roman"/>
                <w:sz w:val="20"/>
                <w:szCs w:val="20"/>
              </w:rPr>
              <w:t>artość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E59" w:rsidRPr="007F197D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E59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E59" w:rsidRPr="007F197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E59" w:rsidRPr="007F197D">
              <w:rPr>
                <w:rFonts w:ascii="Times New Roman" w:hAnsi="Times New Roman" w:cs="Times New Roman"/>
                <w:sz w:val="20"/>
                <w:szCs w:val="20"/>
              </w:rPr>
              <w:t>50%;</w:t>
            </w:r>
          </w:p>
          <w:p w14:paraId="74324F28" w14:textId="77777777" w:rsidR="00F1705D" w:rsidRPr="007F197D" w:rsidRDefault="002A79D8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niekontrolowanych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postępowaniem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farmakologicznym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współwystępujących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przeciwwskazanie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4913A119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prawność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stopniu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D9B" w:rsidRPr="007F197D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F051CF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11827C2" w14:textId="77777777" w:rsidR="00F1705D" w:rsidRPr="007F197D" w:rsidRDefault="00582275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ykluczenie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1E0" w:rsidRPr="007F197D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2E41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6AA0" w:rsidRPr="007F197D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6AA0" w:rsidRPr="007F197D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6AA0" w:rsidRPr="007F197D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6B9F1A0" w14:textId="77777777" w:rsidR="00F1705D" w:rsidRPr="007F197D" w:rsidRDefault="00E87BE9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3355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przypadku współistnienia innych aktywnych nowotworów kwalifikacja do leczenia musi uwzględniać rokowanie związane ze współistniejącym nowotworem.</w:t>
            </w:r>
          </w:p>
          <w:p w14:paraId="06777127" w14:textId="77777777" w:rsidR="00221F54" w:rsidRPr="007F197D" w:rsidRDefault="001C5F00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ryteria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2F3C9978" w14:textId="77777777" w:rsidR="00E27F1D" w:rsidRPr="007F197D" w:rsidRDefault="00E27F1D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86231" w14:textId="77777777" w:rsidR="00F2763F" w:rsidRPr="007F197D" w:rsidRDefault="00D96DEC" w:rsidP="008603EC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Ponadto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do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programu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lekowego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zakresie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leczenia,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HER2</w:t>
            </w:r>
            <w:r w:rsidR="00FA2F38" w:rsidRPr="007F197D">
              <w:rPr>
                <w:rFonts w:eastAsiaTheme="minorHAnsi"/>
                <w:sz w:val="20"/>
                <w:szCs w:val="20"/>
                <w:lang w:eastAsia="en-US"/>
              </w:rPr>
              <w:t>-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dodatniego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raka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B5063" w:rsidRPr="007F197D">
              <w:rPr>
                <w:rFonts w:eastAsiaTheme="minorHAnsi"/>
                <w:sz w:val="20"/>
                <w:szCs w:val="20"/>
                <w:lang w:eastAsia="en-US"/>
              </w:rPr>
              <w:t>piersi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kwalifikowani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są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również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pacjenci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wymagający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kontynuacji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leczenia,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którzy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byli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leczeni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substancjami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czynnymi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finansowanymi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programie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lekowym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ramach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innego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sposobu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finansowania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terapii,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za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wyjątkiem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trwających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badań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klinicznych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>tych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leków,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pod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warunkiem,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że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chwili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rozpoczęcia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leczenia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spełniali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kryteria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kwalifikacji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do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programu</w:t>
            </w:r>
            <w:r w:rsidR="008B04DB" w:rsidRPr="007F197D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lekowego.</w:t>
            </w:r>
          </w:p>
          <w:p w14:paraId="023BC43A" w14:textId="77777777" w:rsidR="00E87BE9" w:rsidRPr="008603EC" w:rsidRDefault="00E87BE9" w:rsidP="008603EC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49E3910E" w14:textId="77777777" w:rsidR="00D25DD4" w:rsidRPr="008603EC" w:rsidRDefault="00D25DD4" w:rsidP="008603EC">
            <w:pPr>
              <w:numPr>
                <w:ilvl w:val="1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wczesnego HR-dodatniego, HER2-ujemnego raka piersi w programie obejmuje:</w:t>
            </w:r>
          </w:p>
          <w:p w14:paraId="3A409178" w14:textId="77777777" w:rsidR="00582BF5" w:rsidRPr="008603EC" w:rsidRDefault="00D25DD4" w:rsidP="008603EC">
            <w:pPr>
              <w:numPr>
                <w:ilvl w:val="2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pooperacyjne (</w:t>
            </w:r>
            <w:proofErr w:type="spellStart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hormonoterapią raka piersi z przerzutami do węzłów chłonnych z wysokim ryzykiem nawrotu albo </w:t>
            </w:r>
            <w:proofErr w:type="spellStart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 inhibitorem </w:t>
            </w:r>
            <w:proofErr w:type="spellStart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626664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raka piersi z wysokim ryzykiem nawrotu, u dorosłych pacjentów we wczesnym stadium raka piersi wykazującego ekspresję receptora hormonalnego i niewykazującego ekspresji receptora typu 2. dla ludzkiego naskórkowego czynnika wzrostu.</w:t>
            </w:r>
          </w:p>
          <w:p w14:paraId="5A1968BB" w14:textId="77777777" w:rsidR="00D25DD4" w:rsidRPr="008603EC" w:rsidRDefault="00582BF5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W programie istnieje jednorazowa możliwość zastosowania terapii lekowej z użyciem inhibitorów CDK4/6. </w:t>
            </w:r>
          </w:p>
          <w:p w14:paraId="1BD3BA5B" w14:textId="77777777" w:rsidR="00582BF5" w:rsidRPr="008603EC" w:rsidRDefault="00582BF5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A10888" w14:textId="77777777" w:rsidR="00D25DD4" w:rsidRPr="008603EC" w:rsidRDefault="00D25DD4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 kwalifikacji wczesnego HR-dodatniego, HER2-ujemnego raka piersi:</w:t>
            </w:r>
          </w:p>
          <w:p w14:paraId="50D10A38" w14:textId="1C61B4AB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7E81E4C0" w14:textId="52531D86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potwierdzony histologicznie inwazyjny rak piersi;</w:t>
            </w:r>
          </w:p>
          <w:p w14:paraId="583194DB" w14:textId="27659FAF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udokumentowana ekspresja steroidowych receptorów hormonalnych </w:t>
            </w:r>
            <w:r w:rsidRPr="008603EC">
              <w:rPr>
                <w:rFonts w:ascii="Cambria Math" w:hAnsi="Cambria Math" w:cs="Cambria Math"/>
                <w:sz w:val="20"/>
                <w:szCs w:val="20"/>
              </w:rPr>
              <w:t>⩾</w:t>
            </w: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1%;</w:t>
            </w:r>
          </w:p>
          <w:p w14:paraId="01288030" w14:textId="3119EC0B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udokumentowany brak nadmiernej ekspresji receptora HER2 w komórkach raka (wynik /0 lub 1+/ w badaniu IHC) lub brak amplifikacji genu HER2 (wynik /-/ w badaniu metodą hybrydyzacji in situ (ISH));</w:t>
            </w:r>
          </w:p>
          <w:p w14:paraId="09CA50C3" w14:textId="7D830BB8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obecność następujących cech wysokiego ryzyka nawrotu określonych klinicznie lub patomorfologicznie:</w:t>
            </w:r>
          </w:p>
          <w:p w14:paraId="3188F978" w14:textId="77777777" w:rsidR="00CB428E" w:rsidRPr="008603EC" w:rsidRDefault="00CB428E" w:rsidP="008603EC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przypadku leczenia </w:t>
            </w:r>
            <w:proofErr w:type="spellStart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abemacyklibem</w:t>
            </w:r>
            <w:proofErr w:type="spellEnd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6ED75183" w14:textId="77777777" w:rsidR="00D25DD4" w:rsidRPr="008603EC" w:rsidRDefault="00D25DD4" w:rsidP="008603E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908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≥ 4 zajęte przerzutami pachowe węzły chłonne,</w:t>
            </w:r>
          </w:p>
          <w:p w14:paraId="555EF9C6" w14:textId="77777777" w:rsidR="00D25DD4" w:rsidRPr="008603EC" w:rsidRDefault="00D25DD4" w:rsidP="008603EC">
            <w:p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albo</w:t>
            </w:r>
          </w:p>
          <w:p w14:paraId="37A107CF" w14:textId="77777777" w:rsidR="00117E26" w:rsidRPr="008603EC" w:rsidRDefault="00117E26" w:rsidP="008603E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908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1-3 zajęte pachowe węzły chłonne i co najmniej jedno z następujących kryteriów: </w:t>
            </w:r>
          </w:p>
          <w:p w14:paraId="37B552BD" w14:textId="77777777" w:rsidR="00117E26" w:rsidRPr="008603EC" w:rsidRDefault="00117E26" w:rsidP="008603EC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1191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wielkość zmiany nowotworowej ≥ 5 cm (w przypadku chorych po przebytym leczeniu </w:t>
            </w:r>
            <w:proofErr w:type="spellStart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neoadiuwantowym</w:t>
            </w:r>
            <w:proofErr w:type="spellEnd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- wielkość </w:t>
            </w:r>
            <w:r w:rsidR="0084656A"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może być </w:t>
            </w: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oceniona w badaniach obrazowych), </w:t>
            </w:r>
          </w:p>
          <w:p w14:paraId="4233DB86" w14:textId="77777777" w:rsidR="00CB428E" w:rsidRPr="008603EC" w:rsidRDefault="00117E26" w:rsidP="008603EC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1191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stopień złośliwości histologicznej G3</w:t>
            </w:r>
            <w:r w:rsidR="0011381A"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5A798CBA" w14:textId="77777777" w:rsidR="00CB428E" w:rsidRPr="008603EC" w:rsidRDefault="00CB428E" w:rsidP="008603EC">
            <w:pPr>
              <w:autoSpaceDE w:val="0"/>
              <w:autoSpaceDN w:val="0"/>
              <w:adjustRightInd w:val="0"/>
              <w:spacing w:after="60" w:line="276" w:lineRule="auto"/>
              <w:ind w:left="708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albo</w:t>
            </w:r>
          </w:p>
          <w:p w14:paraId="0418AEBD" w14:textId="77777777" w:rsidR="00CB428E" w:rsidRPr="008603EC" w:rsidRDefault="00CB428E" w:rsidP="008603EC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przypadku leczenia </w:t>
            </w:r>
            <w:proofErr w:type="spellStart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rybocyklibem</w:t>
            </w:r>
            <w:proofErr w:type="spellEnd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1F4431B" w14:textId="77777777" w:rsidR="00CB428E" w:rsidRPr="008603EC" w:rsidRDefault="00CB428E" w:rsidP="008603E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908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stopień IIB-III zaawansowania anatomicznego lub</w:t>
            </w:r>
          </w:p>
          <w:p w14:paraId="52BF305C" w14:textId="77777777" w:rsidR="00CB428E" w:rsidRPr="008603EC" w:rsidRDefault="00CB428E" w:rsidP="008603E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908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stopień IIA zaawansowania anatomicznego, w którym:</w:t>
            </w:r>
          </w:p>
          <w:p w14:paraId="0BAF1331" w14:textId="77777777" w:rsidR="00CB428E" w:rsidRPr="008603EC" w:rsidRDefault="00CB428E" w:rsidP="008603EC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1191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występują przerzuty do pachowych węzłów chłonnych </w:t>
            </w: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lub</w:t>
            </w:r>
          </w:p>
          <w:p w14:paraId="567FE324" w14:textId="77777777" w:rsidR="00CB428E" w:rsidRPr="008603EC" w:rsidRDefault="00CB428E" w:rsidP="008603EC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1191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nie występują przerzuty do pachowych węzłów chłonnych, ale stwierdza się:</w:t>
            </w:r>
          </w:p>
          <w:p w14:paraId="0339B998" w14:textId="77777777" w:rsidR="00CB428E" w:rsidRPr="008603EC" w:rsidRDefault="00CB428E" w:rsidP="008603EC">
            <w:pPr>
              <w:pStyle w:val="Akapitzlist"/>
              <w:numPr>
                <w:ilvl w:val="1"/>
                <w:numId w:val="30"/>
              </w:numPr>
              <w:spacing w:after="60" w:line="276" w:lineRule="auto"/>
              <w:ind w:left="1474" w:hanging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stopień złośliwości histologicznej G3</w:t>
            </w:r>
            <w:r w:rsidRPr="008603EC">
              <w:rPr>
                <w:rFonts w:ascii="Times New Roman" w:hAnsi="Times New Roman" w:cs="Times New Roman"/>
                <w:sz w:val="20"/>
                <w:szCs w:val="20"/>
              </w:rPr>
              <w:br/>
              <w:t>albo</w:t>
            </w:r>
          </w:p>
          <w:p w14:paraId="5891A3B4" w14:textId="77777777" w:rsidR="00CB428E" w:rsidRPr="008603EC" w:rsidRDefault="00CB428E" w:rsidP="008603EC">
            <w:pPr>
              <w:pStyle w:val="Akapitzlist"/>
              <w:numPr>
                <w:ilvl w:val="1"/>
                <w:numId w:val="30"/>
              </w:numPr>
              <w:spacing w:after="60" w:line="276" w:lineRule="auto"/>
              <w:ind w:left="147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stopień złośliwości histologicznej G2 z występowaniem</w:t>
            </w:r>
            <w:r w:rsidR="00EF074C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któregokolwiek z następujących kryteriów:</w:t>
            </w:r>
          </w:p>
          <w:p w14:paraId="66422607" w14:textId="77777777" w:rsidR="00CB428E" w:rsidRPr="008603EC" w:rsidRDefault="00CB428E" w:rsidP="008603EC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ind w:left="1815" w:hanging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Ki-67 ≥ 20% </w:t>
            </w:r>
            <w:r w:rsidRPr="008603EC">
              <w:rPr>
                <w:rFonts w:ascii="Times New Roman" w:hAnsi="Times New Roman" w:cs="Times New Roman"/>
                <w:sz w:val="20"/>
                <w:szCs w:val="20"/>
              </w:rPr>
              <w:br/>
              <w:t>lub</w:t>
            </w:r>
          </w:p>
          <w:p w14:paraId="12B9D222" w14:textId="77777777" w:rsidR="00CB428E" w:rsidRPr="008603EC" w:rsidRDefault="00CB428E" w:rsidP="008603EC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ind w:left="1815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wskaźnik wysokiego ryzyka w wyniku badania sygnatury genowej;</w:t>
            </w:r>
          </w:p>
          <w:p w14:paraId="7DBF11ED" w14:textId="78106299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przebyte leczenie chirurgiczne o założeniu radykalnym polegające na:</w:t>
            </w:r>
          </w:p>
          <w:p w14:paraId="261FBE6A" w14:textId="0048690A" w:rsidR="00D25DD4" w:rsidRPr="008603EC" w:rsidRDefault="00D25DD4" w:rsidP="008603EC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amputacji piersi oraz wycięciu pachowych węzłów chłonnych lub biopsji węzła wartowniczego, której wynik nie uzasadnia wykonania </w:t>
            </w:r>
            <w:proofErr w:type="spellStart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limfadenektomii</w:t>
            </w:r>
            <w:proofErr w:type="spellEnd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</w:p>
          <w:p w14:paraId="2AD8B22A" w14:textId="77777777" w:rsidR="00D25DD4" w:rsidRPr="008603EC" w:rsidRDefault="00D25DD4" w:rsidP="008603EC">
            <w:p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</w:p>
          <w:p w14:paraId="5637BDF0" w14:textId="355F079F" w:rsidR="00D25DD4" w:rsidRPr="008603EC" w:rsidRDefault="00D25DD4" w:rsidP="008603EC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wycięciu guza z marginesem tkanek prawidłowych oraz pachowych węzłów chłonnych lub biopsji węzła wartowniczego, której wynik nie uzasadnia wykonania </w:t>
            </w:r>
            <w:proofErr w:type="spellStart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limfadenektomii</w:t>
            </w:r>
            <w:proofErr w:type="spellEnd"/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z uzupełniającą radioterapią całej piersi (leczenie oszczędzające);</w:t>
            </w:r>
          </w:p>
          <w:p w14:paraId="337E815F" w14:textId="0043127E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sprawność w stopniu 0-1 według kryteriów </w:t>
            </w:r>
            <w:proofErr w:type="spellStart"/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-WHO lub ECOG;</w:t>
            </w:r>
          </w:p>
          <w:p w14:paraId="1735E38B" w14:textId="77777777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wykluczenie ciąży i okresu karmienia piersią;</w:t>
            </w:r>
          </w:p>
          <w:p w14:paraId="096710A9" w14:textId="77777777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adekwatna wydolność narządowa określona na podstawie wyników badań laboratoryjnych krwi zgodnie z zapisami Charakterystyki Produktu Leczniczego;</w:t>
            </w:r>
          </w:p>
          <w:p w14:paraId="51F6C99B" w14:textId="77777777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</w:t>
            </w:r>
            <w:proofErr w:type="spellStart"/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EF074C" w:rsidRPr="008603EC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EF074C" w:rsidRPr="008603EC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A13194" w14:textId="77777777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nieobecność istotnych klinicznie i niekontrolowanych stosowanym postępowaniem farmakologicznym chorób współistniejących stanowiących przeciwwskazanie do leczenia;</w:t>
            </w:r>
          </w:p>
          <w:p w14:paraId="59F7AE51" w14:textId="77777777" w:rsidR="00D25DD4" w:rsidRPr="008603EC" w:rsidRDefault="00D25DD4" w:rsidP="008603E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hAnsi="Times New Roman" w:cs="Times New Roman"/>
                <w:sz w:val="20"/>
                <w:szCs w:val="20"/>
              </w:rPr>
              <w:t>w przypadku współistnienia innych aktywnych nowotworów kwalifikacja do leczenia musi uwzględniać rokowanie związane ze współistniejącym nowotworem.</w:t>
            </w:r>
          </w:p>
          <w:p w14:paraId="0DE73212" w14:textId="77777777" w:rsidR="00D25DD4" w:rsidRPr="008603EC" w:rsidRDefault="00D25DD4" w:rsidP="008603E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Powyższe kryteria kwalifikacji muszą być spełnione łącznie.</w:t>
            </w:r>
          </w:p>
          <w:p w14:paraId="79788B71" w14:textId="77777777" w:rsidR="00D25DD4" w:rsidRPr="008603EC" w:rsidRDefault="00D25DD4" w:rsidP="008603E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8A6304" w14:textId="77777777" w:rsidR="00D25DD4" w:rsidRPr="007F197D" w:rsidRDefault="00D25DD4" w:rsidP="008603EC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Ponadto do programu lekowego w zakresie leczenia wczesnego, HER2-ujemnego raka piersi kwalifikowani są również pacjenci </w:t>
            </w:r>
            <w:r w:rsidR="00582BF5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wymagający kontynuacji leczenia,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którzy byli leczeni </w:t>
            </w:r>
            <w:r w:rsidR="00582BF5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substancjami czynnymi finansowanymi w programie lekowym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ramach innego sposobu finansowania terapii, </w:t>
            </w:r>
            <w:r w:rsidR="0011381A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za wyjątkiem trwających badań klinicznych tych leków, pod warunkiem, że w chwili rozpoczęcia leczenia spełniali kryteria kwalifikacji do programu lekowego. </w:t>
            </w:r>
          </w:p>
          <w:p w14:paraId="780558C1" w14:textId="77777777" w:rsidR="00D25DD4" w:rsidRPr="007F197D" w:rsidRDefault="00D25DD4" w:rsidP="008603EC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02AEF2F" w14:textId="77777777" w:rsidR="00F1705D" w:rsidRPr="007F197D" w:rsidRDefault="0063355B" w:rsidP="008603EC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Leczenie wczesnego HER2-ujemnego </w:t>
            </w:r>
            <w:r w:rsidR="008A550E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 potrójnie ujemnego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 piersi w programie obejmuje:</w:t>
            </w:r>
          </w:p>
          <w:p w14:paraId="0A269659" w14:textId="77777777" w:rsidR="00F1705D" w:rsidRPr="007F197D" w:rsidRDefault="00AD45EE" w:rsidP="008603EC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 pooperacyjne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raka piersi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w skojarzeniu z terapią hormonalną pacjentów z </w:t>
            </w:r>
            <w:proofErr w:type="spellStart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>germinalnymi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mutacjami BRCA1/2, u których występuje HER2</w:t>
            </w:r>
            <w:r w:rsidR="00FA2F38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ujemny wczesny rak piersi wysokiego ryzyka, leczony wcześniej chemioterapią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neoadjuwantową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adjuwantową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562979F" w14:textId="77777777" w:rsidR="00F1705D" w:rsidRPr="007F197D" w:rsidRDefault="00F1705D" w:rsidP="006A0C96">
            <w:pPr>
              <w:overflowPunct w:val="0"/>
              <w:autoSpaceDE w:val="0"/>
              <w:autoSpaceDN w:val="0"/>
              <w:adjustRightInd w:val="0"/>
              <w:spacing w:after="60" w:line="276" w:lineRule="auto"/>
              <w:jc w:val="both"/>
              <w:textAlignment w:val="baseline"/>
              <w:rPr>
                <w:rFonts w:ascii="Times New Roman" w:eastAsia="PMingLiU" w:hAnsi="Times New Roman"/>
                <w:b/>
                <w:sz w:val="20"/>
                <w:szCs w:val="20"/>
                <w:lang w:eastAsia="zh-TW"/>
              </w:rPr>
            </w:pPr>
          </w:p>
          <w:p w14:paraId="325F74F6" w14:textId="77777777" w:rsidR="00F1705D" w:rsidRPr="007F197D" w:rsidRDefault="006335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 kwalifikacji wczesnego, HER2-ujemnego raka piersi</w:t>
            </w:r>
            <w:r w:rsidR="00AD45EE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1316D385" w14:textId="77777777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6DBD5334" w14:textId="77777777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otwierdzony histologicznie inwazyjny rak piersi bez przerzutów odległych (tj. cecha M0 w klasyfikacji TNM);</w:t>
            </w:r>
          </w:p>
          <w:p w14:paraId="132DF372" w14:textId="77777777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dokumentowany brak </w:t>
            </w:r>
            <w:proofErr w:type="spellStart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nadekspresji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receptora HER2 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br/>
              <w:t>w komórkach raka (wynik /0 lub 1+/ w badaniu IHC) lub brak amplifikacji genu HER2 (wynik /-/ w badaniu metodą hybrydyzacji in situ (ISH));</w:t>
            </w:r>
            <w:r w:rsidR="00E87BE9" w:rsidRPr="007F197D" w:rsidDel="00BD4D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E11223" w14:textId="77777777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becność patogennej lub prawdopodobnie patogennej mutacji w genie BRCA1 lub w BRCA2 (</w:t>
            </w:r>
            <w:proofErr w:type="spellStart"/>
            <w:r w:rsidR="0098160F" w:rsidRPr="007F197D">
              <w:rPr>
                <w:rFonts w:ascii="Times New Roman" w:hAnsi="Times New Roman" w:cs="Times New Roman"/>
                <w:sz w:val="20"/>
                <w:szCs w:val="20"/>
              </w:rPr>
              <w:t>germinalnej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81AB9F" w14:textId="77777777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akończone miejscowe leczenie chirurgiczne piersi lub węzłów pachowych (chorzy po zabiegach chirurgicznych muszą ukończyć radioterapię </w:t>
            </w:r>
            <w:proofErr w:type="spellStart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adjuwantową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 ile jest wskazana);</w:t>
            </w:r>
          </w:p>
          <w:p w14:paraId="6EA1C39B" w14:textId="4BADDE04" w:rsidR="00F1705D" w:rsidRPr="007F197D" w:rsidRDefault="00AD45EE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kończenie chemioterapii </w:t>
            </w:r>
            <w:proofErr w:type="spellStart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neoadjuwantowej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DA1123" w14:textId="167E93EA" w:rsidR="00F1705D" w:rsidRPr="008603EC" w:rsidRDefault="00605A59" w:rsidP="006A0C9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794" w:hanging="340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rak piersi </w:t>
            </w:r>
            <w:r w:rsidR="00E87BE9"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potrójnie ujemny:</w:t>
            </w:r>
          </w:p>
          <w:p w14:paraId="1ED0410F" w14:textId="77777777" w:rsidR="00F1705D" w:rsidRPr="007F197D" w:rsidRDefault="00E87BE9" w:rsidP="006A0C96">
            <w:pPr>
              <w:pStyle w:val="Akapitzlist"/>
              <w:overflowPunct w:val="0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- w </w:t>
            </w:r>
            <w:r w:rsidR="00605A59" w:rsidRPr="007F197D">
              <w:rPr>
                <w:rFonts w:ascii="Times New Roman" w:hAnsi="Times New Roman"/>
                <w:sz w:val="20"/>
                <w:szCs w:val="20"/>
              </w:rPr>
              <w:t xml:space="preserve">przypadku chorych pierwotnie poddanych leczeniu operacyjnemu i chemioterapii </w:t>
            </w:r>
            <w:proofErr w:type="spellStart"/>
            <w:r w:rsidR="00605A59" w:rsidRPr="007F197D">
              <w:rPr>
                <w:rFonts w:ascii="Times New Roman" w:hAnsi="Times New Roman"/>
                <w:sz w:val="20"/>
                <w:szCs w:val="20"/>
              </w:rPr>
              <w:t>adjuwantowej</w:t>
            </w:r>
            <w:proofErr w:type="spellEnd"/>
            <w:r w:rsidR="00605A59" w:rsidRPr="007F197D">
              <w:rPr>
                <w:rFonts w:ascii="Times New Roman" w:hAnsi="Times New Roman"/>
                <w:sz w:val="20"/>
                <w:szCs w:val="20"/>
              </w:rPr>
              <w:t xml:space="preserve"> -  pierwotny guz piersi o dowolnej średnicy i patomorfologicznie potwierdzona obecność przerzutów w pachowych węzłach chłonnych (cecha ≥pN1) lub inwazyjny guz pierwotny o średnicy przynajmniej 2 cm (cecha ≥pT2)</w:t>
            </w:r>
            <w:r w:rsidR="0055464C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65CB205" w14:textId="77777777" w:rsidR="00F1705D" w:rsidRPr="007F197D" w:rsidRDefault="00E87BE9" w:rsidP="006A0C96">
            <w:pPr>
              <w:pStyle w:val="Akapitzlist"/>
              <w:overflowPunct w:val="0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- w </w:t>
            </w:r>
            <w:r w:rsidR="00605A59" w:rsidRPr="007F197D">
              <w:rPr>
                <w:rFonts w:ascii="Times New Roman" w:hAnsi="Times New Roman"/>
                <w:sz w:val="20"/>
                <w:szCs w:val="20"/>
              </w:rPr>
              <w:t xml:space="preserve">przypadku chorych którzy otrzymali chemioterapię </w:t>
            </w:r>
            <w:proofErr w:type="spellStart"/>
            <w:r w:rsidR="00605A59" w:rsidRPr="007F197D">
              <w:rPr>
                <w:rFonts w:ascii="Times New Roman" w:hAnsi="Times New Roman"/>
                <w:sz w:val="20"/>
                <w:szCs w:val="20"/>
              </w:rPr>
              <w:t>neoadjuwantową</w:t>
            </w:r>
            <w:proofErr w:type="spellEnd"/>
            <w:r w:rsidR="00605A59" w:rsidRPr="007F197D">
              <w:rPr>
                <w:rFonts w:ascii="Times New Roman" w:hAnsi="Times New Roman"/>
                <w:sz w:val="20"/>
                <w:szCs w:val="20"/>
              </w:rPr>
              <w:t xml:space="preserve"> - nieuzyskanie całkowitej odpowiedzi potwierdzone w badaniu patomorfologicznym (non-</w:t>
            </w:r>
            <w:proofErr w:type="spellStart"/>
            <w:r w:rsidR="00605A59" w:rsidRPr="007F197D">
              <w:rPr>
                <w:rFonts w:ascii="Times New Roman" w:hAnsi="Times New Roman"/>
                <w:sz w:val="20"/>
                <w:szCs w:val="20"/>
              </w:rPr>
              <w:t>pCR</w:t>
            </w:r>
            <w:proofErr w:type="spellEnd"/>
            <w:r w:rsidR="00605A59" w:rsidRPr="007F197D">
              <w:rPr>
                <w:rFonts w:ascii="Times New Roman" w:hAnsi="Times New Roman"/>
                <w:sz w:val="20"/>
                <w:szCs w:val="20"/>
              </w:rPr>
              <w:t>)</w:t>
            </w:r>
            <w:r w:rsidR="0055464C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D262DEE" w14:textId="77777777" w:rsidR="00F1705D" w:rsidRPr="007F197D" w:rsidRDefault="00E87BE9" w:rsidP="006A0C96">
            <w:pPr>
              <w:pStyle w:val="Akapitzlist"/>
              <w:overflowPunct w:val="0"/>
              <w:autoSpaceDE w:val="0"/>
              <w:autoSpaceDN w:val="0"/>
              <w:adjustRightInd w:val="0"/>
              <w:spacing w:after="60" w:line="276" w:lineRule="auto"/>
              <w:ind w:left="3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5CBCBB35" w14:textId="2F6D034F" w:rsidR="00F1705D" w:rsidRPr="008603EC" w:rsidRDefault="00605A59" w:rsidP="006A0C9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rak piersi </w:t>
            </w:r>
            <w:r w:rsidR="00E87BE9"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z udokumentowaną ekspresją steroidowych receptorów hormonalnych</w:t>
            </w:r>
            <w:r w:rsidR="00F955D4" w:rsidRPr="008603EC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F66BF7D" w14:textId="77777777" w:rsidR="00F1705D" w:rsidRPr="007F197D" w:rsidRDefault="00E87BE9" w:rsidP="006A0C96">
            <w:pPr>
              <w:pStyle w:val="Akapitzlist"/>
              <w:overflowPunct w:val="0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- w </w:t>
            </w:r>
            <w:r w:rsidR="00605A59" w:rsidRPr="007F197D">
              <w:rPr>
                <w:rFonts w:ascii="Times New Roman" w:hAnsi="Times New Roman"/>
                <w:sz w:val="20"/>
                <w:szCs w:val="20"/>
              </w:rPr>
              <w:t>przypadku chorych pierwotnie poddanych leczeniu operacyjnemu lub hormonoterapii</w:t>
            </w:r>
            <w:r w:rsidR="00F955D4" w:rsidRPr="007F197D">
              <w:rPr>
                <w:rFonts w:ascii="Times New Roman" w:hAnsi="Times New Roman"/>
                <w:sz w:val="20"/>
                <w:szCs w:val="20"/>
              </w:rPr>
              <w:t xml:space="preserve"> przedoperacyjnej - </w:t>
            </w:r>
            <w:r w:rsidR="00F1112A" w:rsidRPr="007F197D">
              <w:rPr>
                <w:rFonts w:ascii="Times New Roman" w:hAnsi="Times New Roman"/>
                <w:sz w:val="20"/>
                <w:szCs w:val="20"/>
              </w:rPr>
              <w:t>obecność choroby przerzutowej w węzłach chłonnych</w:t>
            </w:r>
            <w:r w:rsidR="0055464C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3CCF315" w14:textId="77777777" w:rsidR="00F1705D" w:rsidRPr="007F197D" w:rsidRDefault="00E87BE9" w:rsidP="006A0C96">
            <w:pPr>
              <w:pStyle w:val="Akapitzlist"/>
              <w:overflowPunct w:val="0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- w przypadku chorych którzy otrzymali chemioterapię </w:t>
            </w:r>
            <w:proofErr w:type="spellStart"/>
            <w:r w:rsidRPr="007F197D">
              <w:rPr>
                <w:rFonts w:ascii="Times New Roman" w:hAnsi="Times New Roman"/>
                <w:sz w:val="20"/>
                <w:szCs w:val="20"/>
              </w:rPr>
              <w:t>neoadjuwantową</w:t>
            </w:r>
            <w:proofErr w:type="spellEnd"/>
            <w:r w:rsidRPr="007F197D"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r w:rsidR="00F955D4" w:rsidRPr="007F197D">
              <w:rPr>
                <w:rFonts w:ascii="Times New Roman" w:hAnsi="Times New Roman"/>
                <w:sz w:val="20"/>
                <w:szCs w:val="20"/>
              </w:rPr>
              <w:t>nieuzyskanie całkowitej odpowiedzi potwierdzone w badaniu patomorfologicznym (non-</w:t>
            </w:r>
            <w:proofErr w:type="spellStart"/>
            <w:r w:rsidR="00F955D4" w:rsidRPr="007F197D">
              <w:rPr>
                <w:rFonts w:ascii="Times New Roman" w:hAnsi="Times New Roman"/>
                <w:sz w:val="20"/>
                <w:szCs w:val="20"/>
              </w:rPr>
              <w:t>pCR</w:t>
            </w:r>
            <w:proofErr w:type="spellEnd"/>
            <w:r w:rsidR="00F955D4" w:rsidRPr="007F197D">
              <w:rPr>
                <w:rFonts w:ascii="Times New Roman" w:hAnsi="Times New Roman"/>
                <w:sz w:val="20"/>
                <w:szCs w:val="20"/>
              </w:rPr>
              <w:t>)</w:t>
            </w:r>
            <w:r w:rsidR="0055464C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89629D8" w14:textId="77777777" w:rsidR="00406170" w:rsidRPr="007F197D" w:rsidRDefault="0040617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 wydolność narządowa określona na podstawie wyników badań laboratoryjnych krwi zgodnie z zapisami Charakterystyki Produktu Leczniczego;</w:t>
            </w:r>
          </w:p>
          <w:p w14:paraId="13D02CAC" w14:textId="77777777" w:rsidR="00406170" w:rsidRPr="007F197D" w:rsidRDefault="0040617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4E76DC" w14:textId="77777777" w:rsidR="00406170" w:rsidRPr="007F197D" w:rsidRDefault="0040617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 istotnych klinicznie i niekontrolowanych stosowanym postępowaniem farmakologicznym chorób współistniejących stanowiących przeciwwskazanie do leczenia;</w:t>
            </w:r>
          </w:p>
          <w:p w14:paraId="4132AE7D" w14:textId="77777777" w:rsidR="00F1705D" w:rsidRPr="007F197D" w:rsidRDefault="006E37A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prawność w stopniu 0-1 według kryteriów </w:t>
            </w:r>
            <w:proofErr w:type="spellStart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-WHO lub ECOG;</w:t>
            </w:r>
          </w:p>
          <w:p w14:paraId="505CBFB6" w14:textId="77777777" w:rsidR="00F1705D" w:rsidRPr="007F197D" w:rsidRDefault="006E37A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E87BE9" w:rsidRPr="007F197D">
              <w:rPr>
                <w:rFonts w:ascii="Times New Roman" w:hAnsi="Times New Roman" w:cs="Times New Roman"/>
                <w:sz w:val="20"/>
                <w:szCs w:val="20"/>
              </w:rPr>
              <w:t>ykluczenie ciąży i okresu karmienia piersią</w:t>
            </w:r>
            <w:r w:rsidR="00406170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1337BD7" w14:textId="77777777" w:rsidR="00F1705D" w:rsidRPr="007F197D" w:rsidRDefault="006E37A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 przypadku współistnienia innych aktywnych nowotworów kwalifikacja do leczenia musi uwzględniać rokowanie związane ze współistniejącym nowotworem.</w:t>
            </w:r>
          </w:p>
          <w:p w14:paraId="7F22AEF5" w14:textId="77777777" w:rsidR="00F1705D" w:rsidRPr="007F197D" w:rsidRDefault="00E87BE9" w:rsidP="006A0C96">
            <w:p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Powyższe kryteria muszą być spełnione łącznie.</w:t>
            </w:r>
          </w:p>
          <w:p w14:paraId="709EF49F" w14:textId="77777777" w:rsidR="005C3002" w:rsidRPr="007F197D" w:rsidRDefault="005C3002" w:rsidP="006A0C96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1D1B6F46" w14:textId="77777777" w:rsidR="005C3002" w:rsidRPr="007F197D" w:rsidRDefault="005C3002" w:rsidP="006A0C96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Ponadto do programu lekowego w zakresie leczenia, wczesnego HER2-ujemnego raka piersi kwalifikowani są również pacjenci wymagający kontynuacji leczenia, którzy byli leczeni substancjami czynnymi finansowanymi w programie lekowym w ramach innego sposobu finansowania terapii, za wyjątkiem trwających badań klinicznych tych leków, pod warunkiem, że w chwili rozpoczęcia leczenia spełniali kryteria kwalifikacji do programu lekowego.</w:t>
            </w:r>
          </w:p>
          <w:p w14:paraId="40889F7B" w14:textId="77777777" w:rsidR="00A13776" w:rsidRPr="007F197D" w:rsidRDefault="00A13776" w:rsidP="006A0C96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545AFD5C" w14:textId="77777777" w:rsidR="00F1705D" w:rsidRPr="007F197D" w:rsidRDefault="005C3002" w:rsidP="00B8464E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Leczenie </w:t>
            </w:r>
            <w:r w:rsidR="008A550E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okołooperacyjne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potrójnie ujemnego raka piersi w programie obejmuje:</w:t>
            </w:r>
          </w:p>
          <w:p w14:paraId="41B69DCB" w14:textId="77777777" w:rsidR="00F1705D" w:rsidRPr="007F197D" w:rsidRDefault="005C3002" w:rsidP="00B8464E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leczenie okołooperacyjne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chemioterapią jako leczenie przedoperacyjne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i kontynuacja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jako leczenie pooperacyjne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 po zabiegu chirurgicznym u chorych na potrójnie ujemnego raka piersi miejscowo zaawansowanego lub we wczesnym stadium z dużym ryzykiem nawrotu</w:t>
            </w:r>
            <w:r w:rsidR="0055464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5D059C1" w14:textId="77777777" w:rsidR="005C3002" w:rsidRPr="007F197D" w:rsidRDefault="005C3002" w:rsidP="00D92ACE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FEEE4" w14:textId="77777777" w:rsidR="005C3002" w:rsidRPr="007F197D" w:rsidRDefault="005C3002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 kwalifikacji do leczenia wczesnego, potrójnie ujemnego raka piersi:</w:t>
            </w:r>
          </w:p>
          <w:p w14:paraId="7F4CA05A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wiek 18 lat i powyżej;</w:t>
            </w:r>
          </w:p>
          <w:p w14:paraId="39B0A2E5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potwierdzony i dotychczas nieleczony potrójnie ujemny rak piersi;</w:t>
            </w:r>
          </w:p>
          <w:p w14:paraId="4865EAF5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udokumentowany brak ekspresji steroidowych receptorów hormonalnych (&lt;1%); </w:t>
            </w:r>
          </w:p>
          <w:p w14:paraId="08F38296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udokumentowany brak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nadekspresji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receptora HER2 w komórkach raka (wynik /0 lub 1+/ w badaniu IHC) lub brak amplifikacji genu HER2 (wynik /-/ w badaniu metodą hybrydyzacji in situ (ISH));</w:t>
            </w:r>
          </w:p>
          <w:p w14:paraId="00E57635" w14:textId="77777777" w:rsidR="00F1705D" w:rsidRPr="007F197D" w:rsidRDefault="005C3002" w:rsidP="00B8464E">
            <w:pPr>
              <w:pStyle w:val="pf0"/>
              <w:numPr>
                <w:ilvl w:val="3"/>
                <w:numId w:val="18"/>
              </w:numPr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kliniczny stopień zaawansowania T1-4 i N1-N2 lub T2-T4 i N0</w:t>
            </w:r>
          </w:p>
          <w:p w14:paraId="7DF48E31" w14:textId="77777777" w:rsidR="00F1705D" w:rsidRPr="007F197D" w:rsidRDefault="005C3002" w:rsidP="00B8464E">
            <w:pPr>
              <w:pStyle w:val="pf0"/>
              <w:numPr>
                <w:ilvl w:val="3"/>
                <w:numId w:val="18"/>
              </w:numPr>
              <w:spacing w:before="0" w:beforeAutospacing="0" w:after="60" w:afterAutospacing="0" w:line="276" w:lineRule="auto"/>
              <w:jc w:val="both"/>
              <w:rPr>
                <w:sz w:val="20"/>
                <w:szCs w:val="20"/>
              </w:rPr>
            </w:pPr>
            <w:r w:rsidRPr="007F197D">
              <w:rPr>
                <w:rFonts w:eastAsiaTheme="minorHAnsi"/>
                <w:sz w:val="20"/>
                <w:szCs w:val="20"/>
                <w:lang w:eastAsia="en-US"/>
              </w:rPr>
              <w:t>wartość LVEF co najmniej 50%;</w:t>
            </w:r>
          </w:p>
          <w:p w14:paraId="29FFDDD2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adekwatna wydolność narządowa określona na podstawie wyników badań laboratoryjnych krwi zgodnie z zapisami Charakterystyki Produktu Leczniczego;</w:t>
            </w:r>
          </w:p>
          <w:p w14:paraId="57ED9595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wykluczenie ciąży i okresu karmienia piersią; </w:t>
            </w:r>
          </w:p>
          <w:p w14:paraId="50905C3B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sprawność w stopniu 0-1 według kryteriów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-WHO lub ECOG;</w:t>
            </w:r>
          </w:p>
          <w:p w14:paraId="4D2F1AE0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i chemioterapii;</w:t>
            </w:r>
          </w:p>
          <w:p w14:paraId="2326DC3E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 istotnych klinicznie i niekontrolowanych stosowanym postępowaniem farmakologicznym chorób współistniejących stanowiących przeciwwskazanie do leczenia;</w:t>
            </w:r>
          </w:p>
          <w:p w14:paraId="24DBFA56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 aktywnych chorób autoimmunologicznych z wyłączeniem cukrzycy typu 1, niedoczynności tarczycy w trakcie suplementacji hormonalnej, łuszczycy i bielactwa;</w:t>
            </w:r>
          </w:p>
          <w:p w14:paraId="261F777B" w14:textId="77777777" w:rsidR="00F1705D" w:rsidRPr="007F197D" w:rsidRDefault="005C3002" w:rsidP="00B8464E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 przypadku współistnienia innych aktywnych nowotworów kwalifikacja do leczenia musi uwzględniać rokowanie związane ze współistniejącym nowotworem.</w:t>
            </w:r>
          </w:p>
          <w:p w14:paraId="2037730A" w14:textId="77777777" w:rsidR="005C3002" w:rsidRPr="007F197D" w:rsidRDefault="005C3002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Powyższe kryteria kwalifikacji muszą być spełnione łącznie.</w:t>
            </w:r>
          </w:p>
          <w:p w14:paraId="0A4519CF" w14:textId="77777777" w:rsidR="005C3002" w:rsidRPr="007F197D" w:rsidRDefault="005C3002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FBBF24" w14:textId="77777777" w:rsidR="005C3002" w:rsidRPr="007F197D" w:rsidRDefault="005C3002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Ponadto do programu lekowego w zakresie leczenia okołooperacyjnego potrójnie ujemnego raka piersi kwalifikowani są również pacjenci wymagający kontynuacji leczenia, którzy byli leczeni substancjami czynnymi finansowanymi w programie lekowym w ramach innego sposobu finansowania terapii, za wyjątkiem trwających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badań klinicznych tych leków, pod warunkiem, że w chwili rozpoczęcia leczenia spełniali kryteria kwalifikacji do programu lekowego.</w:t>
            </w:r>
          </w:p>
          <w:p w14:paraId="2FE0909C" w14:textId="77777777" w:rsidR="00E27F1D" w:rsidRPr="007F197D" w:rsidRDefault="00E27F1D" w:rsidP="006A0C96">
            <w:pPr>
              <w:pStyle w:val="pf0"/>
              <w:spacing w:before="0" w:beforeAutospacing="0" w:after="60" w:afterAutospacing="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551883EB" w14:textId="77777777" w:rsidR="00F1705D" w:rsidRPr="007F197D" w:rsidRDefault="00E21754" w:rsidP="006A0C96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2889A0A5" w14:textId="77777777" w:rsidR="00F1705D" w:rsidRPr="007F197D" w:rsidRDefault="00E21754" w:rsidP="006A0C96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705EF6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obejmuje:</w:t>
            </w:r>
          </w:p>
          <w:p w14:paraId="42E49E5A" w14:textId="77777777" w:rsidR="00F1705D" w:rsidRPr="007F197D" w:rsidRDefault="00E27F1D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 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0B5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579BB650" w14:textId="77777777" w:rsidR="00E21754" w:rsidRPr="007F197D" w:rsidRDefault="00E2175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0BAE102E" w14:textId="77777777" w:rsidR="00F1705D" w:rsidRPr="007F197D" w:rsidRDefault="00E27F1D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0B5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kolejne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A95" w:rsidRPr="007F197D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2FAF6484" w14:textId="77777777" w:rsidR="00E21754" w:rsidRPr="007F197D" w:rsidRDefault="00E2175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76AFF171" w14:textId="77777777" w:rsidR="00F1705D" w:rsidRPr="007F197D" w:rsidRDefault="00E27F1D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emtanzyną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56CE85EB" w14:textId="77777777" w:rsidR="002A79D8" w:rsidRPr="007F197D" w:rsidRDefault="00E2175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4BF46A9A" w14:textId="77777777" w:rsidR="00F1705D" w:rsidRPr="007F197D" w:rsidRDefault="00E27F1D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kapecytabiną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(II,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6DEC" w:rsidRPr="007F197D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7AAA74CD" w14:textId="77777777" w:rsidR="00F1705D" w:rsidRPr="007F197D" w:rsidRDefault="006335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784FDB06" w14:textId="77777777" w:rsidR="00F1705D" w:rsidRPr="007F197D" w:rsidRDefault="00AB2520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leczenie przerzutowego raka piersi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derukstekanem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(II lub III lub IV lini</w:t>
            </w:r>
            <w:r w:rsidR="00C46298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leczenia anty-HER2 przerzutowego raka piersi)</w:t>
            </w:r>
            <w:r w:rsidR="00A13776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926D71" w14:textId="77777777" w:rsidR="00471D46" w:rsidRPr="007F197D" w:rsidRDefault="00471D46" w:rsidP="006A0C96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7D500E" w14:textId="77777777" w:rsidR="00E21754" w:rsidRPr="007F197D" w:rsidRDefault="00E2175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E039C5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 leczenia </w:t>
            </w:r>
            <w:r w:rsidR="006545A7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6545A7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HER2-dodatniego</w:t>
            </w:r>
            <w:r w:rsidR="00EA5ADE"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38751848" w14:textId="77777777" w:rsidR="00F1705D" w:rsidRPr="007F197D" w:rsidRDefault="00582275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otwierdzony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histologicznie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inwazyjny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piersi:</w:t>
            </w:r>
          </w:p>
          <w:p w14:paraId="7F314AE8" w14:textId="77777777" w:rsidR="00F1705D" w:rsidRPr="007F197D" w:rsidRDefault="00E21754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uogólniony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(IV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zaawansowania)</w:t>
            </w:r>
            <w:r w:rsidR="0055464C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113B4CC" w14:textId="77777777" w:rsidR="00E21754" w:rsidRPr="007F197D" w:rsidRDefault="00E21754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C0BBC2C" w14:textId="77777777" w:rsidR="00F1705D" w:rsidRPr="007F197D" w:rsidRDefault="00E21754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miejscowo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nawrotowy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piersi,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10F0" w:rsidRPr="007F197D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(chirurgia,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radioterapia)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trwale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(III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zaawansowania);</w:t>
            </w:r>
          </w:p>
          <w:p w14:paraId="393E9118" w14:textId="77777777" w:rsidR="00F1705D" w:rsidRPr="007F197D" w:rsidRDefault="00582275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dokumentowana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nadekspresja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receptora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inwazyjnego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(wynik/3+/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IHC)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amplifikacja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/+/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ISH);</w:t>
            </w:r>
          </w:p>
          <w:p w14:paraId="30510688" w14:textId="77777777" w:rsidR="00F1705D" w:rsidRPr="007F197D" w:rsidRDefault="00D96DEC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nowotworowych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RECIST;</w:t>
            </w:r>
          </w:p>
          <w:p w14:paraId="2F746DD1" w14:textId="77777777" w:rsidR="00F1705D" w:rsidRPr="007F197D" w:rsidRDefault="00582275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prawność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stopniu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0-</w:t>
            </w:r>
            <w:r w:rsidR="00231D81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754"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-WHO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sprawność 0-1 według kryteriów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-WHO lub ECOG w przypadku produktu leczniczego złożonego zawierającego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442E1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 podawania podskórnego</w:t>
            </w:r>
            <w:r w:rsidR="00442E1D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0A5BFAC" w14:textId="77777777" w:rsidR="00F1705D" w:rsidRPr="007F197D" w:rsidRDefault="00582275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73A19" w:rsidRPr="007F197D">
              <w:rPr>
                <w:rFonts w:ascii="Times New Roman" w:hAnsi="Times New Roman" w:cs="Times New Roman"/>
                <w:sz w:val="20"/>
                <w:szCs w:val="20"/>
              </w:rPr>
              <w:t>artość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3A19" w:rsidRPr="007F197D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3A19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3A19" w:rsidRPr="007F197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3A19" w:rsidRPr="007F197D">
              <w:rPr>
                <w:rFonts w:ascii="Times New Roman" w:hAnsi="Times New Roman" w:cs="Times New Roman"/>
                <w:sz w:val="20"/>
                <w:szCs w:val="20"/>
              </w:rPr>
              <w:t>50%;</w:t>
            </w:r>
          </w:p>
          <w:p w14:paraId="11B6EDAC" w14:textId="77777777" w:rsidR="00F1705D" w:rsidRPr="007F197D" w:rsidRDefault="00673648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niekontrolowanych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postępowaniem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farmakologicznym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współwystępujących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przeciwwskazanie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31C89E33" w14:textId="77777777" w:rsidR="00F1705D" w:rsidRPr="007F197D" w:rsidRDefault="00582275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ykluczenie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3648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F00" w:rsidRPr="007F197D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F00" w:rsidRPr="007F197D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F00" w:rsidRPr="007F197D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69017F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69E5A3" w14:textId="77777777" w:rsidR="00F1705D" w:rsidRPr="007F197D" w:rsidRDefault="002A79D8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współistnienia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uwzględniać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rokowanie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związane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współistniejącym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nowotworem.</w:t>
            </w:r>
          </w:p>
          <w:p w14:paraId="119B99A0" w14:textId="77777777" w:rsidR="00E21754" w:rsidRPr="007F197D" w:rsidRDefault="00E2175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F00" w:rsidRPr="007F197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196148E6" w14:textId="77777777" w:rsidR="00705EF6" w:rsidRPr="007F197D" w:rsidRDefault="00705EF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654C1" w14:textId="77777777" w:rsidR="004D1FAC" w:rsidRPr="007F197D" w:rsidRDefault="00705EF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leków,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7F197D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735E489A" w14:textId="77777777" w:rsidR="00555F20" w:rsidRPr="007F197D" w:rsidRDefault="00555F20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429A5" w14:textId="77777777" w:rsidR="00D2729B" w:rsidRPr="007F197D" w:rsidRDefault="00D2729B" w:rsidP="006A0C96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Leczenie przerzutowego raka piersi z niską ekspresją HER2 obejmuje w programie:</w:t>
            </w:r>
          </w:p>
          <w:p w14:paraId="378E4F6C" w14:textId="77777777" w:rsidR="00D2729B" w:rsidRPr="007F197D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2.2.1 leczenie przerzutowego raka piersi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derukstekanem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 po uprzednim leczeniu systemowym</w:t>
            </w:r>
          </w:p>
          <w:p w14:paraId="6989A9B7" w14:textId="77777777" w:rsidR="00D2729B" w:rsidRPr="007F197D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 kwalifikacji do leczenia</w:t>
            </w:r>
            <w:r w:rsidRPr="007F197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przerzutowego raka piersi z niską ekspresją HER2: </w:t>
            </w:r>
          </w:p>
          <w:p w14:paraId="6140CD43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0E0F5FE1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potwierdzony histologicznie inwazyjny rak piersi:</w:t>
            </w:r>
          </w:p>
          <w:p w14:paraId="7EDDFAB9" w14:textId="77777777" w:rsidR="00D2729B" w:rsidRPr="007F197D" w:rsidRDefault="00D2729B" w:rsidP="006A0C96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uogólniony (IV stopień zaawansowania) lub </w:t>
            </w:r>
          </w:p>
          <w:p w14:paraId="24E8900F" w14:textId="77777777" w:rsidR="00D2729B" w:rsidRPr="007F197D" w:rsidRDefault="00D2729B" w:rsidP="006A0C96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miejscowo zaawansowany lub nawrotowy rak piersi, jeśli radykalne leczenie miejscowe (chirurgia, radioterapia) jest nieskuteczne lub trwale niemożliwe do zastosowania (III stopień zaawansowania);</w:t>
            </w:r>
          </w:p>
          <w:p w14:paraId="08EB44E0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udokumentowana niska ekspresją receptora HER2 (IHC /1+/ lub IHC  /2+/ i ISH /-/ niezależnie od statusu receptorów hormonalnych;</w:t>
            </w:r>
          </w:p>
          <w:p w14:paraId="44BE0C68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możliwa ocena odpowiedzi na leczenie zmian nowotworowych według aktualnej klasyfikacji RECIST;</w:t>
            </w:r>
          </w:p>
          <w:p w14:paraId="49EED31D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sprawność w stopniu 0-</w:t>
            </w:r>
            <w:r w:rsidR="00F73FAE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według kryteriów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-WHO lub ECOG;</w:t>
            </w:r>
          </w:p>
          <w:p w14:paraId="6A25D780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wartość LVEF co najmniej 50%;</w:t>
            </w:r>
          </w:p>
          <w:p w14:paraId="48C92CC8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nieobecność istotnych klinicznie i niekontrolowanych stosowanym postępowaniem farmakologicznym chorób współwystępujących stanowiących przeciwwskazanie do leczenia;</w:t>
            </w:r>
          </w:p>
          <w:p w14:paraId="68C7C1FB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wykluczenie ciąży i okresu karmienia piersią;</w:t>
            </w:r>
          </w:p>
          <w:p w14:paraId="5269A568" w14:textId="77777777" w:rsidR="00D2729B" w:rsidRPr="007F197D" w:rsidRDefault="00D2729B" w:rsidP="006A0C96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wykluczenie współwystępowania innych nowotworów złośliwych niekontrolowanych leczeniem.</w:t>
            </w:r>
          </w:p>
          <w:p w14:paraId="39FB5DD9" w14:textId="77777777" w:rsidR="00D2729B" w:rsidRPr="007F197D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Powyższe kryteria kwalifikacji muszą być spełnione łącznie.</w:t>
            </w:r>
          </w:p>
          <w:p w14:paraId="7B4C2A37" w14:textId="77777777" w:rsidR="00D2729B" w:rsidRPr="006A0C96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C7EC3" w14:textId="77777777" w:rsidR="00D2729B" w:rsidRPr="006A0C96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Ponadto do programu lekowego w zakresie leczenia przerzutowego raka piersi z niską ekspresją HER2 kwalifikowani są również pacjenci wymagający kontynuacji leczenia, którzy byli leczeni substancjami czynnymi finansowanymi w programie lekowym w ramach innego sposobu finansowania terapii, za wyjątkiem trwających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badań klinicznych tych leków, pod warunkiem, że w chwili rozpoczęcia leczenia spełniali kryteria kwalifikacji do programu lekowego.</w:t>
            </w:r>
          </w:p>
          <w:p w14:paraId="7897BF33" w14:textId="77777777" w:rsidR="00D2729B" w:rsidRPr="006A0C96" w:rsidRDefault="00D272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F08DA" w14:textId="77777777" w:rsidR="00F1705D" w:rsidRPr="006A0C96" w:rsidRDefault="00A900FD" w:rsidP="006A0C96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705EF6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HER2-ujemnego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05EF6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D0E52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D0E52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D0E52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obejmuje</w:t>
            </w:r>
            <w:r w:rsidR="00267CCC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A5380D1" w14:textId="77777777" w:rsidR="00F1705D" w:rsidRPr="006A0C96" w:rsidRDefault="00EA5ADE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palbocyk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lib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rybocyklib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3081A1E0" w14:textId="77777777" w:rsidR="00A900FD" w:rsidRPr="006A0C96" w:rsidRDefault="00D451F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782BE0F1" w14:textId="77777777" w:rsidR="00F1705D" w:rsidRPr="006A0C96" w:rsidRDefault="00EA5ADE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inh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ibitorami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CDK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4/6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palbocyklibem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rybocyklib</w:t>
            </w:r>
            <w:r w:rsidR="005E0501" w:rsidRPr="006A0C9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00FD"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BFC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BFC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BFC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BFC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BFC" w:rsidRPr="006A0C9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rybocyk</w:t>
            </w:r>
            <w:r w:rsidR="00246110"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692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DE2B35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618432" w14:textId="77777777" w:rsidR="00582275" w:rsidRPr="006A0C96" w:rsidRDefault="00582275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26195BBD" w14:textId="77777777" w:rsidR="00F1705D" w:rsidRPr="006A0C96" w:rsidRDefault="00EA5ADE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przerzutowego,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hormonowrażliwego</w:t>
            </w:r>
            <w:proofErr w:type="spellEnd"/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FA2F38" w:rsidRPr="006A0C9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obecnością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PIK3CA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alpelisybem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748" w:rsidRPr="006A0C96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</w:p>
          <w:p w14:paraId="35E138E1" w14:textId="77777777" w:rsidR="00582275" w:rsidRPr="006A0C96" w:rsidRDefault="00582275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1C4FD3B3" w14:textId="77777777" w:rsidR="00500AEA" w:rsidRPr="006A0C96" w:rsidRDefault="00500AEA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leczenie przerzutowego,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hormonowrażliwego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, HER2-ujemnego raka piersi z co najmniej jedną zmianą w genach: PIK3CA lub AKT1 lub PTEN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kapiwasertybem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(II lub III linia leczenia zaawansowanego raka piersi, a w I linia leczenia tylko, gdy była stosowana terapia uzupełniająca inhibitorem CDK 4/6)</w:t>
            </w:r>
          </w:p>
          <w:p w14:paraId="3D794A33" w14:textId="77777777" w:rsidR="00500AEA" w:rsidRPr="006A0C96" w:rsidRDefault="00500AEA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71206E00" w14:textId="77777777" w:rsidR="00F1705D" w:rsidRPr="006A0C96" w:rsidRDefault="00EA5ADE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PARP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AC1AF3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AC1AF3" w:rsidRPr="006A0C96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obecnością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>germinalnych</w:t>
            </w:r>
            <w:proofErr w:type="spellEnd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BRCA1/2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(II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hormonozależnego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4D20" w:rsidRPr="006A0C96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  <w:r w:rsidR="00454FBC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28F049" w14:textId="77777777" w:rsidR="00FE6B87" w:rsidRPr="006A0C96" w:rsidRDefault="00FE6B87" w:rsidP="006A0C96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leczenie przerzutowego raka piersi w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gowitekanem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pacjentów uprzednio leczonych co najmniej jedną linią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hormonoterapii (samodzielnej bądź w skojarzeniu w tym –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łacznie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z inhibitorami CDK4/6) na jakimkolwiek etapie choroby i co najmniej dwiema liniami chemioterapii z powodu choroby zaawansowanej (jeśli czas wolny od choroby wyniósł mniej niż 12 mies. od zastosowania chemioterapii okołooperacyjnej, chemioterapia okołooperacyjna traktowana jest jako jedna linia terapii systemowej w chorobie zaawansowanej).</w:t>
            </w:r>
          </w:p>
          <w:p w14:paraId="3196E4C8" w14:textId="77777777" w:rsidR="00FE6B87" w:rsidRPr="006A0C96" w:rsidRDefault="00FE6B87" w:rsidP="006A0C96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D39258" w14:textId="77777777" w:rsidR="00C62C88" w:rsidRPr="006A0C96" w:rsidRDefault="00C62C88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istnieje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jednorazowa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możliwość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użyciem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inhibitorów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CDK4/6.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3A1EA99" w14:textId="77777777" w:rsidR="00A900FD" w:rsidRPr="006A0C96" w:rsidRDefault="00A900FD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B1C500" w14:textId="77777777" w:rsidR="00A900FD" w:rsidRPr="006A0C96" w:rsidRDefault="000D0E5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4A4ED6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 leczenia </w:t>
            </w:r>
            <w:r w:rsidR="00405EB8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HER2-ujemnego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piersi:</w:t>
            </w:r>
          </w:p>
          <w:p w14:paraId="7FDF6D88" w14:textId="77777777" w:rsidR="00F1705D" w:rsidRPr="006A0C96" w:rsidRDefault="008A17EC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7A071F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otwierdzony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histologicznie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zaawansowany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piersi,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C0F" w:rsidRPr="006A0C96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9700EE6" w14:textId="77777777" w:rsidR="00F1705D" w:rsidRPr="006A0C96" w:rsidRDefault="006F4868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uogólniony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(IV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zaawansowania)</w:t>
            </w:r>
          </w:p>
          <w:p w14:paraId="7AF850D6" w14:textId="77777777" w:rsidR="006F4868" w:rsidRPr="006A0C96" w:rsidRDefault="006F4868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342264B" w14:textId="77777777" w:rsidR="00F1705D" w:rsidRPr="006A0C96" w:rsidRDefault="006F4868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zaawansowany,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(chirurgia,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radioterapia)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(III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zaawansowania)</w:t>
            </w:r>
            <w:r w:rsidR="00A552E0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C3CB29" w14:textId="77777777" w:rsidR="00F1705D" w:rsidRPr="006A0C96" w:rsidRDefault="006F4868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steroidowych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receptorów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hormonalnych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Cambria Math" w:hAnsi="Cambria Math" w:cs="Cambria Math"/>
                <w:sz w:val="20"/>
                <w:szCs w:val="20"/>
              </w:rPr>
              <w:t>⩾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1%;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55BB69" w14:textId="77777777" w:rsidR="00F1705D" w:rsidRPr="006A0C96" w:rsidRDefault="008B04DB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5490"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dokumentowany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nadekspresji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receptora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1+/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IHC)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amplifikacji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/-/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hybrydyzacji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situ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ISH))</w:t>
            </w:r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– nie dotyczy </w:t>
            </w:r>
            <w:proofErr w:type="spellStart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="00333676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038AFB" w14:textId="2F098292" w:rsidR="00FE6B87" w:rsidRPr="006A0C96" w:rsidRDefault="00FE6B8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udokumentowany brak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nadekspresji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receptora HER2 w komórkach raka (wynik /0 lub 1+/ w badaniu IHC) </w:t>
            </w:r>
            <w:r w:rsidR="003D589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brak amplifikacji genu HER2 oceniona badaniem ISH (wynik /-/) u chorych z wynikiem /2+/ w badaniu IHC – dotyczy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FF77EDF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dokumentowana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PIK3CA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="00A7032E" w:rsidRPr="006A0C9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7B77" w:rsidRPr="006A0C96">
              <w:rPr>
                <w:rFonts w:ascii="Times New Roman" w:hAnsi="Times New Roman" w:cs="Times New Roman"/>
                <w:sz w:val="20"/>
                <w:szCs w:val="20"/>
              </w:rPr>
              <w:t>elisybu</w:t>
            </w:r>
            <w:proofErr w:type="spellEnd"/>
            <w:r w:rsidR="005A45CB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CB19FD" w14:textId="77777777" w:rsidR="00500AEA" w:rsidRPr="006A0C96" w:rsidRDefault="00500AEA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udokumentowana obecność co najmniej jednej zmiany w genach: PIK3CA lub AKT1 lub PTEN – tylko w przypadku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EB0C4D1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dokumentowana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patogennej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prawdopodobnie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patogennej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BRCA1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BRCA2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>germinalnej</w:t>
            </w:r>
            <w:proofErr w:type="spellEnd"/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4722" w:rsidRPr="006A0C96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="00A31A36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7B71D2" w14:textId="77777777" w:rsidR="00F1705D" w:rsidRPr="006A0C96" w:rsidRDefault="00585E1C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możliwa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RECIST;</w:t>
            </w:r>
          </w:p>
          <w:p w14:paraId="40CA74B5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567C1" w:rsidRPr="006A0C96">
              <w:rPr>
                <w:rFonts w:ascii="Times New Roman" w:hAnsi="Times New Roman" w:cs="Times New Roman"/>
                <w:sz w:val="20"/>
                <w:szCs w:val="20"/>
              </w:rPr>
              <w:t>tan: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EC216A" w14:textId="77777777" w:rsidR="00F1705D" w:rsidRPr="006A0C96" w:rsidRDefault="00D567C1" w:rsidP="006A0C96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pomenopauzalny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zdefiniowany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wyboru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jedna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opcji):</w:t>
            </w:r>
          </w:p>
          <w:p w14:paraId="4ACABB4B" w14:textId="77777777" w:rsidR="00F1705D" w:rsidRPr="006A0C96" w:rsidRDefault="00D567C1" w:rsidP="006A0C96">
            <w:pPr>
              <w:pStyle w:val="Akapitzlist"/>
              <w:numPr>
                <w:ilvl w:val="5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obustronnym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usunięciu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jajników</w:t>
            </w:r>
            <w:r w:rsidR="00525490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E8019A4" w14:textId="77777777" w:rsidR="00F1705D" w:rsidRPr="006A0C96" w:rsidRDefault="00D567C1" w:rsidP="006A0C96">
            <w:pPr>
              <w:pStyle w:val="Akapitzlist"/>
              <w:numPr>
                <w:ilvl w:val="5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ostatnie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(bez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przyczyn)</w:t>
            </w:r>
            <w:r w:rsidR="00525490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36489E8" w14:textId="77777777" w:rsidR="00F1705D" w:rsidRPr="006A0C96" w:rsidRDefault="00D567C1" w:rsidP="006A0C96">
            <w:pPr>
              <w:pStyle w:val="Akapitzlist"/>
              <w:numPr>
                <w:ilvl w:val="5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spełniający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powyższych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wymogów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pomenopauzalne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estradiolu,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FSH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LH,</w:t>
            </w:r>
          </w:p>
          <w:p w14:paraId="730B879C" w14:textId="77777777" w:rsidR="00500AEA" w:rsidRPr="006A0C96" w:rsidRDefault="00500AEA" w:rsidP="006A0C96">
            <w:pPr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Kryterium kwalifikacji tylko w przypadku zastosowania inhibitorów CDK</w:t>
            </w:r>
            <w:r w:rsidR="000C5CE6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4/6 lub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5E4F1B" w14:textId="77777777" w:rsidR="00F1705D" w:rsidRPr="006A0C96" w:rsidRDefault="00D567C1" w:rsidP="006A0C96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przed-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okołomenopauzalny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wszystkie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spełniające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pomenopauzalnego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7D210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takim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hormonoterapię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skojarzyć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agonistą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uwalniającego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luteinizujący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(LHRH)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90D73C8" w14:textId="77777777" w:rsidR="00CC0768" w:rsidRPr="006A0C96" w:rsidRDefault="00A40D9B" w:rsidP="006A0C96">
            <w:pPr>
              <w:pStyle w:val="TableParagraph"/>
              <w:spacing w:after="60" w:line="276" w:lineRule="auto"/>
              <w:ind w:left="454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>Kryterium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kwalifikacji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tylko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bookmarkStart w:id="0" w:name="_Hlk116386478"/>
            <w:r w:rsidRPr="006A0C96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przypadku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zastosowania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525490" w:rsidRPr="006A0C96">
              <w:rPr>
                <w:rFonts w:eastAsiaTheme="minorHAnsi"/>
                <w:sz w:val="20"/>
                <w:szCs w:val="20"/>
                <w:lang w:val="pl-PL"/>
              </w:rPr>
              <w:t>i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nhibitorów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CDK4/6</w:t>
            </w:r>
            <w:bookmarkEnd w:id="0"/>
            <w:r w:rsidR="00FF65CA" w:rsidRPr="006A0C96">
              <w:rPr>
                <w:rFonts w:eastAsiaTheme="minorHAnsi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="00FF65CA" w:rsidRPr="006A0C96">
              <w:rPr>
                <w:rFonts w:eastAsiaTheme="minorHAnsi"/>
                <w:sz w:val="20"/>
                <w:szCs w:val="20"/>
                <w:lang w:val="pl-PL"/>
              </w:rPr>
              <w:t>kapiwasertybu</w:t>
            </w:r>
            <w:proofErr w:type="spellEnd"/>
            <w:r w:rsidR="00A13776" w:rsidRPr="006A0C96">
              <w:rPr>
                <w:rFonts w:eastAsiaTheme="minorHAnsi"/>
                <w:sz w:val="20"/>
                <w:szCs w:val="20"/>
                <w:lang w:val="pl-PL"/>
              </w:rPr>
              <w:t>;</w:t>
            </w:r>
          </w:p>
          <w:p w14:paraId="441FA99B" w14:textId="77777777" w:rsidR="000C5CE6" w:rsidRPr="006A0C96" w:rsidRDefault="000C5CE6" w:rsidP="006A0C96">
            <w:pPr>
              <w:pStyle w:val="TableParagraph"/>
              <w:numPr>
                <w:ilvl w:val="4"/>
                <w:numId w:val="9"/>
              </w:numPr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>mężczyźni (należy rozważyć podawanie agonisty LHRH zgodnie z obecnie obowiązującymi standardami postępowania klinicznego).</w:t>
            </w:r>
          </w:p>
          <w:p w14:paraId="0DBA7302" w14:textId="77777777" w:rsidR="000C5CE6" w:rsidRPr="006A0C96" w:rsidRDefault="000C5CE6" w:rsidP="006A0C96">
            <w:pPr>
              <w:pStyle w:val="TableParagraph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 xml:space="preserve">Kryterium kwalifikacji tylko w przypadku zastosowania </w:t>
            </w:r>
            <w:proofErr w:type="spellStart"/>
            <w:r w:rsidRPr="006A0C96">
              <w:rPr>
                <w:rFonts w:eastAsiaTheme="minorHAnsi"/>
                <w:sz w:val="20"/>
                <w:szCs w:val="20"/>
                <w:lang w:val="pl-PL"/>
              </w:rPr>
              <w:t>kapiwasertybu</w:t>
            </w:r>
            <w:proofErr w:type="spellEnd"/>
            <w:r w:rsidRPr="006A0C96">
              <w:rPr>
                <w:rFonts w:eastAsiaTheme="minorHAnsi"/>
                <w:sz w:val="20"/>
                <w:szCs w:val="20"/>
                <w:lang w:val="pl-PL"/>
              </w:rPr>
              <w:t xml:space="preserve">; </w:t>
            </w:r>
          </w:p>
          <w:p w14:paraId="44DAC315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16386636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obiety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stanie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pomenopauzalnym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zdefiniowanym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(do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wyboru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jedna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768" w:rsidRPr="006A0C96">
              <w:rPr>
                <w:rFonts w:ascii="Times New Roman" w:hAnsi="Times New Roman" w:cs="Times New Roman"/>
                <w:sz w:val="20"/>
                <w:szCs w:val="20"/>
              </w:rPr>
              <w:t>opcji):</w:t>
            </w:r>
          </w:p>
          <w:p w14:paraId="177ACEAE" w14:textId="77777777" w:rsidR="00F1705D" w:rsidRPr="006A0C96" w:rsidRDefault="00CC0768" w:rsidP="006A0C96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obustronnym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usunięciu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jajników</w:t>
            </w:r>
            <w:r w:rsidR="00525490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5798B7" w14:textId="77777777" w:rsidR="00F1705D" w:rsidRPr="006A0C96" w:rsidRDefault="00CC0768" w:rsidP="006A0C96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ostatnie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(bez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przyczyn)</w:t>
            </w:r>
            <w:r w:rsidR="00525490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8A8478" w14:textId="77777777" w:rsidR="00F1705D" w:rsidRPr="006A0C96" w:rsidRDefault="00CC0768" w:rsidP="006A0C96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spełniający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powyższych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wymogów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pomenopauzalne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estradiolu,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FSH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LH,</w:t>
            </w:r>
          </w:p>
          <w:p w14:paraId="510896DB" w14:textId="77777777" w:rsidR="00B16CE2" w:rsidRPr="006A0C96" w:rsidRDefault="00CC0768" w:rsidP="006A0C9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mężczyźni</w:t>
            </w:r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90304A" w14:textId="77777777" w:rsidR="00A40D9B" w:rsidRPr="006A0C96" w:rsidRDefault="00B16CE2" w:rsidP="006A0C96">
            <w:pPr>
              <w:pStyle w:val="TableParagraph"/>
              <w:tabs>
                <w:tab w:val="left" w:pos="622"/>
                <w:tab w:val="left" w:pos="623"/>
              </w:tabs>
              <w:spacing w:after="60" w:line="276" w:lineRule="auto"/>
              <w:ind w:left="454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>K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ryterium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kwalifikacji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tylko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przypadku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zastosowania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CC0768" w:rsidRPr="006A0C96">
              <w:rPr>
                <w:rFonts w:eastAsiaTheme="minorHAnsi"/>
                <w:sz w:val="20"/>
                <w:szCs w:val="20"/>
                <w:lang w:val="pl-PL"/>
              </w:rPr>
              <w:t>alpelisybu</w:t>
            </w:r>
            <w:proofErr w:type="spellEnd"/>
            <w:r w:rsidR="00A13776" w:rsidRPr="006A0C96">
              <w:rPr>
                <w:rFonts w:eastAsiaTheme="minorHAnsi"/>
                <w:sz w:val="20"/>
                <w:szCs w:val="20"/>
                <w:lang w:val="pl-PL"/>
              </w:rPr>
              <w:t>;</w:t>
            </w:r>
          </w:p>
          <w:bookmarkEnd w:id="1"/>
          <w:p w14:paraId="239973D5" w14:textId="77777777" w:rsidR="00FE6B87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prawność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stopniu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BD7" w:rsidRPr="006A0C96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74BBF" w:rsidRPr="006A0C96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D74BBF" w:rsidRPr="006A0C96">
              <w:rPr>
                <w:rFonts w:ascii="Times New Roman" w:hAnsi="Times New Roman" w:cs="Times New Roman"/>
                <w:sz w:val="20"/>
                <w:szCs w:val="20"/>
              </w:rPr>
              <w:t>-WHO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6A0C96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– nie dotyczy </w:t>
            </w:r>
            <w:proofErr w:type="spellStart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B87"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</w:p>
          <w:p w14:paraId="50FD69E6" w14:textId="77777777" w:rsidR="00F1705D" w:rsidRPr="006A0C96" w:rsidRDefault="00FE6B8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sprawność w stopniu 0-1 według kryteriów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-WHO lub ECOG – dotyczy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3B8AEC" w14:textId="77777777" w:rsidR="00F1705D" w:rsidRPr="006A0C96" w:rsidRDefault="00843101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niekontrolowanych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postępowaniem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farmakologicznym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współwystępujących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przeciwwskazanie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C4D3BD4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skojarzenia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palbocyklibu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(dopuszczalne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zastosowanie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udokumentowanego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rzeczywistego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zagrożenia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niewydolności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narządów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miąższowych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następstwie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masywnych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19F9" w:rsidRPr="006A0C96">
              <w:rPr>
                <w:rFonts w:ascii="Times New Roman" w:hAnsi="Times New Roman" w:cs="Times New Roman"/>
                <w:sz w:val="20"/>
                <w:szCs w:val="20"/>
              </w:rPr>
              <w:t>przerzutów)</w:t>
            </w:r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FD016B" w14:textId="77777777" w:rsidR="00B21EAF" w:rsidRPr="006A0C96" w:rsidRDefault="00EA5ADE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opuszczalne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1EAF" w:rsidRPr="006A0C96">
              <w:rPr>
                <w:rFonts w:ascii="Times New Roman" w:hAnsi="Times New Roman" w:cs="Times New Roman"/>
                <w:sz w:val="20"/>
                <w:szCs w:val="20"/>
              </w:rPr>
              <w:t>przedoperacyjne/uzupełniające:</w:t>
            </w:r>
          </w:p>
          <w:p w14:paraId="0A2C31B4" w14:textId="77777777" w:rsidR="00F1705D" w:rsidRPr="006A0C96" w:rsidRDefault="00B21EAF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C7B72F9" w14:textId="77777777" w:rsidR="00B21EAF" w:rsidRPr="006A0C96" w:rsidRDefault="00B21EAF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6F69739" w14:textId="77777777" w:rsidR="00F1705D" w:rsidRPr="006A0C96" w:rsidRDefault="00B21EAF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tamoksyfenem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niezależnie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(także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hormonoterapii)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14143D" w14:textId="77777777" w:rsidR="00E7150D" w:rsidRPr="006A0C96" w:rsidRDefault="00E7150D" w:rsidP="006A0C96">
            <w:pPr>
              <w:pStyle w:val="TableParagraph"/>
              <w:spacing w:after="60" w:line="276" w:lineRule="auto"/>
              <w:ind w:left="454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>Kryterium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kwalifikacji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tylko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przypadku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zastosowania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inhibitorów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CDK4/6</w:t>
            </w:r>
            <w:r w:rsidR="00A13776" w:rsidRPr="006A0C96">
              <w:rPr>
                <w:rFonts w:eastAsiaTheme="minorHAnsi"/>
                <w:sz w:val="20"/>
                <w:szCs w:val="20"/>
                <w:lang w:val="pl-PL"/>
              </w:rPr>
              <w:t>;</w:t>
            </w:r>
          </w:p>
          <w:p w14:paraId="46593A48" w14:textId="77777777" w:rsidR="00F1705D" w:rsidRPr="006A0C96" w:rsidRDefault="00525490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skojarzenia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palbocyklibu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4F7967"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81DB8FE" w14:textId="77777777" w:rsidR="00F1705D" w:rsidRPr="006A0C96" w:rsidRDefault="00C0353C" w:rsidP="006A0C96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jedynie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4EC422" w14:textId="77777777" w:rsidR="00C0353C" w:rsidRPr="006A0C96" w:rsidRDefault="00C0353C" w:rsidP="006A0C9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3C740B8" w14:textId="77777777" w:rsidR="00F1705D" w:rsidRPr="006A0C96" w:rsidRDefault="00C0353C" w:rsidP="006A0C96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progresja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uzupełniającej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0A89B2" w14:textId="77777777" w:rsidR="00C0353C" w:rsidRPr="006A0C96" w:rsidRDefault="00C0353C" w:rsidP="006A0C9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55123A4" w14:textId="77777777" w:rsidR="00F1705D" w:rsidRPr="006A0C96" w:rsidRDefault="00C0353C" w:rsidP="006A0C96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rzutu.</w:t>
            </w:r>
          </w:p>
          <w:p w14:paraId="54D12A56" w14:textId="77777777" w:rsidR="0072614E" w:rsidRPr="006A0C96" w:rsidRDefault="00C0353C" w:rsidP="006A0C9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Dopuszczalne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uprzednie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stosowanie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rzutu)</w:t>
            </w:r>
            <w:r w:rsidR="0072614E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7520453" w14:textId="77777777" w:rsidR="0072614E" w:rsidRPr="006A0C96" w:rsidRDefault="0072614E" w:rsidP="006A0C96">
            <w:pPr>
              <w:pStyle w:val="TableParagraph"/>
              <w:spacing w:after="60" w:line="276" w:lineRule="auto"/>
              <w:ind w:left="454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6A0C96">
              <w:rPr>
                <w:rFonts w:eastAsiaTheme="minorHAnsi"/>
                <w:sz w:val="20"/>
                <w:szCs w:val="20"/>
                <w:lang w:val="pl-PL"/>
              </w:rPr>
              <w:t>Kryterium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kwalifikacji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tylko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przypadku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zastosowania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inhibitorów</w:t>
            </w:r>
            <w:r w:rsidR="008B04DB" w:rsidRPr="006A0C96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6A0C96">
              <w:rPr>
                <w:rFonts w:eastAsiaTheme="minorHAnsi"/>
                <w:sz w:val="20"/>
                <w:szCs w:val="20"/>
                <w:lang w:val="pl-PL"/>
              </w:rPr>
              <w:t>CDK4/6</w:t>
            </w:r>
            <w:r w:rsidR="00A13776" w:rsidRPr="006A0C96">
              <w:rPr>
                <w:rFonts w:eastAsiaTheme="minorHAnsi"/>
                <w:sz w:val="20"/>
                <w:szCs w:val="20"/>
                <w:lang w:val="pl-PL"/>
              </w:rPr>
              <w:t>;</w:t>
            </w:r>
          </w:p>
          <w:p w14:paraId="207CD140" w14:textId="77777777" w:rsidR="00FE6B87" w:rsidRPr="006A0C96" w:rsidRDefault="00FE6B87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w przypadku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przebyte leczenie:</w:t>
            </w:r>
          </w:p>
          <w:p w14:paraId="6F7449B5" w14:textId="77777777" w:rsidR="00FE6B87" w:rsidRPr="006A0C96" w:rsidRDefault="00FE6B87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terapią hormonalną (samodzielnie bądź w skojarzeniu w tym –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łacznie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z inhibitorami CDK4/6) na jakimkolwiek etapie choroby,</w:t>
            </w:r>
          </w:p>
          <w:p w14:paraId="5B3C8D34" w14:textId="77777777" w:rsidR="00FE6B87" w:rsidRPr="006A0C96" w:rsidRDefault="00FE6B87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</w:p>
          <w:p w14:paraId="3D01E5D3" w14:textId="77777777" w:rsidR="00FE6B87" w:rsidRPr="006A0C96" w:rsidRDefault="00FE6B87" w:rsidP="006A0C96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 najmniej dwiema liniami chemioterapii z powodu choroby zaawansowanej (jeśli czas wolny od choroby wyniósł mniej niż 12 mies. od zastosowania chemioterapii okołooperacyjnej, chemioterapia okołooperacyjna traktowana jest jako jedna linia terapii systemowej w chorobie zaawansowanej);</w:t>
            </w:r>
          </w:p>
          <w:p w14:paraId="0CDA92A4" w14:textId="77777777" w:rsidR="00FE6B87" w:rsidRPr="006A0C96" w:rsidRDefault="00FE6B87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Kryterium kwalifikacji w przypadku zastosowania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8385FE4" w14:textId="77777777" w:rsidR="00F1705D" w:rsidRPr="006A0C96" w:rsidRDefault="009A7533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ykluczenie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AB8"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353C" w:rsidRPr="006A0C96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F2763F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5C37E26" w14:textId="77777777" w:rsidR="00F1705D" w:rsidRPr="006A0C96" w:rsidRDefault="009A7533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8208B" w:rsidRPr="006A0C96">
              <w:rPr>
                <w:rFonts w:ascii="Times New Roman" w:hAnsi="Times New Roman" w:cs="Times New Roman"/>
                <w:sz w:val="20"/>
                <w:szCs w:val="20"/>
              </w:rPr>
              <w:t>ieo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masywnych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narządów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trzewnych,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bezpośrednie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zagrożenie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FB2" w:rsidRPr="006A0C96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</w:p>
          <w:p w14:paraId="17CB6D38" w14:textId="77777777" w:rsidR="00F1705D" w:rsidRPr="006A0C96" w:rsidRDefault="00585E1C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objawowych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ośrodkowym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układzie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nerwowym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cech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ośrodkowym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układzie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nerwowym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(chirurgia,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radioterapia);</w:t>
            </w:r>
          </w:p>
          <w:p w14:paraId="7229C905" w14:textId="77777777" w:rsidR="00F1705D" w:rsidRPr="006A0C96" w:rsidRDefault="002A79D8" w:rsidP="006A0C9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współistnienia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musi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uwzględniać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rokowanie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związane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współistniejącym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nowotworem.</w:t>
            </w:r>
          </w:p>
          <w:p w14:paraId="4811B030" w14:textId="77777777" w:rsidR="004343AD" w:rsidRPr="006A0C96" w:rsidRDefault="004343AD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7613" w:rsidRPr="006A0C9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A10683" w14:textId="77777777" w:rsidR="00EA5ADE" w:rsidRPr="006A0C96" w:rsidRDefault="00EA5ADE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3D110" w14:textId="77777777" w:rsidR="004D1FAC" w:rsidRPr="006A0C96" w:rsidRDefault="00705EF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Ponadto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5EB8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HER2-</w:t>
            </w:r>
            <w:r w:rsidR="00405EB8"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leków,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063" w:rsidRPr="006A0C96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18F84E39" w14:textId="77777777" w:rsidR="004343AD" w:rsidRPr="006A0C96" w:rsidRDefault="004343AD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D9A68" w14:textId="77777777" w:rsidR="004343AD" w:rsidRPr="006A0C96" w:rsidRDefault="004343AD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pacjentek,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rozpoczęły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monoterapię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fulwestrantem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hormonalnego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01.09.2020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r.,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będzie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zastosowanie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palbocyklibem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8793603" w14:textId="77777777" w:rsidR="00E7571F" w:rsidRPr="006A0C96" w:rsidRDefault="00E7571F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19EDB4" w14:textId="77777777" w:rsidR="00F1705D" w:rsidRPr="006A0C96" w:rsidRDefault="00BA12FD" w:rsidP="00B8464E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E7613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E7613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E7613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obejmuje:</w:t>
            </w:r>
          </w:p>
          <w:p w14:paraId="06C0D95A" w14:textId="77777777" w:rsidR="00F1705D" w:rsidRPr="006A0C96" w:rsidRDefault="00EA5ADE" w:rsidP="00B8464E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nieoperacyjnego,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nawrotowego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ekspresją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PD-L1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paklitakselem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gemcytabiną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karboplatyną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TNBC)</w:t>
            </w:r>
          </w:p>
          <w:p w14:paraId="2F5F05B2" w14:textId="77777777" w:rsidR="00D43870" w:rsidRPr="006A0C96" w:rsidRDefault="00D43870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6B6A59C0" w14:textId="77777777" w:rsidR="00F1705D" w:rsidRPr="006A0C96" w:rsidRDefault="00EA5ADE" w:rsidP="00B8464E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9E457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proofErr w:type="spellStart"/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obecnością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>germinalnych</w:t>
            </w:r>
            <w:proofErr w:type="spellEnd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BRCA1/2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linia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TNBC)</w:t>
            </w:r>
          </w:p>
          <w:p w14:paraId="6A01FDA7" w14:textId="77777777" w:rsidR="00D43870" w:rsidRPr="006A0C96" w:rsidRDefault="00D43870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696CE6E0" w14:textId="77777777" w:rsidR="00F1705D" w:rsidRPr="006A0C96" w:rsidRDefault="00EA5ADE" w:rsidP="00B8464E">
            <w:pPr>
              <w:pStyle w:val="Akapitzlist"/>
              <w:numPr>
                <w:ilvl w:val="2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9E457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gowitekanem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linia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TNBC).</w:t>
            </w:r>
          </w:p>
          <w:p w14:paraId="11E21F35" w14:textId="77777777" w:rsidR="00D43870" w:rsidRPr="006A0C96" w:rsidRDefault="00D43870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3E316" w14:textId="77777777" w:rsidR="00D43870" w:rsidRPr="006A0C96" w:rsidRDefault="00D43870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AD5F6A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 leczenia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przerzutowego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piersi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1DBB8AA0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powyżej;</w:t>
            </w:r>
          </w:p>
          <w:p w14:paraId="3EC1E87A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potwierdzony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histologicznie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0006DAF" w14:textId="77777777" w:rsidR="00F1705D" w:rsidRPr="006A0C96" w:rsidRDefault="00D43870" w:rsidP="00B8464E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uogólniony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(IV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zaawansowania)</w:t>
            </w:r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7C927E" w14:textId="77777777" w:rsidR="00D43870" w:rsidRPr="006A0C96" w:rsidRDefault="00D43870" w:rsidP="00D92ACE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lub</w:t>
            </w:r>
          </w:p>
          <w:p w14:paraId="150C9CEE" w14:textId="77777777" w:rsidR="00F1705D" w:rsidRPr="006A0C96" w:rsidRDefault="00D43870" w:rsidP="00B8464E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zaawansowany,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radykalne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(chirurgia,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radioterapia)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nieskuteczne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niemożliwe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(III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stopień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zaawansowania);</w:t>
            </w:r>
          </w:p>
          <w:p w14:paraId="1FED0FEF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histologicznie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potwierdzony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ujemny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piersi;</w:t>
            </w:r>
          </w:p>
          <w:p w14:paraId="64890383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steroidowych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receptorów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hormonalnych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Cambria Math" w:hAnsi="Cambria Math" w:cs="Cambria Math"/>
                <w:sz w:val="20"/>
                <w:szCs w:val="20"/>
              </w:rPr>
              <w:t>⩾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1%;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758A190" w14:textId="77777777" w:rsidR="00F1705D" w:rsidRPr="006A0C96" w:rsidRDefault="008B04DB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nadekspresji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receptora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1+/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IHC)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amplifikacji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/-/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hybrydyzacji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situ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870" w:rsidRPr="006A0C96">
              <w:rPr>
                <w:rFonts w:ascii="Times New Roman" w:hAnsi="Times New Roman" w:cs="Times New Roman"/>
                <w:sz w:val="20"/>
                <w:szCs w:val="20"/>
              </w:rPr>
              <w:t>(ISH));</w:t>
            </w:r>
          </w:p>
          <w:p w14:paraId="1E3AFD83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patogennej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prawdopodobnie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patogennej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BRCA1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BRCA2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8160F" w:rsidRPr="006A0C96">
              <w:rPr>
                <w:rFonts w:ascii="Times New Roman" w:hAnsi="Times New Roman" w:cs="Times New Roman"/>
                <w:sz w:val="20"/>
                <w:szCs w:val="20"/>
              </w:rPr>
              <w:t>germinalnej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3776" w:rsidRPr="006A0C9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A550E" w:rsidRPr="006A0C96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81C4927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PD-L1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CPS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combined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oznaczona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zwalidowanym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testem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="00EA5ADE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2F50B5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możliwa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RECIST;</w:t>
            </w:r>
          </w:p>
          <w:p w14:paraId="42380D0A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sprawność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stopniu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-WHO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ECOG;</w:t>
            </w:r>
          </w:p>
          <w:p w14:paraId="7B5917F0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3F85431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masywnych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narządów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trzewnych,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bezpośrednie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zagrożenie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</w:p>
          <w:p w14:paraId="08C294FA" w14:textId="77777777" w:rsidR="00F1705D" w:rsidRPr="006A0C96" w:rsidRDefault="00CE3409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niekontrolowanych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postępowaniem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farmakologicznym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współwystępujących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przeciwwskazanie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D9DEA3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objawowych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ośrodkowym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układzie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nerwowym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cech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ośrodkowym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układzie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nerwowym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miejscowym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(chirurgia,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radioterapia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); adekwatna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laboratoryjnych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umożliwiająca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bezpieczne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rozpoczęcie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terapii;</w:t>
            </w:r>
          </w:p>
          <w:p w14:paraId="603EE64F" w14:textId="77777777" w:rsidR="00F1705D" w:rsidRPr="006A0C96" w:rsidRDefault="00D43870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współistnienia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musi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uwzględniać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rokowanie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związane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współistniejącym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nowotworem.</w:t>
            </w:r>
          </w:p>
          <w:p w14:paraId="68164F65" w14:textId="77777777" w:rsidR="00D43870" w:rsidRPr="006A0C96" w:rsidRDefault="00D43870" w:rsidP="00D92AC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7613" w:rsidRPr="006A0C9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F0C8B5" w14:textId="77777777" w:rsidR="00D43870" w:rsidRPr="006A0C96" w:rsidRDefault="00D43870" w:rsidP="00D92AC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509AA0" w14:textId="77777777" w:rsidR="00846E4C" w:rsidRPr="006A0C96" w:rsidRDefault="00D43870" w:rsidP="003649D0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przerzutowego,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leków,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2948C1EB" w14:textId="77777777" w:rsidR="00850023" w:rsidRPr="006A0C96" w:rsidRDefault="00850023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42D62" w14:textId="77777777" w:rsidR="00F1705D" w:rsidRPr="007F197D" w:rsidRDefault="0081296A" w:rsidP="00B8464E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3D8E00B6" w14:textId="77777777" w:rsidR="00F1705D" w:rsidRPr="007F197D" w:rsidRDefault="00C463BB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oceniona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obowiązującymi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RECIST;</w:t>
            </w:r>
          </w:p>
          <w:p w14:paraId="0BBE267A" w14:textId="77777777" w:rsidR="00F1705D" w:rsidRPr="007F197D" w:rsidRDefault="009A7533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ogorszenie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(i</w:t>
            </w:r>
            <w:r w:rsidR="00821E0C" w:rsidRPr="007F197D">
              <w:rPr>
                <w:rFonts w:ascii="Times New Roman" w:hAnsi="Times New Roman" w:cs="Times New Roman"/>
                <w:sz w:val="20"/>
                <w:szCs w:val="20"/>
              </w:rPr>
              <w:t>stotne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1E0C" w:rsidRPr="007F197D">
              <w:rPr>
                <w:rFonts w:ascii="Times New Roman" w:hAnsi="Times New Roman" w:cs="Times New Roman"/>
                <w:sz w:val="20"/>
                <w:szCs w:val="20"/>
              </w:rPr>
              <w:t>klinicznie)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1E0C" w:rsidRPr="007F197D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1E0C" w:rsidRPr="007F197D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nowotworem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potwierdzonej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przedmiotowym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obrazowym;</w:t>
            </w:r>
          </w:p>
          <w:p w14:paraId="18D6E06D" w14:textId="77777777" w:rsidR="00F1705D" w:rsidRPr="007F197D" w:rsidRDefault="00285486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wymagającej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ChP</w:t>
            </w:r>
            <w:r w:rsidR="006B72BD"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66C81BB" w14:textId="77777777" w:rsidR="00F1705D" w:rsidRPr="007F197D" w:rsidRDefault="009A7533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bniżenie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sprawności:</w:t>
            </w:r>
          </w:p>
          <w:p w14:paraId="0BB98508" w14:textId="77777777" w:rsidR="00F1705D" w:rsidRPr="007F197D" w:rsidRDefault="0081296A" w:rsidP="00B8464E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1D81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21F54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-WHO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wczesnego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671" w:rsidRPr="007F197D">
              <w:rPr>
                <w:rFonts w:ascii="Times New Roman" w:hAnsi="Times New Roman" w:cs="Times New Roman"/>
                <w:sz w:val="20"/>
                <w:szCs w:val="20"/>
              </w:rPr>
              <w:t>HER2-dodatniego</w:t>
            </w:r>
            <w:r w:rsidR="00CD3D2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</w:t>
            </w:r>
            <w:r w:rsidR="00D25DD4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HER2-ujemnego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D2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lub  </w:t>
            </w:r>
            <w:r w:rsidR="003B1671" w:rsidRPr="007F197D">
              <w:rPr>
                <w:rFonts w:ascii="Times New Roman" w:hAnsi="Times New Roman" w:cs="Times New Roman"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671" w:rsidRPr="007F197D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671"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1671"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FE6B87" w:rsidRPr="007F197D">
              <w:t xml:space="preserve"> </w:t>
            </w:r>
            <w:r w:rsidR="00FE6B8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oraz w przypadku leczenia przerzutowego HER2-ujemnego raka piersi </w:t>
            </w:r>
            <w:proofErr w:type="spellStart"/>
            <w:r w:rsidR="00FE6B87" w:rsidRPr="007F197D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="00FE6B8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B87" w:rsidRPr="007F197D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73129D1" w14:textId="77777777" w:rsidR="00F1705D" w:rsidRPr="007F197D" w:rsidRDefault="0081296A" w:rsidP="00B8464E">
            <w:pPr>
              <w:pStyle w:val="Akapitzlist"/>
              <w:numPr>
                <w:ilvl w:val="4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Zubroda</w:t>
            </w:r>
            <w:proofErr w:type="spellEnd"/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-WHO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31A" w:rsidRPr="007F197D">
              <w:rPr>
                <w:rFonts w:ascii="Times New Roman" w:hAnsi="Times New Roman" w:cs="Times New Roman"/>
                <w:sz w:val="20"/>
                <w:szCs w:val="20"/>
              </w:rPr>
              <w:t>HER2-ujemnego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31A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31A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F77B7D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9531A" w:rsidRPr="007F197D">
              <w:rPr>
                <w:rFonts w:ascii="Times New Roman" w:hAnsi="Times New Roman" w:cs="Times New Roman"/>
                <w:sz w:val="20"/>
                <w:szCs w:val="20"/>
              </w:rPr>
              <w:t>dodatniego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7E6F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lub HER2-low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0A59EA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41E33AE" w14:textId="77777777" w:rsidR="00F1705D" w:rsidRPr="007F197D" w:rsidRDefault="009A7533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ystąpienie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lek,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białko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mysie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uniemożliwiające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kontynuacje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75B1849B" w14:textId="77777777" w:rsidR="00F1705D" w:rsidRPr="007F197D" w:rsidRDefault="009A7533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ogorszenie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jakości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istotnym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znaczeniu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lekarza;</w:t>
            </w:r>
          </w:p>
          <w:p w14:paraId="36392BD0" w14:textId="77777777" w:rsidR="00F1705D" w:rsidRPr="007F197D" w:rsidRDefault="009A7533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1296A" w:rsidRPr="007F197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przypadków,</w:t>
            </w:r>
            <w:r w:rsidR="009E457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wspólnie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Konsultantem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Krajowym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Konsultantem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6F7" w:rsidRPr="007F197D">
              <w:rPr>
                <w:rFonts w:ascii="Times New Roman" w:hAnsi="Times New Roman" w:cs="Times New Roman"/>
                <w:sz w:val="20"/>
                <w:szCs w:val="20"/>
              </w:rPr>
              <w:t>Wojewódzkim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oceni,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ryzyko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przeciwnowotworowej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większą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korzyść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ryzyko</w:t>
            </w:r>
            <w:r w:rsidR="009E457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uzasadnione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finansowanie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takim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4BBF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A52ADFE" w14:textId="77777777" w:rsidR="00F1705D" w:rsidRPr="007F197D" w:rsidRDefault="00103604" w:rsidP="00B8464E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9E457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zwłaszcza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2050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2050" w:rsidRPr="007F197D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2050" w:rsidRPr="007F197D">
              <w:rPr>
                <w:rFonts w:ascii="Times New Roman" w:hAnsi="Times New Roman" w:cs="Times New Roman"/>
                <w:sz w:val="20"/>
                <w:szCs w:val="20"/>
              </w:rPr>
              <w:t>opiekunów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2050" w:rsidRPr="007F197D">
              <w:rPr>
                <w:rFonts w:ascii="Times New Roman" w:hAnsi="Times New Roman" w:cs="Times New Roman"/>
                <w:sz w:val="20"/>
                <w:szCs w:val="20"/>
              </w:rPr>
              <w:t>prawnych.</w:t>
            </w:r>
          </w:p>
          <w:p w14:paraId="60E9C489" w14:textId="77777777" w:rsidR="00802CCA" w:rsidRPr="007F197D" w:rsidRDefault="00802CCA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03259EC1" w14:textId="77777777" w:rsidR="00712EB2" w:rsidRPr="007F197D" w:rsidRDefault="00712EB2" w:rsidP="00B8464E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Leczenie wczesnego raka piersi</w:t>
            </w:r>
          </w:p>
          <w:p w14:paraId="55480391" w14:textId="77777777" w:rsidR="00F1705D" w:rsidRPr="006A0C96" w:rsidRDefault="00971D9B" w:rsidP="006A0C96">
            <w:pPr>
              <w:pStyle w:val="Akapitzlist"/>
              <w:numPr>
                <w:ilvl w:val="1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wczesnego,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HER2-dodatniego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46BDA705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8mg/kg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74BD5762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1ECE5260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tydzień: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6C3AE572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tydzień: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2A812593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podskórnego: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cyklu).</w:t>
            </w:r>
          </w:p>
          <w:p w14:paraId="378B4641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840mg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7512FAE2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 w:rsidR="00C76E0D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742FB70B" w14:textId="77777777" w:rsidR="001707CC" w:rsidRPr="006A0C96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E2671" w14:textId="77777777" w:rsidR="00971D9B" w:rsidRPr="006A0C96" w:rsidRDefault="00971D9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obejmuje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7391" w:rsidRPr="006A0C96">
              <w:rPr>
                <w:rFonts w:ascii="Times New Roman" w:hAnsi="Times New Roman" w:cs="Times New Roman"/>
                <w:sz w:val="20"/>
                <w:szCs w:val="20"/>
              </w:rPr>
              <w:t>niezależnie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7391"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7391" w:rsidRPr="006A0C96">
              <w:rPr>
                <w:rFonts w:ascii="Times New Roman" w:hAnsi="Times New Roman" w:cs="Times New Roman"/>
                <w:sz w:val="20"/>
                <w:szCs w:val="20"/>
              </w:rPr>
              <w:t>rytmu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7391" w:rsidRPr="006A0C96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7391"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AB2520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65AA39" w14:textId="77777777" w:rsidR="00C76E0D" w:rsidRPr="006A0C96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Dawka nasycająca produktu leczniczego złożonego zawierającego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podskórnego: 1200 mg -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600 mg -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(pierwszy cykl leczenia)</w:t>
            </w:r>
          </w:p>
          <w:p w14:paraId="6C401922" w14:textId="77777777" w:rsidR="00AB2520" w:rsidRPr="006A0C96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Dawka podtrzymująca produktu leczniczego złożonego zawierającego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podskórnego: 600 mg -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600 mg -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(kolejne cykle leczenia, co 3 tygodnie). </w:t>
            </w:r>
          </w:p>
          <w:p w14:paraId="721111AE" w14:textId="77777777" w:rsidR="00AB2520" w:rsidRPr="006A0C96" w:rsidRDefault="00AB2520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Dawka </w:t>
            </w:r>
            <w:proofErr w:type="spellStart"/>
            <w:r w:rsidR="0063355B"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63355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355B" w:rsidRPr="006A0C96">
              <w:rPr>
                <w:rFonts w:ascii="Times New Roman" w:hAnsi="Times New Roman" w:cs="Times New Roman"/>
                <w:sz w:val="20"/>
                <w:szCs w:val="20"/>
              </w:rPr>
              <w:t>emtanzyny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: 3,6 mg/kg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 (co 3 tygodnie).</w:t>
            </w:r>
          </w:p>
          <w:p w14:paraId="13E02272" w14:textId="77777777" w:rsidR="00FA2F38" w:rsidRPr="006A0C96" w:rsidRDefault="00FA2F38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89627FD" w14:textId="77777777" w:rsidR="00FA2F38" w:rsidRPr="006A0C96" w:rsidRDefault="00FA2F38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Calibri" w:hAnsi="Times New Roman" w:cs="Times New Roman"/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  <w:p w14:paraId="5388CDB4" w14:textId="77777777" w:rsidR="00FA2F38" w:rsidRPr="006A0C96" w:rsidRDefault="00FA2F38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86674" w14:textId="77777777" w:rsidR="00EC5D86" w:rsidRPr="006A0C96" w:rsidRDefault="00EC5D86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podaje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się:</w:t>
            </w:r>
          </w:p>
          <w:p w14:paraId="6E8F57D7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antracyklinami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29BBEF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antracyklinami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paklitakselem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1B77CC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użyciem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docetakselu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karboplatyny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0CF9AE3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użyciem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paklitakselu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775BEC6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przedoperacyjną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247045" w14:textId="77777777" w:rsidR="00EC5D86" w:rsidRPr="006A0C96" w:rsidRDefault="00EC5D86" w:rsidP="006A0C96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C76E0D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(leki podawane niezależnie lub w formie produktu leczniczego złożonego, zawierającego </w:t>
            </w:r>
            <w:proofErr w:type="spellStart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C76E0D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C76E0D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przedoperacyjną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="009A7533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F3E5B3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FEDAD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Całkowity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trwa:</w:t>
            </w:r>
          </w:p>
          <w:p w14:paraId="100DE409" w14:textId="77777777" w:rsidR="0040465B" w:rsidRPr="006A0C96" w:rsidRDefault="0040465B" w:rsidP="006A0C96">
            <w:pPr>
              <w:pStyle w:val="Akapitzlist"/>
              <w:numPr>
                <w:ilvl w:val="4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tygodnie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schemacie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określonym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3CF5" w:rsidRPr="006A0C96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FF1ED1B" w14:textId="77777777" w:rsidR="0040465B" w:rsidRPr="006A0C96" w:rsidRDefault="0040465B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7F221BB7" w14:textId="77777777" w:rsidR="008363E1" w:rsidRPr="006A0C96" w:rsidRDefault="00626F2A" w:rsidP="006A0C96">
            <w:pPr>
              <w:pStyle w:val="Akapitzlist"/>
              <w:numPr>
                <w:ilvl w:val="4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ust.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8E45DF" w14:textId="77777777" w:rsidR="008363E1" w:rsidRPr="006A0C96" w:rsidRDefault="008363E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1B68BC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Pooperacyjne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podawanie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wznowić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najszybciej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przeprowadzonym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operacyjnym.</w:t>
            </w:r>
          </w:p>
          <w:p w14:paraId="798DBD46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A3237C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ponowne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podjęcie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uzupełniającego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przerwie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trwającej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Warunkiem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takiego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sytuacji,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przerwy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spowodowane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zostały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wystąpieniem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działań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niepożądanych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progresją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choroby.</w:t>
            </w:r>
          </w:p>
          <w:p w14:paraId="06952C09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C6FC89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Całkowity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przedoperacyjnym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neoadjuwantowym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C76E0D"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F2763F" w:rsidRPr="006A0C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3D2CE24" w14:textId="77777777" w:rsidR="0040465B" w:rsidRPr="006A0C96" w:rsidRDefault="0040465B" w:rsidP="006A0C96">
            <w:pPr>
              <w:pStyle w:val="Akapitzlist"/>
              <w:numPr>
                <w:ilvl w:val="4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9A38F5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3B01A9" w14:textId="77777777" w:rsidR="0040465B" w:rsidRPr="006A0C96" w:rsidRDefault="00F2763F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0465B" w:rsidRPr="006A0C96">
              <w:rPr>
                <w:rFonts w:ascii="Times New Roman" w:hAnsi="Times New Roman" w:cs="Times New Roman"/>
                <w:sz w:val="20"/>
                <w:szCs w:val="20"/>
              </w:rPr>
              <w:t>lbo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7BB8E48" w14:textId="77777777" w:rsidR="0040465B" w:rsidRPr="006A0C96" w:rsidRDefault="00626F2A" w:rsidP="006A0C96">
            <w:pPr>
              <w:pStyle w:val="Akapitzlist"/>
              <w:numPr>
                <w:ilvl w:val="4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ust.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2763F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4E2A7D" w14:textId="77777777" w:rsidR="008363E1" w:rsidRPr="006A0C96" w:rsidRDefault="008363E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0B813" w14:textId="77777777" w:rsidR="00C76E0D" w:rsidRPr="006A0C96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Jeżeli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podawane są niezależnie w przypadku przerwania terapii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przerywa się stosowanie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14:paraId="4262B9B9" w14:textId="77777777" w:rsidR="00C76E0D" w:rsidRPr="006A0C96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 przypadku wystąpienia działań niepożądanych podczas terapii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podawanych w formie produktu leczniczego złożonego do podawania podskórnego, które w ocenie lekarza prowadzącego są związane z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wymagają przerwania terapii należy zakończyć terapię preparatem złożonym i kontynuować terapię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podawanym niezależnie.</w:t>
            </w:r>
          </w:p>
          <w:p w14:paraId="607BBBC2" w14:textId="77777777" w:rsidR="00C76E0D" w:rsidRPr="006A0C96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W przypadku wystąpienia miejscowych działań niepożądanych podczas terapii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podawanych w formie produktu leczniczego złożonego do podawania podskórnego, które w ocenie lekarza prowadzącego uniemożliwiają kontynuację terapii preparatem złożonym, należy kontynuować terapię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podawanymi niezależnie.</w:t>
            </w:r>
          </w:p>
          <w:p w14:paraId="05DEDB3F" w14:textId="77777777" w:rsidR="0040465B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8DA43A" w14:textId="77777777" w:rsidR="00AB086A" w:rsidRPr="006A0C96" w:rsidRDefault="004046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operacyjnym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stosuje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uzupełniające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F36BE3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neoadjuwantowe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adjuwantowe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całkowity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(stosowanego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6A0C96">
              <w:rPr>
                <w:rFonts w:ascii="Times New Roman" w:hAnsi="Times New Roman" w:cs="Times New Roman"/>
                <w:sz w:val="20"/>
                <w:szCs w:val="20"/>
              </w:rPr>
              <w:t>tygodnie)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1E22295" w14:textId="77777777" w:rsidR="009A7533" w:rsidRPr="006A0C96" w:rsidRDefault="009A7533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557BFB" w14:textId="77777777" w:rsidR="0016207C" w:rsidRPr="006A0C96" w:rsidRDefault="0016207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Całkowity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aktywnej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r w:rsidR="00B115B3" w:rsidRPr="006A0C9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emtanzyn</w:t>
            </w:r>
            <w:r w:rsidR="00B115B3" w:rsidRPr="006A0C96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pooperacyjnym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uwantowym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HER2-dodatniego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piersi):</w:t>
            </w:r>
          </w:p>
          <w:p w14:paraId="39821B75" w14:textId="77777777" w:rsidR="0016207C" w:rsidRPr="006A0C96" w:rsidRDefault="0016207C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obejmuje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podań,</w:t>
            </w:r>
          </w:p>
          <w:p w14:paraId="4F643816" w14:textId="77777777" w:rsidR="0016207C" w:rsidRPr="006A0C96" w:rsidRDefault="0016207C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52C88300" w14:textId="77777777" w:rsidR="0016207C" w:rsidRPr="006A0C96" w:rsidRDefault="0016207C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802CCA"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567D20" w14:textId="77777777" w:rsidR="0016207C" w:rsidRPr="006A0C96" w:rsidRDefault="0016207C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1E0B2492" w14:textId="77777777" w:rsidR="0016207C" w:rsidRPr="006A0C96" w:rsidRDefault="0016207C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mowa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ust.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707CC" w:rsidRPr="006A0C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C86B6E7" w14:textId="77777777" w:rsidR="0016207C" w:rsidRPr="006A0C96" w:rsidRDefault="0016207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r w:rsidR="0002535A" w:rsidRPr="006A0C9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emtanzyn</w:t>
            </w:r>
            <w:r w:rsidR="0002535A" w:rsidRPr="006A0C96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spowodowane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jest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wystąpieniem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niepożądanych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niezwiązanych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samym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włączeni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="00B873D9" w:rsidRPr="006A0C9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uwantowego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schematem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zawierającym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ukończyć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zawierającą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(łącznie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przedoperacyjnym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podań</w:t>
            </w:r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2535A" w:rsidRPr="006A0C96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6A0C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emtanzyn</w:t>
            </w:r>
            <w:r w:rsidR="0002535A" w:rsidRPr="006A0C9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6A0C9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472388CB" w14:textId="77777777" w:rsidR="00D92ACE" w:rsidRPr="006A0C96" w:rsidRDefault="00D92ACE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3BB86" w14:textId="77777777" w:rsidR="00D25DD4" w:rsidRPr="007F197D" w:rsidRDefault="00D25DD4" w:rsidP="006A0C96">
            <w:pPr>
              <w:numPr>
                <w:ilvl w:val="1"/>
                <w:numId w:val="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wczesnego HR-dodatniego, HER2-ujemnego raka piersi</w:t>
            </w:r>
          </w:p>
          <w:p w14:paraId="767DCD1B" w14:textId="77777777" w:rsidR="00D25DD4" w:rsidRPr="007F197D" w:rsidRDefault="00D25DD4" w:rsidP="006A0C96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Zalecana maksymalna dawka dobowa </w:t>
            </w:r>
            <w:proofErr w:type="spellStart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abemacyklibu</w:t>
            </w:r>
            <w:proofErr w:type="spellEnd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: 300 mg/dobę (2 x 150 mg) codziennie (1 cykl trwa 28 dni).</w:t>
            </w:r>
          </w:p>
          <w:p w14:paraId="5332854F" w14:textId="77777777" w:rsidR="005962EA" w:rsidRPr="007F197D" w:rsidRDefault="005962EA" w:rsidP="006A0C96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Zalecana maksymalna dawka dobowa </w:t>
            </w:r>
            <w:proofErr w:type="spellStart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rybocyklibu</w:t>
            </w:r>
            <w:proofErr w:type="spellEnd"/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: 400 mg/ dobę (codziennie przez 21 dni, następnie przerwa 7 dni, 1 cykl trwa 28 dni).</w:t>
            </w:r>
          </w:p>
          <w:p w14:paraId="54311552" w14:textId="77777777" w:rsidR="00F81726" w:rsidRPr="007F197D" w:rsidRDefault="00F817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Rozpoczęcie terapii </w:t>
            </w:r>
            <w:proofErr w:type="spellStart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abemacyklibem</w:t>
            </w:r>
            <w:proofErr w:type="spellEnd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powinno mieć miejsce nie później niż 3 miesiące od rozpoczęcia hormonoterapii uzupełniającej (po radykalnym leczeniu operacyjnym).</w:t>
            </w:r>
          </w:p>
          <w:p w14:paraId="7A0BBAA9" w14:textId="77777777" w:rsidR="00F81726" w:rsidRPr="007F197D" w:rsidRDefault="00F817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Rozpoczęcie terapii </w:t>
            </w:r>
            <w:proofErr w:type="spellStart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rybocyklibem</w:t>
            </w:r>
            <w:proofErr w:type="spellEnd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powinno mieć miejsce nie później niż 12 miesięcy od rozpoczęcia hormonoterapii </w:t>
            </w:r>
            <w:proofErr w:type="spellStart"/>
            <w:r w:rsidR="0040504B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neoadjuwantowej</w:t>
            </w:r>
            <w:proofErr w:type="spellEnd"/>
            <w:r w:rsidR="0040504B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lub </w:t>
            </w: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uzupełniającej (po radykalnym leczeniu operacyjnym).</w:t>
            </w:r>
          </w:p>
          <w:p w14:paraId="2F04D75D" w14:textId="77777777" w:rsidR="00D25DD4" w:rsidRPr="007F197D" w:rsidRDefault="00D25DD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Dawka dobowa inhibitorów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antagoisty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estrogenu</w:t>
            </w:r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stosowanych w skojarzeniu z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abemacyklibem</w:t>
            </w:r>
            <w:proofErr w:type="spellEnd"/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albo inhibitorów </w:t>
            </w:r>
            <w:proofErr w:type="spellStart"/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stosowanych w skojarzeniu z </w:t>
            </w:r>
            <w:proofErr w:type="spellStart"/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7C6C8E6" w14:textId="77777777" w:rsidR="00D25DD4" w:rsidRPr="007F197D" w:rsidRDefault="00D25DD4" w:rsidP="006A0C96">
            <w:pPr>
              <w:numPr>
                <w:ilvl w:val="4"/>
                <w:numId w:val="2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letrozol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 2,5mg/dobę</w:t>
            </w:r>
          </w:p>
          <w:p w14:paraId="50160FA6" w14:textId="77777777" w:rsidR="00D25DD4" w:rsidRPr="007F197D" w:rsidRDefault="00D25DD4" w:rsidP="006A0C96">
            <w:pPr>
              <w:numPr>
                <w:ilvl w:val="4"/>
                <w:numId w:val="2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anastrozol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 1 mg/dobę</w:t>
            </w:r>
          </w:p>
          <w:p w14:paraId="796322F3" w14:textId="77777777" w:rsidR="00D25DD4" w:rsidRPr="007F197D" w:rsidRDefault="00D25DD4" w:rsidP="006A0C96">
            <w:pPr>
              <w:numPr>
                <w:ilvl w:val="4"/>
                <w:numId w:val="2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eksemestan:25 mg/ dobę</w:t>
            </w:r>
          </w:p>
          <w:p w14:paraId="6B40C7B3" w14:textId="77777777" w:rsidR="00D25DD4" w:rsidRPr="007F197D" w:rsidRDefault="00D25DD4" w:rsidP="006A0C96">
            <w:pPr>
              <w:numPr>
                <w:ilvl w:val="4"/>
                <w:numId w:val="21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tamoksyfen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 20 mg/dobę</w:t>
            </w:r>
          </w:p>
          <w:p w14:paraId="2F3A0EF2" w14:textId="77777777" w:rsidR="00D25DD4" w:rsidRPr="007F197D" w:rsidRDefault="00D25DD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5C2990" w14:textId="77777777" w:rsidR="00117E26" w:rsidRPr="007F197D" w:rsidRDefault="00117E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 chorych z zachowaną czynnością jajników w okresie przed- i około menopauzalnym należy rozważyć stosowanie jednocześnie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gosereliny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14:paraId="27B35660" w14:textId="77777777" w:rsidR="00D25DD4" w:rsidRPr="007F197D" w:rsidRDefault="00D25DD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przypadku wystąpienia toksyczności związanej z inhibitorem CDK 4/6 podawanie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cyklibu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może być czasowo wstrzymane, a hormonoterapia może być kontynuowana. Maksymalne opóźnienie w podaniu kolejnej dawki inhibitora nie może przekraczać 28 dni.</w:t>
            </w:r>
          </w:p>
          <w:p w14:paraId="26056B48" w14:textId="77777777" w:rsidR="00D25DD4" w:rsidRPr="007F197D" w:rsidRDefault="00D25DD4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Szczegóły dotyczące sposobu podawania, ewentualnego czasowego wstrzymania leczenia oraz ewentualnego zmniejszania dawki lek</w:t>
            </w:r>
            <w:r w:rsidR="006B6B71" w:rsidRPr="007F197D">
              <w:rPr>
                <w:rFonts w:ascii="Times New Roman" w:hAnsi="Times New Roman" w:cs="Times New Roman"/>
                <w:sz w:val="20"/>
                <w:szCs w:val="20"/>
              </w:rPr>
              <w:t>ów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zgodnie z aktualną Charakterystyką Produktu Leczniczego odpowiedniego leku.</w:t>
            </w:r>
          </w:p>
          <w:p w14:paraId="38F16ACB" w14:textId="77777777" w:rsidR="00D25DD4" w:rsidRPr="007F197D" w:rsidRDefault="00D25DD4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9ACC15" w14:textId="77777777" w:rsidR="00D51044" w:rsidRPr="007F197D" w:rsidRDefault="00D25DD4" w:rsidP="006A0C96">
            <w:pPr>
              <w:numPr>
                <w:ilvl w:val="2"/>
                <w:numId w:val="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F19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 leczenia:</w:t>
            </w:r>
          </w:p>
          <w:p w14:paraId="6D940F67" w14:textId="77777777" w:rsidR="00D51044" w:rsidRPr="007F197D" w:rsidRDefault="00D51044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ind w:left="567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abemacyklib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- l</w:t>
            </w:r>
            <w:r w:rsidR="00D25DD4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eczenie trwa maksymalnie 24 miesiące (1 cykl leczenia trwa 4 tygodnie)</w:t>
            </w:r>
            <w:r w:rsidR="00B83AF2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do czasu wystąpienia progresji choroby podstawowej lub niemożliwej do zaakceptowania toksyczności albo do czasu podjęcia przez lekarza prowadzącego decyzji o wyłączeniu świadczeniobiorcy z programu, zgodnie z kryteriami wyłączenia z programu,</w:t>
            </w:r>
          </w:p>
          <w:p w14:paraId="641FD116" w14:textId="77777777" w:rsidR="00D51044" w:rsidRPr="007F197D" w:rsidRDefault="00D51044" w:rsidP="006A0C96">
            <w:pPr>
              <w:pStyle w:val="Akapitzlist"/>
              <w:spacing w:after="60" w:line="276" w:lineRule="auto"/>
              <w:ind w:left="56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albo </w:t>
            </w:r>
          </w:p>
          <w:p w14:paraId="33A51DC6" w14:textId="77777777" w:rsidR="00D51044" w:rsidRPr="007F197D" w:rsidRDefault="00D51044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ind w:left="567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rybocyklib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-  leczenie trwa maksymalnie 36 </w:t>
            </w:r>
            <w:r w:rsidR="00626664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B83AF2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</w:t>
            </w:r>
            <w:r w:rsidR="00D25DD4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do czasu wystąpienia progresji </w:t>
            </w:r>
            <w:r w:rsidR="00D25DD4"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choroby podstawowej lub niemożliwej do zaakceptowania toksyczności albo do czasu podjęcia przez lekarza prowadzącego decyzji o wyłączeniu świadczeniobiorcy z programu, zgodnie z kryteriami wyłączenia z programu.</w:t>
            </w:r>
          </w:p>
          <w:p w14:paraId="6073F42B" w14:textId="77777777" w:rsidR="00D25DD4" w:rsidRPr="007F197D" w:rsidRDefault="00D25DD4" w:rsidP="006A0C96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B6AFB26" w14:textId="77777777" w:rsidR="00F1705D" w:rsidRPr="007F197D" w:rsidRDefault="0063355B" w:rsidP="006A0C96">
            <w:pPr>
              <w:pStyle w:val="Akapitzlist"/>
              <w:numPr>
                <w:ilvl w:val="1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wczesnego</w:t>
            </w:r>
            <w:r w:rsidR="00712EB2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HER2-ujemnego i potrójnie ujemnego raka piersi</w:t>
            </w:r>
          </w:p>
          <w:p w14:paraId="3231BF5E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Zalecana maksymalna dobowa dawka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:  600 mg/dobę (codziennie). </w:t>
            </w:r>
          </w:p>
          <w:p w14:paraId="39873577" w14:textId="77777777" w:rsidR="00F1705D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Należy rozpocząć nie później niż w ciągu 12 tygodni od zakończenia ostatniej terapii przeciwnowotworowej. </w:t>
            </w:r>
          </w:p>
          <w:p w14:paraId="131AF88A" w14:textId="77777777" w:rsidR="00712EB2" w:rsidRPr="007F197D" w:rsidRDefault="0063355B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Możliwe jest jednoczesne stosowanie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z hormonoterapią.</w:t>
            </w:r>
          </w:p>
          <w:p w14:paraId="0CBD859A" w14:textId="77777777" w:rsidR="00F1705D" w:rsidRPr="007F197D" w:rsidRDefault="00712EB2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</w:t>
            </w:r>
            <w:r w:rsidR="0017268F"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DBB12A6" w14:textId="77777777" w:rsidR="00F1705D" w:rsidRPr="007F197D" w:rsidRDefault="0063355B" w:rsidP="006A0C96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 leczenia</w:t>
            </w:r>
          </w:p>
          <w:p w14:paraId="6CC762DD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 trwa łącznie 13 cykli (cykl trwa 28 dni) lub do czasu wystąpienia progresji choroby podstawowej lub niemożliwej do zaakceptowania toksyczności albo do czasu podjęcia przez lekarza prowadzącego decyzji o wyłączeniu świadczeniobiorcy z programu, zgodnie z kryteriami wyłączenia z programu.</w:t>
            </w:r>
          </w:p>
          <w:p w14:paraId="38289C17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F8F61A" w14:textId="77777777" w:rsidR="00F1705D" w:rsidRPr="007F197D" w:rsidRDefault="00712EB2" w:rsidP="006A0C96">
            <w:pPr>
              <w:pStyle w:val="Akapitzlist"/>
              <w:numPr>
                <w:ilvl w:val="1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okołooperacyjne wczesnego potrójnie ujemnego raka piersi</w:t>
            </w:r>
          </w:p>
          <w:p w14:paraId="5205EB75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Dawka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fazie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neoadjuwantowej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adjuwantowej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200 mg co 3 tygodnie lub po 400 mg co 6 tygodni.</w:t>
            </w:r>
          </w:p>
          <w:p w14:paraId="4826C131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1CE5EE7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Całkowity czas aktywnej terapii </w:t>
            </w:r>
            <w:proofErr w:type="spellStart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 leczeniu przedoperacyjnym (</w:t>
            </w:r>
            <w:proofErr w:type="spellStart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neoadjuwantowym</w:t>
            </w:r>
            <w:proofErr w:type="spellEnd"/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) w skojarzeniu z chemioterapią:</w:t>
            </w:r>
          </w:p>
          <w:p w14:paraId="351B7F30" w14:textId="77777777" w:rsidR="00712EB2" w:rsidRPr="007F197D" w:rsidRDefault="00712EB2" w:rsidP="006A0C96">
            <w:pPr>
              <w:pStyle w:val="Akapitzlist"/>
              <w:numPr>
                <w:ilvl w:val="4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obejmuje 8 dawek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po 200 mg co 3 tygodnie lub 4 dawki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po 400 mg co 6 tygodni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AEB21E9" w14:textId="77777777" w:rsidR="00712EB2" w:rsidRPr="007F197D" w:rsidRDefault="00712EB2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</w:p>
          <w:p w14:paraId="2980E0CE" w14:textId="77777777" w:rsidR="00712EB2" w:rsidRPr="007F197D" w:rsidRDefault="00712EB2" w:rsidP="006A0C96">
            <w:pPr>
              <w:pStyle w:val="Akapitzlist"/>
              <w:numPr>
                <w:ilvl w:val="4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trwa do momentu stwierdzenia progresji choroby wykluczającej radykalne leczenie chirurgiczne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03D0DBC" w14:textId="77777777" w:rsidR="00712EB2" w:rsidRPr="007F197D" w:rsidRDefault="00712EB2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5144C966" w14:textId="77777777" w:rsidR="00712EB2" w:rsidRPr="007F197D" w:rsidRDefault="00712EB2" w:rsidP="006A0C96">
            <w:pPr>
              <w:pStyle w:val="Akapitzlist"/>
              <w:numPr>
                <w:ilvl w:val="4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 do czasu podjęcia przez lekarza prowadzącego decyzji o wyłączeniu świadczeniobiorcy z programu, zgodnie z kryteriami wyłączenia z programu, o których mowa w ust. 4.</w:t>
            </w:r>
          </w:p>
          <w:p w14:paraId="56EF41AB" w14:textId="77777777" w:rsidR="00712EB2" w:rsidRPr="007F197D" w:rsidRDefault="00712EB2" w:rsidP="006A0C96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3B72160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Całkowity czas aktywnej terapii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leczeniu pooperacyjnym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adjuwantowym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F197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13883B11" w14:textId="77777777" w:rsidR="00712EB2" w:rsidRPr="007F197D" w:rsidRDefault="00712EB2" w:rsidP="006A0C9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obejmuje 9 dawek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po 200 mg co 3 tygodnie lub 5 dawek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po 400 mg co 6 tygodni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C4EB0D2" w14:textId="77777777" w:rsidR="00712EB2" w:rsidRPr="007F197D" w:rsidRDefault="00712EB2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21E26A97" w14:textId="77777777" w:rsidR="00712EB2" w:rsidRPr="007F197D" w:rsidRDefault="00712EB2" w:rsidP="006A0C9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trwa do wystąpienia nawrotu choroby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1FF7E7" w14:textId="77777777" w:rsidR="00712EB2" w:rsidRPr="007F197D" w:rsidRDefault="00712EB2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1376129E" w14:textId="77777777" w:rsidR="00712EB2" w:rsidRPr="007F197D" w:rsidRDefault="00712EB2" w:rsidP="006A0C9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trwa do czasu podjęcia przez lekarza prowadzącego decyzji o wyłączeniu świadczeniobiorcy z programu, zgodnie z kryteriami wyłączenia z programu, o których mowa w ust. 4.</w:t>
            </w:r>
          </w:p>
          <w:p w14:paraId="33B4E5A1" w14:textId="77777777" w:rsidR="00F1705D" w:rsidRPr="007F197D" w:rsidRDefault="00F1705D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D44BA1" w14:textId="18CF2DA9" w:rsidR="006A0C96" w:rsidRPr="007F197D" w:rsidRDefault="00712EB2" w:rsidP="006A0C9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Calibri" w:hAnsi="Times New Roman" w:cs="Times New Roman"/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 odpowiedniego leku.</w:t>
            </w:r>
          </w:p>
          <w:p w14:paraId="76276266" w14:textId="77777777" w:rsidR="00F1705D" w:rsidRPr="007F197D" w:rsidRDefault="00712EB2" w:rsidP="006A0C96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 leczenia</w:t>
            </w:r>
          </w:p>
          <w:p w14:paraId="5FF6E3C8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Leczenie przedoperacyjne obejmuje maksymalnie 8 podań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pembrolizumabu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co 3 tygodnie lub 4 podania co 6 tygodni w odpowiednich dawkach wraz ze stosowaniem chemioterapii. Leczenie pooperacyjne obejmuje nie więcej niż 9 podań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pembrolizumabu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co 3 tygodnie lub 5 podań co 6 tygodni w odpowiednich dawkach. W leczeniu pooperacyjnym, jeżeli istnieją wskazania kliniczne dopuszczalne jest także prowadzenie radioterapii. </w:t>
            </w:r>
          </w:p>
          <w:p w14:paraId="1D8D4BE5" w14:textId="77777777" w:rsidR="00712EB2" w:rsidRPr="007F197D" w:rsidRDefault="00712EB2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Leczenie trwa do czasu podjęcia przez lekarza prowadzącego decyzji o wyłączeniu świadczeniobiorcy z programu, zgodnie z kryteriami wyłączenia z programu,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 których mowa w ust</w:t>
            </w:r>
            <w:r w:rsidR="00D92ACE" w:rsidRPr="007F197D">
              <w:rPr>
                <w:rFonts w:ascii="Times New Roman" w:hAnsi="Times New Roman" w:cs="Times New Roman"/>
                <w:sz w:val="20"/>
                <w:szCs w:val="20"/>
              </w:rPr>
              <w:t>. 3.</w:t>
            </w: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0A55AAB" w14:textId="77777777" w:rsidR="00F2763F" w:rsidRPr="007F197D" w:rsidRDefault="00F2763F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44116" w14:textId="77777777" w:rsidR="00FB5526" w:rsidRPr="007F197D" w:rsidRDefault="00FB5526" w:rsidP="006A0C96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3C91E992" w14:textId="77777777" w:rsidR="001707CC" w:rsidRPr="007F197D" w:rsidRDefault="00FB5526" w:rsidP="006A0C96">
            <w:pPr>
              <w:pStyle w:val="Akapitzlist"/>
              <w:numPr>
                <w:ilvl w:val="1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HER2-dodatnieg</w:t>
            </w:r>
            <w:r w:rsidR="00BF0632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14:paraId="44BA5430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8mg/kg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3B3CA096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1FE96A98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tydzień: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58AB035D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tydzień: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33ACDED4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podskórnego: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cyklu).</w:t>
            </w:r>
          </w:p>
          <w:p w14:paraId="09ED2EE7" w14:textId="77777777" w:rsidR="001707CC" w:rsidRPr="007F197D" w:rsidRDefault="001707C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2D1D1F" w14:textId="77777777" w:rsidR="00852B9E" w:rsidRPr="007F197D" w:rsidRDefault="00852B9E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się:</w:t>
            </w:r>
          </w:p>
          <w:p w14:paraId="3CC319DC" w14:textId="77777777" w:rsidR="00852B9E" w:rsidRPr="007F197D" w:rsidRDefault="00852B9E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3C3E078" w14:textId="77777777" w:rsidR="00852B9E" w:rsidRPr="007F197D" w:rsidRDefault="00852B9E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C872360" w14:textId="77777777" w:rsidR="00852B9E" w:rsidRPr="007F197D" w:rsidRDefault="00852B9E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64F42A" w14:textId="77777777" w:rsidR="00EC5D86" w:rsidRPr="007F197D" w:rsidRDefault="00EC5D86" w:rsidP="006A0C9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6F7C460" w14:textId="77777777" w:rsidR="00852B9E" w:rsidRPr="007F197D" w:rsidRDefault="00852B9E" w:rsidP="006A0C9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A357DE6" w14:textId="77777777" w:rsidR="00EC5D86" w:rsidRPr="007F197D" w:rsidRDefault="00EC5D86" w:rsidP="006A0C96">
            <w:pPr>
              <w:pStyle w:val="Akapitzlist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2BD763" w14:textId="77777777" w:rsidR="00FB5526" w:rsidRPr="007F197D" w:rsidRDefault="007773E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  <w:r w:rsidR="00C76E0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F2F477" w14:textId="77777777" w:rsidR="00FB5526" w:rsidRPr="007F197D" w:rsidRDefault="007773E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ertuzumabu</w:t>
            </w:r>
            <w:proofErr w:type="spellEnd"/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 w:rsidR="00C76E0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8994AAE" w14:textId="77777777" w:rsidR="00C76E0D" w:rsidRPr="007F197D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Dawka nasycająca produktu leczniczego złożonego zawierającego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podskórnego: 1200 mg -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600 mg -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(pierwszy cykl leczenia)</w:t>
            </w:r>
          </w:p>
          <w:p w14:paraId="6BD2B9B1" w14:textId="77777777" w:rsidR="00C76E0D" w:rsidRPr="007F197D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Dawka podtrzymująca produktu leczniczego złożonego zawierającego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podskórnego: 600 mg -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600 mg -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(kolejne cykle leczenia, co 3 tygodnie).</w:t>
            </w:r>
          </w:p>
          <w:p w14:paraId="0E2ABC41" w14:textId="77777777" w:rsidR="00FB5526" w:rsidRPr="007F197D" w:rsidRDefault="007773E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docetak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selu</w:t>
            </w:r>
            <w:proofErr w:type="spellEnd"/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75-100</w:t>
            </w:r>
            <w:r w:rsidR="00C76E0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mg/m2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884D452" w14:textId="77777777" w:rsidR="00FB5526" w:rsidRPr="007F197D" w:rsidRDefault="00FB55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204F0" w14:textId="77777777" w:rsidR="00FB5526" w:rsidRPr="007F197D" w:rsidRDefault="00836318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łączonej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C76E0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podać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docetakselu</w:t>
            </w:r>
            <w:proofErr w:type="spellEnd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tylko,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wystąpią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istotne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objawy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niepożądane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uniemożliwiające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jej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kontynuację.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docetakselu</w:t>
            </w:r>
            <w:proofErr w:type="spellEnd"/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1A11" w:rsidRPr="007F197D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wskazane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3E1" w:rsidRPr="007F197D">
              <w:rPr>
                <w:rFonts w:ascii="Times New Roman" w:hAnsi="Times New Roman" w:cs="Times New Roman"/>
                <w:sz w:val="20"/>
                <w:szCs w:val="20"/>
              </w:rPr>
              <w:t>klinicznie.</w:t>
            </w:r>
          </w:p>
          <w:p w14:paraId="2614390A" w14:textId="77777777" w:rsidR="00FB5526" w:rsidRPr="007F197D" w:rsidRDefault="00FB55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D03E7" w14:textId="77777777" w:rsidR="00FB5526" w:rsidRPr="007F197D" w:rsidRDefault="00FB5526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zostanie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A11A11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C76E0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C76E0D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3CD4" w:rsidRPr="007F197D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3CD4"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prowadzone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wystąpienia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niepożądanych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działań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istotnym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znaczeniu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klinicznym.</w:t>
            </w:r>
          </w:p>
          <w:p w14:paraId="69EBBBDD" w14:textId="77777777" w:rsidR="00C76E0D" w:rsidRPr="007F197D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Jeżeli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podawane są niezależnie w przypadku przerwania terapii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przerywa się stosowanie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92EC5F" w14:textId="77777777" w:rsidR="00C76E0D" w:rsidRPr="007F197D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 przypadku terapii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 formie produktu leczniczego złożonego do podawania podskórnego, należy zakończyć leczenie po potwierdzeniu objawów niewydolności serca.</w:t>
            </w:r>
          </w:p>
          <w:p w14:paraId="0682BF3F" w14:textId="77777777" w:rsidR="00245C11" w:rsidRPr="007F197D" w:rsidRDefault="00C76E0D" w:rsidP="006A0C96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 przypadku wystąpienia działań niepożądanych podczas terapii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podawanych w formie produktu leczniczego złożonego do podawania podskórnego, które w ocenie lekarza prowadzącego są związane z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wymagają przerwania terapii należy zakończyć terapię preparatem złożonym i kontynuować terapię </w:t>
            </w:r>
            <w:proofErr w:type="spellStart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podawanym niezależnie.</w:t>
            </w:r>
          </w:p>
          <w:p w14:paraId="60EF9958" w14:textId="77777777" w:rsidR="00FB5526" w:rsidRPr="007F197D" w:rsidRDefault="00A11A11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emtanzyny</w:t>
            </w:r>
            <w:proofErr w:type="spellEnd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526" w:rsidRPr="007F197D">
              <w:rPr>
                <w:rFonts w:ascii="Times New Roman" w:hAnsi="Times New Roman" w:cs="Times New Roman"/>
                <w:sz w:val="20"/>
                <w:szCs w:val="20"/>
              </w:rPr>
              <w:t>tygodnie)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DAAD6B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(codziennie)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A3BC3A6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8mg/kg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(pierwszy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CDB914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dożylnego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(kolejne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C42252F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podskórnego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cyklu)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994BA7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F7F566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obejmuje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</w:p>
          <w:p w14:paraId="2A8E1895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1D8E5" w14:textId="77777777" w:rsidR="00D96DEC" w:rsidRPr="007F197D" w:rsidRDefault="00D96DEC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kapecytabiny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tukatynibem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mg/m2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(dwie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podzielone)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21-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dniowych.</w:t>
            </w:r>
          </w:p>
          <w:p w14:paraId="66FA9355" w14:textId="77777777" w:rsidR="00AB2520" w:rsidRPr="007F197D" w:rsidRDefault="00AB2520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306AC" w14:textId="77777777" w:rsidR="00AB2520" w:rsidRPr="007F197D" w:rsidRDefault="00AB2520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Dawka </w:t>
            </w:r>
            <w:proofErr w:type="spellStart"/>
            <w:r w:rsidR="0063355B"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63355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355B" w:rsidRPr="007F197D">
              <w:rPr>
                <w:rFonts w:ascii="Times New Roman" w:hAnsi="Times New Roman" w:cs="Times New Roman"/>
                <w:sz w:val="20"/>
                <w:szCs w:val="20"/>
              </w:rPr>
              <w:t>derukstekanu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: 5,4 mg/kg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. (co 3 tygodnie).</w:t>
            </w:r>
          </w:p>
          <w:p w14:paraId="4753CE19" w14:textId="77777777" w:rsidR="001746F7" w:rsidRPr="007F197D" w:rsidRDefault="001746F7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67836" w14:textId="77777777" w:rsidR="00642011" w:rsidRPr="007F197D" w:rsidRDefault="00607872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Szczegóły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dotyczące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wstrzymania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zmniejszania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leku.</w:t>
            </w:r>
          </w:p>
          <w:p w14:paraId="7A0E955E" w14:textId="77777777" w:rsidR="00F1705D" w:rsidRPr="007F197D" w:rsidRDefault="00D92ACE" w:rsidP="006A0C96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 leczenia</w:t>
            </w:r>
          </w:p>
          <w:p w14:paraId="1C852AC4" w14:textId="77777777" w:rsidR="00D92ACE" w:rsidRPr="007F197D" w:rsidRDefault="00D92ACE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 trwa do czasu podjęcia przez lekarza prowadzącego decyzji o wyłączeniu świadczeniobiorcy z programu, zgodnie z kryteriami wyłączenia z programu, o których mowa w ust. 3.</w:t>
            </w:r>
          </w:p>
          <w:p w14:paraId="3BC65F2B" w14:textId="77777777" w:rsidR="00D92ACE" w:rsidRPr="007F197D" w:rsidRDefault="00D92ACE" w:rsidP="006A0C9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DD6C7" w14:textId="77777777" w:rsidR="00D2729B" w:rsidRPr="007F197D" w:rsidRDefault="00D2729B" w:rsidP="00FE1303">
            <w:pPr>
              <w:pStyle w:val="Akapitzlist"/>
              <w:widowControl w:val="0"/>
              <w:numPr>
                <w:ilvl w:val="1"/>
                <w:numId w:val="25"/>
              </w:numPr>
              <w:autoSpaceDE w:val="0"/>
              <w:autoSpaceDN w:val="0"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Leczenie przerzutowego raka piersi z niską ekspresją HER2 </w:t>
            </w:r>
          </w:p>
          <w:p w14:paraId="13656830" w14:textId="77777777" w:rsidR="00D2729B" w:rsidRPr="007F197D" w:rsidRDefault="00D2729B" w:rsidP="00FE1303">
            <w:pPr>
              <w:spacing w:after="60" w:line="276" w:lineRule="auto"/>
              <w:ind w:left="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Dawka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derukstekanu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: 5,4 mg/kg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. (co 3 tygodnie). </w:t>
            </w:r>
          </w:p>
          <w:p w14:paraId="345AAF63" w14:textId="77777777" w:rsidR="00D2729B" w:rsidRPr="007F197D" w:rsidRDefault="00D2729B" w:rsidP="00FE1303">
            <w:pPr>
              <w:spacing w:after="60" w:line="276" w:lineRule="auto"/>
              <w:ind w:left="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Możliwość redukcji dawki zgodnie z aktualną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6073A6A" w14:textId="77777777" w:rsidR="00D2729B" w:rsidRPr="007F197D" w:rsidRDefault="00D2729B" w:rsidP="00FE1303">
            <w:pPr>
              <w:pStyle w:val="TableParagraph"/>
              <w:spacing w:after="60" w:line="276" w:lineRule="auto"/>
              <w:ind w:left="52"/>
              <w:jc w:val="both"/>
              <w:rPr>
                <w:b/>
                <w:sz w:val="20"/>
                <w:szCs w:val="20"/>
                <w:lang w:val="pl-PL"/>
              </w:rPr>
            </w:pPr>
            <w:r w:rsidRPr="007F197D">
              <w:rPr>
                <w:b/>
                <w:sz w:val="20"/>
                <w:szCs w:val="20"/>
                <w:lang w:val="pl-PL"/>
              </w:rPr>
              <w:t>2.2.1.</w:t>
            </w:r>
            <w:r w:rsidRPr="007F197D">
              <w:rPr>
                <w:b/>
                <w:spacing w:val="16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b/>
                <w:sz w:val="20"/>
                <w:szCs w:val="20"/>
                <w:lang w:val="pl-PL"/>
              </w:rPr>
              <w:t>Czas</w:t>
            </w:r>
            <w:r w:rsidRPr="007F197D">
              <w:rPr>
                <w:b/>
                <w:spacing w:val="37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b/>
                <w:spacing w:val="-2"/>
                <w:sz w:val="20"/>
                <w:szCs w:val="20"/>
                <w:lang w:val="pl-PL"/>
              </w:rPr>
              <w:t>leczenia</w:t>
            </w:r>
          </w:p>
          <w:p w14:paraId="2E58B8FE" w14:textId="77777777" w:rsidR="00D2729B" w:rsidRPr="007F197D" w:rsidRDefault="00D2729B" w:rsidP="00FE1303">
            <w:pPr>
              <w:pStyle w:val="TableParagraph"/>
              <w:spacing w:after="60" w:line="276" w:lineRule="auto"/>
              <w:ind w:left="52" w:right="43"/>
              <w:jc w:val="both"/>
              <w:rPr>
                <w:sz w:val="20"/>
                <w:szCs w:val="20"/>
                <w:lang w:val="pl-PL"/>
              </w:rPr>
            </w:pPr>
            <w:r w:rsidRPr="007F197D">
              <w:rPr>
                <w:sz w:val="20"/>
                <w:szCs w:val="20"/>
                <w:lang w:val="pl-PL"/>
              </w:rPr>
              <w:t>Leczenie trwa do czasu podjęcia przez lekarza prowadzącego decyzji o wyłączeniu świadczeniobiorcy</w:t>
            </w:r>
            <w:r w:rsidRPr="007F197D">
              <w:rPr>
                <w:spacing w:val="40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sz w:val="20"/>
                <w:szCs w:val="20"/>
                <w:lang w:val="pl-PL"/>
              </w:rPr>
              <w:t>z programu, zgodnie z kryteriami wyłączenia</w:t>
            </w:r>
            <w:r w:rsidRPr="007F197D">
              <w:rPr>
                <w:spacing w:val="40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sz w:val="20"/>
                <w:szCs w:val="20"/>
                <w:lang w:val="pl-PL"/>
              </w:rPr>
              <w:t>z programu, o których mowa</w:t>
            </w:r>
            <w:r w:rsidRPr="007F197D">
              <w:rPr>
                <w:spacing w:val="40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sz w:val="20"/>
                <w:szCs w:val="20"/>
                <w:lang w:val="pl-PL"/>
              </w:rPr>
              <w:t>w ust.</w:t>
            </w:r>
            <w:r w:rsidRPr="007F197D">
              <w:rPr>
                <w:spacing w:val="-8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sz w:val="20"/>
                <w:szCs w:val="20"/>
                <w:lang w:val="pl-PL"/>
              </w:rPr>
              <w:t>3.</w:t>
            </w:r>
          </w:p>
          <w:p w14:paraId="1CBDC2DD" w14:textId="77777777" w:rsidR="00802CCA" w:rsidRPr="007F197D" w:rsidRDefault="00802CCA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962EA" w14:textId="77777777" w:rsidR="00127F97" w:rsidRPr="007F197D" w:rsidRDefault="00127F97" w:rsidP="00FE1303">
            <w:pPr>
              <w:pStyle w:val="Akapitzlist"/>
              <w:numPr>
                <w:ilvl w:val="1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HER2-ujemnego</w:t>
            </w:r>
          </w:p>
          <w:p w14:paraId="3284818D" w14:textId="77777777" w:rsidR="00CF560C" w:rsidRPr="007F197D" w:rsidRDefault="00DA6819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palbocyklibu</w:t>
            </w:r>
            <w:r w:rsidR="00E91A3A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mg/dobę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(codziennie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przerwa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06AD032" w14:textId="77777777" w:rsidR="00A70DDF" w:rsidRPr="007F197D" w:rsidRDefault="00DA6819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600mg/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(codziennie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przerwa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CC1DD10" w14:textId="77777777" w:rsidR="00E21754" w:rsidRPr="007F197D" w:rsidRDefault="00DA6819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abemacyklibu</w:t>
            </w:r>
            <w:proofErr w:type="spellEnd"/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mg/dobę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(codziennie,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DDF" w:rsidRPr="007F197D">
              <w:rPr>
                <w:rFonts w:ascii="Times New Roman" w:hAnsi="Times New Roman" w:cs="Times New Roman"/>
                <w:sz w:val="20"/>
                <w:szCs w:val="20"/>
              </w:rPr>
              <w:t>dni).</w:t>
            </w:r>
          </w:p>
          <w:p w14:paraId="744A92EA" w14:textId="77777777" w:rsidR="00BE59E7" w:rsidRPr="007F197D" w:rsidRDefault="00DA6819" w:rsidP="00FE1303">
            <w:pPr>
              <w:pStyle w:val="TableParagraph"/>
              <w:spacing w:after="60" w:line="276" w:lineRule="auto"/>
              <w:ind w:right="103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Zalecana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aksymalna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dobowa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dawka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alpelisybu</w:t>
            </w:r>
            <w:proofErr w:type="spellEnd"/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: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300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mg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/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dobę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="00BE59E7" w:rsidRPr="007F197D">
              <w:rPr>
                <w:rFonts w:eastAsiaTheme="minorHAnsi"/>
                <w:sz w:val="20"/>
                <w:szCs w:val="20"/>
                <w:lang w:val="pl-PL"/>
              </w:rPr>
              <w:t>(codziennie)</w:t>
            </w:r>
            <w:r w:rsidR="001707CC" w:rsidRPr="007F197D">
              <w:rPr>
                <w:rFonts w:eastAsiaTheme="minorHAnsi"/>
                <w:sz w:val="20"/>
                <w:szCs w:val="20"/>
                <w:lang w:val="pl-PL"/>
              </w:rPr>
              <w:t>.</w:t>
            </w:r>
          </w:p>
          <w:p w14:paraId="6BF30E9F" w14:textId="77777777" w:rsidR="004404E5" w:rsidRPr="007F197D" w:rsidRDefault="004404E5" w:rsidP="00FE1303">
            <w:pPr>
              <w:pStyle w:val="TableParagraph"/>
              <w:spacing w:after="60" w:line="276" w:lineRule="auto"/>
              <w:ind w:right="103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 xml:space="preserve">Zalecana maksymalna dobowa dawka </w:t>
            </w:r>
            <w:proofErr w:type="spellStart"/>
            <w:r w:rsidRPr="007F197D">
              <w:rPr>
                <w:rFonts w:eastAsiaTheme="minorHAnsi"/>
                <w:sz w:val="20"/>
                <w:szCs w:val="20"/>
                <w:lang w:val="pl-PL"/>
              </w:rPr>
              <w:t>kapiwasertybu</w:t>
            </w:r>
            <w:proofErr w:type="spellEnd"/>
            <w:r w:rsidRPr="007F197D">
              <w:rPr>
                <w:rFonts w:eastAsiaTheme="minorHAnsi"/>
                <w:sz w:val="20"/>
                <w:szCs w:val="20"/>
                <w:lang w:val="pl-PL"/>
              </w:rPr>
              <w:t>: 800 mg/dobę (codziennie przez 4 dni, następnie przerwa 3 dni w każdym tygodniu, 1 cykl trwa 28 dni).</w:t>
            </w:r>
          </w:p>
          <w:p w14:paraId="6684CE17" w14:textId="77777777" w:rsidR="000A3C7C" w:rsidRPr="007F197D" w:rsidRDefault="00DA6819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aksymalna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3C7C" w:rsidRPr="007F197D">
              <w:rPr>
                <w:rFonts w:ascii="Times New Roman" w:hAnsi="Times New Roman" w:cs="Times New Roman"/>
                <w:sz w:val="20"/>
                <w:szCs w:val="20"/>
              </w:rPr>
              <w:t>(codziennie)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FE32A97" w14:textId="77777777" w:rsidR="0017268F" w:rsidRPr="007F197D" w:rsidRDefault="0017268F" w:rsidP="00FE1303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Zalecana maksymalna dobowa dawka </w:t>
            </w:r>
            <w:proofErr w:type="spellStart"/>
            <w:r w:rsidR="0063355B" w:rsidRPr="007F197D">
              <w:rPr>
                <w:rFonts w:ascii="Times New Roman" w:hAnsi="Times New Roman"/>
                <w:sz w:val="20"/>
                <w:szCs w:val="20"/>
              </w:rPr>
              <w:t>olaparybu</w:t>
            </w:r>
            <w:proofErr w:type="spellEnd"/>
            <w:r w:rsidRPr="007F197D">
              <w:rPr>
                <w:rFonts w:ascii="Times New Roman" w:hAnsi="Times New Roman"/>
                <w:sz w:val="20"/>
                <w:szCs w:val="20"/>
              </w:rPr>
              <w:t xml:space="preserve">:  600 mg/dobę (codziennie). </w:t>
            </w:r>
          </w:p>
          <w:p w14:paraId="18E59B5B" w14:textId="77777777" w:rsidR="00E21754" w:rsidRPr="007F197D" w:rsidRDefault="00A11A11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fulwestrantu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stosowanego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inhibitor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82B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F482B" w:rsidRPr="007F197D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="00A442B7" w:rsidRPr="007F197D">
              <w:rPr>
                <w:rFonts w:ascii="Times New Roman" w:hAnsi="Times New Roman" w:cs="Times New Roman"/>
                <w:sz w:val="20"/>
                <w:szCs w:val="20"/>
              </w:rPr>
              <w:t>pelisybem</w:t>
            </w:r>
            <w:proofErr w:type="spellEnd"/>
            <w:r w:rsidR="004404E5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="004404E5" w:rsidRPr="007F197D">
              <w:rPr>
                <w:rFonts w:ascii="Times New Roman" w:hAnsi="Times New Roman" w:cs="Times New Roman"/>
                <w:sz w:val="20"/>
                <w:szCs w:val="20"/>
              </w:rPr>
              <w:t>kapiwasertybem</w:t>
            </w:r>
            <w:proofErr w:type="spellEnd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500mg/dobę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(podawany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1,15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miesiąc)</w:t>
            </w:r>
            <w:r w:rsidR="001707C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85A3E3" w14:textId="77777777" w:rsidR="00CF560C" w:rsidRPr="007F197D" w:rsidRDefault="00A11A11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awka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inhibitorów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aromatazy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CDK4/6:</w:t>
            </w:r>
          </w:p>
          <w:p w14:paraId="10ED0D4A" w14:textId="77777777" w:rsidR="00CF560C" w:rsidRPr="007F197D" w:rsidRDefault="009C652E" w:rsidP="00FE1303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etrozol</w:t>
            </w:r>
            <w:proofErr w:type="spellEnd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2,5mg/dobę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2390D8" w14:textId="77777777" w:rsidR="00CF560C" w:rsidRPr="007F197D" w:rsidRDefault="009C652E" w:rsidP="00FE1303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nastrozol</w:t>
            </w:r>
            <w:proofErr w:type="spellEnd"/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mg/dobę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C789AD0" w14:textId="77777777" w:rsidR="00CF560C" w:rsidRPr="007F197D" w:rsidRDefault="009C652E" w:rsidP="00FE1303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ksemestan:25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mg/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560C" w:rsidRPr="007F197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802CC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D81094" w14:textId="77777777" w:rsidR="00802CCA" w:rsidRPr="007F197D" w:rsidRDefault="00802CCA" w:rsidP="00FE130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0D0B6" w14:textId="77777777" w:rsidR="004343AD" w:rsidRPr="007F197D" w:rsidRDefault="004343AD" w:rsidP="00FE130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związanej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cyklibu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wstrzymane,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hormonoterapia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kontynuowana.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Maksymalne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opóźnienie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przekraczać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</w:p>
          <w:p w14:paraId="0753B2E2" w14:textId="77777777" w:rsidR="00FE6B87" w:rsidRPr="007F197D" w:rsidRDefault="00FE6B87" w:rsidP="00FE1303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7F197D">
              <w:rPr>
                <w:color w:val="auto"/>
                <w:sz w:val="20"/>
                <w:szCs w:val="20"/>
              </w:rPr>
              <w:t xml:space="preserve">Zalecana maksymalna dawka </w:t>
            </w:r>
            <w:proofErr w:type="spellStart"/>
            <w:r w:rsidRPr="007F197D">
              <w:rPr>
                <w:color w:val="auto"/>
                <w:sz w:val="20"/>
                <w:szCs w:val="20"/>
              </w:rPr>
              <w:t>sacytuzumabu</w:t>
            </w:r>
            <w:proofErr w:type="spellEnd"/>
            <w:r w:rsidRPr="007F197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color w:val="auto"/>
                <w:sz w:val="20"/>
                <w:szCs w:val="20"/>
              </w:rPr>
              <w:t>gowitekanu</w:t>
            </w:r>
            <w:proofErr w:type="spellEnd"/>
            <w:r w:rsidRPr="007F197D">
              <w:rPr>
                <w:color w:val="auto"/>
                <w:sz w:val="20"/>
                <w:szCs w:val="20"/>
              </w:rPr>
              <w:t xml:space="preserve">: 10 mg/kg mc. (podawana w 1. i 8. dniu każdego 21-dniowego cyklu). </w:t>
            </w:r>
          </w:p>
          <w:p w14:paraId="310236A2" w14:textId="77777777" w:rsidR="00D63865" w:rsidRPr="007F197D" w:rsidRDefault="00D63865" w:rsidP="00FE130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6B6F9" w14:textId="77777777" w:rsidR="00606E24" w:rsidRPr="007F197D" w:rsidRDefault="0025457E" w:rsidP="00FE1303">
            <w:pPr>
              <w:pStyle w:val="TableParagraph"/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Szczegóły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dotyczące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sposobu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podawania,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ewentualnego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czasowego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wstrzymania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leczenia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oraz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ewentualnego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zmniejszania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dawki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leku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zgodnie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aktualną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Charakterystyką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Produktu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Leczniczego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odpowiedniego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leku.</w:t>
            </w:r>
          </w:p>
          <w:p w14:paraId="5FD64B4B" w14:textId="77777777" w:rsidR="00802CCA" w:rsidRPr="007F197D" w:rsidRDefault="00802CCA" w:rsidP="00FE1303">
            <w:pPr>
              <w:pStyle w:val="TableParagraph"/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</w:p>
          <w:p w14:paraId="3B13581C" w14:textId="77777777" w:rsidR="00606E24" w:rsidRPr="007F197D" w:rsidRDefault="00606E24" w:rsidP="00FE1303">
            <w:pPr>
              <w:pStyle w:val="Akapitzlist"/>
              <w:numPr>
                <w:ilvl w:val="2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7027F82B" w14:textId="77777777" w:rsidR="001D167A" w:rsidRPr="007F197D" w:rsidRDefault="00606E24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świadczeniobiorcy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ust.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2ACE" w:rsidRPr="007F197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48688D32" w14:textId="77777777" w:rsidR="001D167A" w:rsidRPr="007F197D" w:rsidRDefault="001D167A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D8F81" w14:textId="77777777" w:rsidR="001D167A" w:rsidRPr="007F197D" w:rsidRDefault="007E124D" w:rsidP="00FE1303">
            <w:pPr>
              <w:pStyle w:val="Akapitzlist"/>
              <w:numPr>
                <w:ilvl w:val="1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potrójnie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ujemnego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3377279F" w14:textId="77777777" w:rsidR="007E124D" w:rsidRPr="007F197D" w:rsidRDefault="007E124D" w:rsidP="00FE1303">
            <w:pPr>
              <w:pStyle w:val="TableParagraph"/>
              <w:spacing w:after="60" w:line="276" w:lineRule="auto"/>
              <w:ind w:right="108"/>
              <w:jc w:val="both"/>
              <w:rPr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Zalecana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maksymalna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dawka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7F197D">
              <w:rPr>
                <w:rFonts w:eastAsiaTheme="minorHAnsi"/>
                <w:sz w:val="20"/>
                <w:szCs w:val="20"/>
                <w:lang w:val="pl-PL"/>
              </w:rPr>
              <w:t>pembrolizumabu</w:t>
            </w:r>
            <w:proofErr w:type="spellEnd"/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osób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dorosłych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to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200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mg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3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tygodnie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lub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400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mg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6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tygodni,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podawana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wlewie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dożylnym.</w:t>
            </w:r>
          </w:p>
          <w:p w14:paraId="7D37DDFE" w14:textId="77777777" w:rsidR="007E124D" w:rsidRPr="007F197D" w:rsidRDefault="007E124D" w:rsidP="00FE1303">
            <w:pPr>
              <w:pStyle w:val="TableParagraph"/>
              <w:spacing w:after="60" w:line="276" w:lineRule="auto"/>
              <w:ind w:right="108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Zalecana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maksymalna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dobowa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dawka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7F197D">
              <w:rPr>
                <w:rFonts w:eastAsiaTheme="minorHAnsi"/>
                <w:sz w:val="20"/>
                <w:szCs w:val="20"/>
                <w:lang w:val="pl-PL"/>
              </w:rPr>
              <w:t>talazoparybu</w:t>
            </w:r>
            <w:proofErr w:type="spellEnd"/>
            <w:r w:rsidRPr="007F197D">
              <w:rPr>
                <w:rFonts w:eastAsiaTheme="minorHAnsi"/>
                <w:sz w:val="20"/>
                <w:szCs w:val="20"/>
                <w:lang w:val="pl-PL"/>
              </w:rPr>
              <w:t>: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1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mg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/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dobę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(codziennie).</w:t>
            </w:r>
          </w:p>
          <w:p w14:paraId="634C544E" w14:textId="77777777" w:rsidR="00F1705D" w:rsidRPr="007F197D" w:rsidRDefault="0017268F" w:rsidP="00FE130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Zalecana maksymalna dobowa dawka </w:t>
            </w:r>
            <w:proofErr w:type="spellStart"/>
            <w:r w:rsidR="0063355B" w:rsidRPr="007F197D">
              <w:rPr>
                <w:rFonts w:ascii="Times New Roman" w:hAnsi="Times New Roman"/>
                <w:sz w:val="20"/>
                <w:szCs w:val="20"/>
              </w:rPr>
              <w:t>olaparybu</w:t>
            </w:r>
            <w:proofErr w:type="spellEnd"/>
            <w:r w:rsidRPr="007F197D">
              <w:rPr>
                <w:rFonts w:ascii="Times New Roman" w:hAnsi="Times New Roman"/>
                <w:sz w:val="20"/>
                <w:szCs w:val="20"/>
              </w:rPr>
              <w:t xml:space="preserve">:  600 mg/dobę (codziennie). </w:t>
            </w:r>
          </w:p>
          <w:p w14:paraId="024B1812" w14:textId="77777777" w:rsidR="007E124D" w:rsidRPr="007F197D" w:rsidRDefault="007E124D" w:rsidP="00FE1303">
            <w:pPr>
              <w:pStyle w:val="TableParagraph"/>
              <w:spacing w:after="60" w:line="276" w:lineRule="auto"/>
              <w:ind w:right="108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Zalecana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maksymalna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dawka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7F197D">
              <w:rPr>
                <w:rFonts w:eastAsiaTheme="minorHAnsi"/>
                <w:sz w:val="20"/>
                <w:szCs w:val="20"/>
                <w:lang w:val="pl-PL"/>
              </w:rPr>
              <w:t>sacytuzumabu</w:t>
            </w:r>
            <w:proofErr w:type="spellEnd"/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7F197D">
              <w:rPr>
                <w:rFonts w:eastAsiaTheme="minorHAnsi"/>
                <w:sz w:val="20"/>
                <w:szCs w:val="20"/>
                <w:lang w:val="pl-PL"/>
              </w:rPr>
              <w:t>gowitekanu</w:t>
            </w:r>
            <w:proofErr w:type="spellEnd"/>
            <w:r w:rsidRPr="007F197D">
              <w:rPr>
                <w:rFonts w:eastAsiaTheme="minorHAnsi"/>
                <w:sz w:val="20"/>
                <w:szCs w:val="20"/>
                <w:lang w:val="pl-PL"/>
              </w:rPr>
              <w:t>: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10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mg/kg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mc.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(podawana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1.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i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8.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dniu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każdego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21-dniowego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cyklu).</w:t>
            </w:r>
          </w:p>
          <w:p w14:paraId="15E714F4" w14:textId="77777777" w:rsidR="00802CCA" w:rsidRPr="007F197D" w:rsidRDefault="00802CCA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B80C6" w14:textId="77777777" w:rsidR="007E124D" w:rsidRPr="007F197D" w:rsidRDefault="007E124D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Szczegóły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dotyczące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podawania,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wstrzymania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zmniejszania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odpowiedniego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leku.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3281C40" w14:textId="77777777" w:rsidR="001D167A" w:rsidRPr="007F197D" w:rsidRDefault="001D167A" w:rsidP="00FE130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08171" w14:textId="77777777" w:rsidR="007E124D" w:rsidRPr="007F197D" w:rsidRDefault="007E124D" w:rsidP="00FE1303">
            <w:pPr>
              <w:pStyle w:val="Akapitzlist"/>
              <w:numPr>
                <w:ilvl w:val="2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3E029CC0" w14:textId="77777777" w:rsidR="007E124D" w:rsidRPr="007F197D" w:rsidRDefault="007E124D" w:rsidP="00FE1303">
            <w:pPr>
              <w:pStyle w:val="TableParagraph"/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val="pl-PL"/>
              </w:rPr>
            </w:pPr>
            <w:r w:rsidRPr="007F197D">
              <w:rPr>
                <w:rFonts w:eastAsiaTheme="minorHAnsi"/>
                <w:sz w:val="20"/>
                <w:szCs w:val="20"/>
                <w:lang w:val="pl-PL"/>
              </w:rPr>
              <w:t>Leczenie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trwa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czasu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podjęcia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przez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lekarza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prowadzącego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decyzji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wyłączeniu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świadczeniobiorcy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programu,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zgodnie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kryteriami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wyłączenia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z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programu,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o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których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mowa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w</w:t>
            </w:r>
            <w:r w:rsidR="008B04DB" w:rsidRPr="007F197D">
              <w:rPr>
                <w:rFonts w:eastAsiaTheme="minorHAnsi"/>
                <w:sz w:val="20"/>
                <w:szCs w:val="20"/>
                <w:lang w:val="pl-PL"/>
              </w:rPr>
              <w:t xml:space="preserve"> </w:t>
            </w:r>
            <w:r w:rsidRPr="007F197D">
              <w:rPr>
                <w:rFonts w:eastAsiaTheme="minorHAnsi"/>
                <w:sz w:val="20"/>
                <w:szCs w:val="20"/>
                <w:lang w:val="pl-PL"/>
              </w:rPr>
              <w:t>ust</w:t>
            </w:r>
            <w:r w:rsidR="00D92ACE" w:rsidRPr="007F197D">
              <w:rPr>
                <w:rFonts w:eastAsiaTheme="minorHAnsi"/>
                <w:sz w:val="20"/>
                <w:szCs w:val="20"/>
                <w:lang w:val="pl-PL"/>
              </w:rPr>
              <w:t>. 3.</w:t>
            </w:r>
          </w:p>
          <w:p w14:paraId="05445449" w14:textId="77777777" w:rsidR="00DA1041" w:rsidRPr="007F197D" w:rsidRDefault="00DA1041" w:rsidP="00D92A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0" w:type="dxa"/>
            <w:gridSpan w:val="2"/>
          </w:tcPr>
          <w:p w14:paraId="29622287" w14:textId="77777777" w:rsidR="00F1705D" w:rsidRPr="007F197D" w:rsidRDefault="00AD083C" w:rsidP="00B8464E">
            <w:pPr>
              <w:pStyle w:val="Akapitzlist"/>
              <w:numPr>
                <w:ilvl w:val="0"/>
                <w:numId w:val="6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Leczenie wczesnego raka piersi</w:t>
            </w:r>
          </w:p>
          <w:p w14:paraId="34D35CC0" w14:textId="77777777" w:rsidR="00F1705D" w:rsidRPr="007F197D" w:rsidRDefault="00E302B5" w:rsidP="00B8464E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wczesnego,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HER2-dodatniego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2B9A0512" w14:textId="77777777" w:rsidR="00F1705D" w:rsidRPr="007F197D" w:rsidRDefault="00E302B5" w:rsidP="00B8464E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4EC15CC7" w14:textId="77777777" w:rsidR="00E302B5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immunohistochemiczne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hybrydyzacji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(ISH)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18FB" w:rsidRPr="007F197D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nadekspresj</w:t>
            </w:r>
            <w:r w:rsidR="009518FB" w:rsidRPr="007F197D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receptora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18FB" w:rsidRPr="007F197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ekspresji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receptorów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PGR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wykorzystanie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wcześniej)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B1124F1" w14:textId="77777777" w:rsidR="00E302B5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BC32BEA" w14:textId="77777777" w:rsidR="00E302B5" w:rsidRPr="007F197D" w:rsidRDefault="005226C0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97854F2" w14:textId="77777777" w:rsidR="00E302B5" w:rsidRPr="007F197D" w:rsidRDefault="005226C0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85FB6CE" w14:textId="77777777" w:rsidR="00E302B5" w:rsidRPr="007F197D" w:rsidRDefault="005226C0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AF4F673" w14:textId="77777777" w:rsidR="00E302B5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9F45C2" w14:textId="77777777" w:rsidR="00E302B5" w:rsidRPr="007F197D" w:rsidRDefault="00FF3AEA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3441537" w14:textId="77777777" w:rsidR="00E302B5" w:rsidRPr="007F197D" w:rsidRDefault="00FF3AEA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5EED4FE" w14:textId="77777777" w:rsidR="00E302B5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scyntygrafia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kośćca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klinicznej)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66DF155" w14:textId="77777777" w:rsidR="00E302B5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mammografia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dołami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pachowymi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leczonych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sytuacjach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zamiennie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5F0E" w:rsidRPr="007F197D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5F0E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wymiarów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leczeniem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D03AA5" w14:textId="77777777" w:rsidR="006115AE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66B404" w14:textId="77777777" w:rsidR="00CA2A5C" w:rsidRPr="007F197D" w:rsidRDefault="00E302B5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414E2D5" w14:textId="77777777" w:rsidR="00CD3DB8" w:rsidRPr="007F197D" w:rsidRDefault="00CD3DB8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konsultacja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kardiologiczna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współistniejącymi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istotnymi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schorzeniami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sercowo-naczyniowego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F2763F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04ED601" w14:textId="77777777" w:rsidR="00F2763F" w:rsidRPr="007F197D" w:rsidRDefault="00F2763F" w:rsidP="00FE1303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4A8ED" w14:textId="77777777" w:rsidR="00F1705D" w:rsidRPr="007F197D" w:rsidRDefault="00E302B5" w:rsidP="00FE1303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1581474B" w14:textId="77777777" w:rsidR="00E302B5" w:rsidRPr="007F197D" w:rsidRDefault="00AE65B9" w:rsidP="00FE130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E4FDF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B98CEC2" w14:textId="77777777" w:rsidR="00E302B5" w:rsidRPr="007F197D" w:rsidRDefault="00E302B5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04A6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04A6"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04A6" w:rsidRPr="007F197D">
              <w:rPr>
                <w:rFonts w:ascii="Times New Roman" w:hAnsi="Times New Roman" w:cs="Times New Roman"/>
                <w:sz w:val="20"/>
                <w:szCs w:val="20"/>
              </w:rPr>
              <w:t>emtanzyny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0409908" w14:textId="77777777" w:rsidR="00E302B5" w:rsidRPr="007F197D" w:rsidRDefault="00E302B5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93B965B" w14:textId="77777777" w:rsidR="00E302B5" w:rsidRPr="007F197D" w:rsidRDefault="00BF0632" w:rsidP="00FE1303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paklitakselem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podawanym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wykonać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paklitakselu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kreatyniny,</w:t>
            </w:r>
          </w:p>
          <w:p w14:paraId="5E0401B7" w14:textId="77777777" w:rsidR="00E302B5" w:rsidRPr="007F197D" w:rsidRDefault="005226C0" w:rsidP="00FE1303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AC2AF75" w14:textId="77777777" w:rsidR="00E302B5" w:rsidRPr="007F197D" w:rsidRDefault="005226C0" w:rsidP="00FE1303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9D1FD82" w14:textId="77777777" w:rsidR="009E4FDF" w:rsidRPr="007F197D" w:rsidRDefault="00E302B5" w:rsidP="00FE1303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7F7548C" w14:textId="77777777" w:rsidR="00E302B5" w:rsidRPr="007F197D" w:rsidRDefault="00AE65B9" w:rsidP="00FE130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02AA" w:rsidRPr="007F197D">
              <w:rPr>
                <w:rFonts w:ascii="Times New Roman" w:hAnsi="Times New Roman" w:cs="Times New Roman"/>
                <w:sz w:val="20"/>
                <w:szCs w:val="20"/>
              </w:rPr>
              <w:t>co 3 miesiące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6733D20" w14:textId="77777777" w:rsidR="00E302B5" w:rsidRPr="007F197D" w:rsidRDefault="00E302B5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dołami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pachowymi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leczonych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przedoperacyjnie)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syt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uacjach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zamiennie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318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rezonans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3AEA" w:rsidRPr="007F197D">
              <w:rPr>
                <w:rFonts w:ascii="Times New Roman" w:hAnsi="Times New Roman" w:cs="Times New Roman"/>
                <w:sz w:val="20"/>
                <w:szCs w:val="20"/>
              </w:rPr>
              <w:t>magnetyczny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samą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metodę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wyjściowo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leczeniem)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FCCC4A" w14:textId="77777777" w:rsidR="00E302B5" w:rsidRPr="007F197D" w:rsidRDefault="00E302B5" w:rsidP="00FE1303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Dobór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umożliwić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leczenie.</w:t>
            </w:r>
          </w:p>
          <w:p w14:paraId="663620A7" w14:textId="77777777" w:rsidR="00E302B5" w:rsidRPr="007F197D" w:rsidRDefault="00AE65B9" w:rsidP="00FE130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trzecim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szóstym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(4-6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ostatniej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2B5" w:rsidRPr="007F197D">
              <w:rPr>
                <w:rFonts w:ascii="Times New Roman" w:hAnsi="Times New Roman" w:cs="Times New Roman"/>
                <w:sz w:val="20"/>
                <w:szCs w:val="20"/>
              </w:rPr>
              <w:t>dawki):</w:t>
            </w:r>
          </w:p>
          <w:p w14:paraId="458F848E" w14:textId="77777777" w:rsidR="00E302B5" w:rsidRPr="007F197D" w:rsidRDefault="00E302B5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DD05EB" w14:textId="77777777" w:rsidR="00E302B5" w:rsidRPr="007F197D" w:rsidRDefault="00E302B5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ECHO.</w:t>
            </w:r>
          </w:p>
          <w:p w14:paraId="1338C30B" w14:textId="77777777" w:rsidR="009E4FDF" w:rsidRPr="007F197D" w:rsidRDefault="009E4FDF" w:rsidP="00FE130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F3918" w14:textId="77777777" w:rsidR="00D25DD4" w:rsidRPr="007F197D" w:rsidRDefault="00D25DD4" w:rsidP="00FE1303">
            <w:pPr>
              <w:numPr>
                <w:ilvl w:val="1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wczesnego HR-dodatniego, HER2-ujemnego raka piersi</w:t>
            </w:r>
          </w:p>
          <w:p w14:paraId="0E5DF4C2" w14:textId="77777777" w:rsidR="00D25DD4" w:rsidRPr="007F197D" w:rsidRDefault="00D25DD4" w:rsidP="00FE1303">
            <w:pPr>
              <w:numPr>
                <w:ilvl w:val="2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 badań przy kwalifikacji</w:t>
            </w:r>
          </w:p>
          <w:p w14:paraId="4583824E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badanie immunohistochemiczne lub hybrydyzacji in situ oceniające ekspresję HER2 i receptorów ER, PGR (możliwe wykorzystanie badania wykonanego wcześniej);</w:t>
            </w:r>
          </w:p>
          <w:p w14:paraId="612ABD48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 krwi z rozmazem,</w:t>
            </w:r>
          </w:p>
          <w:p w14:paraId="3FAC4FEB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kreatyniny,</w:t>
            </w:r>
          </w:p>
          <w:p w14:paraId="5082BF44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F065D3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7F2C7E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stężenie bilirubiny,</w:t>
            </w:r>
          </w:p>
          <w:p w14:paraId="78DA9345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estradiolu, FSH i LH u chorych z brakiem miesiączki indukowanym chemioterapią oraz u chorych w okresie przed i okołomenopauzalnym.</w:t>
            </w:r>
          </w:p>
          <w:p w14:paraId="7450B26D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RTG lub tomografia komputerowa klatki piersiowej w celu wykluczenia przerzutów odległych</w:t>
            </w:r>
          </w:p>
          <w:p w14:paraId="56DA033F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 jamy brzusznej lub tomografia komputerowa jamy brzusznej lub tomografia komputerowa jamy brzusznej i miednicy lub MR w celu wykluczenia przerzutów odległych</w:t>
            </w:r>
          </w:p>
          <w:p w14:paraId="04BB6746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scyntygrafia kośćca (wykonanie badania w zależności od oceny sytuacji klinicznej) w celu wykluczenia przerzutów odległych</w:t>
            </w:r>
          </w:p>
          <w:p w14:paraId="2475A4AD" w14:textId="57AE6187" w:rsidR="00BC3FC2" w:rsidRPr="007F197D" w:rsidRDefault="00BC3FC2" w:rsidP="00FE1303">
            <w:pPr>
              <w:pStyle w:val="Akapitzlist"/>
              <w:numPr>
                <w:ilvl w:val="4"/>
                <w:numId w:val="6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EKG,</w:t>
            </w:r>
          </w:p>
          <w:p w14:paraId="503B35D2" w14:textId="77777777" w:rsidR="00D25DD4" w:rsidRPr="007F197D" w:rsidRDefault="00D25DD4" w:rsidP="00FE1303">
            <w:pPr>
              <w:numPr>
                <w:ilvl w:val="4"/>
                <w:numId w:val="6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inne badania laboratoryjne i obrazowe w razie wskazań klinicznych.</w:t>
            </w:r>
          </w:p>
          <w:p w14:paraId="0A8CA33E" w14:textId="77777777" w:rsidR="00D25DD4" w:rsidRPr="007F197D" w:rsidRDefault="00D25DD4" w:rsidP="00FE1303">
            <w:pPr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5F2EDB" w14:textId="77777777" w:rsidR="00D25DD4" w:rsidRPr="007F197D" w:rsidRDefault="00D25DD4" w:rsidP="00FE1303">
            <w:pPr>
              <w:numPr>
                <w:ilvl w:val="2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Pr="007F1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leczenia</w:t>
            </w:r>
          </w:p>
          <w:p w14:paraId="6E955D46" w14:textId="77777777" w:rsidR="00D25DD4" w:rsidRPr="007F197D" w:rsidRDefault="00D25DD4" w:rsidP="00FE1303">
            <w:pPr>
              <w:numPr>
                <w:ilvl w:val="3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badania laboratoryjne:</w:t>
            </w:r>
          </w:p>
          <w:p w14:paraId="73283ED6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5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 krwi z rozmazem;</w:t>
            </w:r>
          </w:p>
          <w:p w14:paraId="69FF940C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5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kreatyniny;</w:t>
            </w:r>
          </w:p>
          <w:p w14:paraId="0CDF7764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5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3E16F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5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aktywności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1C62AC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52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bilirubiny</w:t>
            </w:r>
            <w:r w:rsidR="00BC3FC2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024A5B" w14:textId="77777777" w:rsidR="00AF2C2A" w:rsidRPr="007F197D" w:rsidRDefault="00AF2C2A" w:rsidP="00FE1303">
            <w:pPr>
              <w:numPr>
                <w:ilvl w:val="4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stężenie estradiolu, FSH i LH u chorych z brakiem miesiączki indukowanym chemioterapią lub stosowaniem analogów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LHRH lub u chorych w okresie przed i okołomenopauzalnym; </w:t>
            </w:r>
          </w:p>
          <w:p w14:paraId="3CEB7839" w14:textId="77777777" w:rsidR="00AF2C2A" w:rsidRPr="007F197D" w:rsidRDefault="00AF2C2A" w:rsidP="00FE1303">
            <w:pPr>
              <w:numPr>
                <w:ilvl w:val="4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EKG (w celu oceny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QTc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ok. 14 dniu pierwszego cyklu (+/- 7 dni), a potem w zależności od wskazań klinicznych)</w:t>
            </w:r>
            <w:r w:rsidR="00123226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przypadku leczenia </w:t>
            </w:r>
            <w:proofErr w:type="spellStart"/>
            <w:r w:rsidR="00123226" w:rsidRPr="007F197D">
              <w:rPr>
                <w:rFonts w:ascii="Times New Roman" w:hAnsi="Times New Roman" w:cs="Times New Roman"/>
                <w:sz w:val="20"/>
                <w:szCs w:val="20"/>
              </w:rPr>
              <w:t>rybocyklibem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700384" w14:textId="77777777" w:rsidR="00AF2C2A" w:rsidRPr="007F197D" w:rsidRDefault="00AF2C2A" w:rsidP="00FE1303">
            <w:pPr>
              <w:numPr>
                <w:ilvl w:val="4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inne badania w razie wskazań klinicznych;</w:t>
            </w:r>
          </w:p>
          <w:p w14:paraId="5443AC81" w14:textId="77777777" w:rsidR="00BC3FC2" w:rsidRPr="007F197D" w:rsidRDefault="00AF2C2A" w:rsidP="00FE1303">
            <w:pPr>
              <w:numPr>
                <w:ilvl w:val="4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 obrazowe w zależności od oceny sytuacji klinicznej i wskazań klinicznych.</w:t>
            </w:r>
          </w:p>
          <w:p w14:paraId="433DAAA1" w14:textId="77777777" w:rsidR="00D25DD4" w:rsidRPr="007F197D" w:rsidRDefault="00D25DD4" w:rsidP="00FE1303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Badania wykonuje się:</w:t>
            </w:r>
          </w:p>
          <w:p w14:paraId="2FC7AD31" w14:textId="77777777" w:rsidR="00D25DD4" w:rsidRPr="007F197D" w:rsidRDefault="00626664" w:rsidP="00FE1303">
            <w:pPr>
              <w:numPr>
                <w:ilvl w:val="0"/>
                <w:numId w:val="20"/>
              </w:numPr>
              <w:spacing w:after="60" w:line="276" w:lineRule="auto"/>
              <w:ind w:left="794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pkt 1 a-e badania wykonuje się co 4 tygodnie (cykl 28 dniowy) przez pierwsze 4 cykle i następnie w zależności od wskazań klinicznych, ale nie rzadziej niż co 3 miesiące,</w:t>
            </w:r>
          </w:p>
          <w:p w14:paraId="1A4C0E50" w14:textId="77777777" w:rsidR="005962EA" w:rsidRPr="007F197D" w:rsidRDefault="005962EA" w:rsidP="00FE1303">
            <w:pPr>
              <w:numPr>
                <w:ilvl w:val="0"/>
                <w:numId w:val="20"/>
              </w:numPr>
              <w:spacing w:after="60" w:line="276" w:lineRule="auto"/>
              <w:ind w:left="794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Badania f) wykonuje się co 3 miesiące (+/- 14 dni)</w:t>
            </w:r>
            <w:r w:rsidR="00626664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5F3A4048" w14:textId="77777777" w:rsidR="00D25DD4" w:rsidRPr="007F197D" w:rsidRDefault="00D25DD4" w:rsidP="00FE1303">
            <w:pPr>
              <w:numPr>
                <w:ilvl w:val="3"/>
                <w:numId w:val="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badania obrazowe:</w:t>
            </w:r>
          </w:p>
          <w:p w14:paraId="58C0EAE3" w14:textId="77777777" w:rsidR="00D25DD4" w:rsidRPr="007F197D" w:rsidRDefault="00D25DD4" w:rsidP="00FE1303">
            <w:pPr>
              <w:numPr>
                <w:ilvl w:val="4"/>
                <w:numId w:val="7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mammografia, w razie potrzeby uzupełniona o USG piersi lub MR.</w:t>
            </w:r>
          </w:p>
          <w:p w14:paraId="7BFFF368" w14:textId="77777777" w:rsidR="00D25DD4" w:rsidRPr="007F197D" w:rsidRDefault="00D25DD4" w:rsidP="00FE1303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Badania wykonuje się:</w:t>
            </w:r>
          </w:p>
          <w:p w14:paraId="2529E108" w14:textId="77777777" w:rsidR="00D25DD4" w:rsidRPr="007F197D" w:rsidRDefault="00D25DD4" w:rsidP="00FE1303">
            <w:pPr>
              <w:numPr>
                <w:ilvl w:val="0"/>
                <w:numId w:val="20"/>
              </w:numPr>
              <w:spacing w:after="60" w:line="276" w:lineRule="auto"/>
              <w:ind w:left="794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nie rzadziej niż co 12 miesięcy.</w:t>
            </w:r>
          </w:p>
          <w:p w14:paraId="52AABA4F" w14:textId="77777777" w:rsidR="00A80C64" w:rsidRPr="007F197D" w:rsidRDefault="00A80C64" w:rsidP="00FE1303">
            <w:pPr>
              <w:spacing w:after="60" w:line="276" w:lineRule="auto"/>
              <w:ind w:left="79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ABA50B2" w14:textId="77777777" w:rsidR="00F1705D" w:rsidRPr="007F197D" w:rsidRDefault="0063355B" w:rsidP="00B8464E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Leczenie wczesnego, </w:t>
            </w:r>
            <w:r w:rsidR="00AD083C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HER2-ujemnego i potrójnie ujemnego raka piersi z obecnością mutacji w genach BRCA</w:t>
            </w:r>
          </w:p>
          <w:p w14:paraId="58B6C15C" w14:textId="77777777" w:rsidR="00F1705D" w:rsidRPr="007F197D" w:rsidRDefault="00AD083C" w:rsidP="00B8464E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 badań przy kwalifikacji</w:t>
            </w:r>
          </w:p>
          <w:p w14:paraId="7624DAA2" w14:textId="77777777" w:rsidR="00F1705D" w:rsidRPr="007F197D" w:rsidRDefault="00FB6963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potwierdzenie obecności</w:t>
            </w:r>
            <w:r w:rsidR="00AD083C" w:rsidRPr="007F197D">
              <w:rPr>
                <w:rFonts w:ascii="Times New Roman" w:hAnsi="Times New Roman"/>
                <w:sz w:val="20"/>
                <w:szCs w:val="20"/>
              </w:rPr>
              <w:t xml:space="preserve"> mutacji </w:t>
            </w:r>
            <w:proofErr w:type="spellStart"/>
            <w:r w:rsidR="00AD083C" w:rsidRPr="007F197D">
              <w:rPr>
                <w:rFonts w:ascii="Times New Roman" w:hAnsi="Times New Roman"/>
                <w:sz w:val="20"/>
                <w:szCs w:val="20"/>
              </w:rPr>
              <w:t>germinalnej</w:t>
            </w:r>
            <w:proofErr w:type="spellEnd"/>
            <w:r w:rsidR="00AD083C" w:rsidRPr="007F197D">
              <w:rPr>
                <w:rFonts w:ascii="Times New Roman" w:hAnsi="Times New Roman"/>
                <w:sz w:val="20"/>
                <w:szCs w:val="20"/>
              </w:rPr>
              <w:t xml:space="preserve"> BRCA1/2 (możliwe wykorzystanie badania wykonanego wcześniej)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EE46E7C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potwierdzenie </w:t>
            </w:r>
            <w:r w:rsidR="00FB6963" w:rsidRPr="007F197D">
              <w:rPr>
                <w:rFonts w:ascii="Times New Roman" w:hAnsi="Times New Roman"/>
                <w:sz w:val="20"/>
                <w:szCs w:val="20"/>
              </w:rPr>
              <w:t>braku ekspresji receptora HER2 i określenie stanu steroidowych receptorów hormonalnych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C6F9225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morfologia krwi z rozmazem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F465C18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stężenie kreatyniny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9480FEF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stężenie bilirubiny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C98308B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/>
                <w:sz w:val="20"/>
                <w:szCs w:val="20"/>
              </w:rPr>
              <w:t>AlAT</w:t>
            </w:r>
            <w:proofErr w:type="spellEnd"/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58B33D7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85095F2" w14:textId="77777777" w:rsidR="00F1705D" w:rsidRPr="007F197D" w:rsidRDefault="0063355B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USG lub tomografia komputerowa jamy brzusznej lub tomografia komputerowa jamy brzusznej i miednicy</w:t>
            </w:r>
            <w:r w:rsidR="00444000" w:rsidRPr="007F19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44000" w:rsidRPr="007F197D">
              <w:rPr>
                <w:rFonts w:ascii="Times New Roman" w:hAnsi="Times New Roman" w:cs="Times New Roman"/>
                <w:sz w:val="20"/>
                <w:szCs w:val="20"/>
              </w:rPr>
              <w:t>(wykonanie badania w zależności od oceny sytuacji klinicznej)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69552C2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RTG lub tomografia komputerowa klatki piersiowej</w:t>
            </w:r>
            <w:r w:rsidR="00444000" w:rsidRPr="007F19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44000" w:rsidRPr="007F197D">
              <w:rPr>
                <w:rFonts w:ascii="Times New Roman" w:hAnsi="Times New Roman" w:cs="Times New Roman"/>
                <w:sz w:val="20"/>
                <w:szCs w:val="20"/>
              </w:rPr>
              <w:t>(wykonanie badania w zależności od oceny sytuacji klinicznej)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994C141" w14:textId="77777777" w:rsidR="00F1705D" w:rsidRPr="007F197D" w:rsidRDefault="00AD083C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scyntygrafia kośćca</w:t>
            </w:r>
            <w:r w:rsidR="00444000" w:rsidRPr="007F19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44000" w:rsidRPr="007F197D">
              <w:rPr>
                <w:rFonts w:ascii="Times New Roman" w:hAnsi="Times New Roman" w:cs="Times New Roman"/>
                <w:sz w:val="20"/>
                <w:szCs w:val="20"/>
              </w:rPr>
              <w:t>(wykonanie badania w zależności od oceny sytuacji klinicznej)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AC6C04B" w14:textId="77777777" w:rsidR="00F1705D" w:rsidRPr="007F197D" w:rsidRDefault="00444000" w:rsidP="00B8464E">
            <w:pPr>
              <w:pStyle w:val="Akapitzlist"/>
              <w:numPr>
                <w:ilvl w:val="4"/>
                <w:numId w:val="16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inne badania w razie wskazań klinicznych.</w:t>
            </w:r>
          </w:p>
          <w:p w14:paraId="75CBC360" w14:textId="77777777" w:rsidR="00F1705D" w:rsidRPr="007F197D" w:rsidRDefault="00F1705D" w:rsidP="005E294F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5133AAE" w14:textId="77777777" w:rsidR="00F1705D" w:rsidRPr="007F197D" w:rsidRDefault="00B620BA" w:rsidP="00B8464E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</w:p>
          <w:p w14:paraId="6DBEE1FA" w14:textId="77777777" w:rsidR="00F1705D" w:rsidRPr="007F197D" w:rsidRDefault="0063355B" w:rsidP="00B8464E">
            <w:pPr>
              <w:pStyle w:val="Akapitzlist"/>
              <w:numPr>
                <w:ilvl w:val="4"/>
                <w:numId w:val="17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morfologia krwi z rozmazem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EF01993" w14:textId="77777777" w:rsidR="00F1705D" w:rsidRPr="007F197D" w:rsidRDefault="0063355B" w:rsidP="00B8464E">
            <w:pPr>
              <w:pStyle w:val="Akapitzlist"/>
              <w:numPr>
                <w:ilvl w:val="4"/>
                <w:numId w:val="17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oznaczenie stężenia w surowicy:</w:t>
            </w:r>
          </w:p>
          <w:p w14:paraId="6C11E9A7" w14:textId="77777777" w:rsidR="00F1705D" w:rsidRPr="007F197D" w:rsidRDefault="0063355B" w:rsidP="00B8464E">
            <w:pPr>
              <w:pStyle w:val="Akapitzlist"/>
              <w:numPr>
                <w:ilvl w:val="5"/>
                <w:numId w:val="1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kreatyniny,</w:t>
            </w:r>
          </w:p>
          <w:p w14:paraId="063D8FED" w14:textId="77777777" w:rsidR="00F1705D" w:rsidRPr="007F197D" w:rsidRDefault="0063355B" w:rsidP="00B8464E">
            <w:pPr>
              <w:pStyle w:val="Akapitzlist"/>
              <w:numPr>
                <w:ilvl w:val="5"/>
                <w:numId w:val="1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2C72C13" w14:textId="77777777" w:rsidR="00F1705D" w:rsidRPr="007F197D" w:rsidRDefault="0063355B" w:rsidP="00B8464E">
            <w:pPr>
              <w:pStyle w:val="Akapitzlist"/>
              <w:numPr>
                <w:ilvl w:val="5"/>
                <w:numId w:val="1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oznaczenie aktywności transaminaz (</w:t>
            </w:r>
            <w:proofErr w:type="spellStart"/>
            <w:r w:rsidRPr="007F197D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Pr="007F197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F197D">
              <w:rPr>
                <w:rFonts w:ascii="Times New Roman" w:hAnsi="Times New Roman"/>
                <w:sz w:val="20"/>
                <w:szCs w:val="20"/>
              </w:rPr>
              <w:t>AlAT</w:t>
            </w:r>
            <w:proofErr w:type="spellEnd"/>
            <w:r w:rsidRPr="007F197D">
              <w:rPr>
                <w:rFonts w:ascii="Times New Roman" w:hAnsi="Times New Roman"/>
                <w:sz w:val="20"/>
                <w:szCs w:val="20"/>
              </w:rPr>
              <w:t>)</w:t>
            </w:r>
            <w:r w:rsidR="009A38F5" w:rsidRPr="007F197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DF2987D" w14:textId="77777777" w:rsidR="00F1705D" w:rsidRPr="007F197D" w:rsidRDefault="0063355B" w:rsidP="00B8464E">
            <w:pPr>
              <w:pStyle w:val="Akapitzlist"/>
              <w:numPr>
                <w:ilvl w:val="4"/>
                <w:numId w:val="17"/>
              </w:numPr>
              <w:spacing w:after="60" w:line="276" w:lineRule="auto"/>
              <w:ind w:left="453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t>inne badania w razie wskazań klinicznych.</w:t>
            </w:r>
          </w:p>
          <w:p w14:paraId="4ED0C71B" w14:textId="77777777" w:rsidR="00F1705D" w:rsidRPr="007F197D" w:rsidRDefault="00F1705D" w:rsidP="005E294F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A734388" w14:textId="77777777" w:rsidR="00F1705D" w:rsidRPr="007F197D" w:rsidRDefault="0063355B" w:rsidP="005E294F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97D">
              <w:rPr>
                <w:rFonts w:ascii="Times New Roman" w:hAnsi="Times New Roman"/>
                <w:sz w:val="20"/>
                <w:szCs w:val="20"/>
              </w:rPr>
              <w:lastRenderedPageBreak/>
              <w:t>Badania wykonuje się przed rozpoczęciem każdego cyklu</w:t>
            </w:r>
            <w:r w:rsidR="00B620BA" w:rsidRPr="007F197D">
              <w:rPr>
                <w:rFonts w:ascii="Times New Roman" w:hAnsi="Times New Roman"/>
                <w:sz w:val="20"/>
                <w:szCs w:val="20"/>
              </w:rPr>
              <w:t xml:space="preserve"> leczenia </w:t>
            </w:r>
            <w:proofErr w:type="spellStart"/>
            <w:r w:rsidR="00B620BA" w:rsidRPr="007F197D">
              <w:rPr>
                <w:rFonts w:ascii="Times New Roman" w:hAnsi="Times New Roman"/>
                <w:sz w:val="20"/>
                <w:szCs w:val="20"/>
              </w:rPr>
              <w:t>olaparybem</w:t>
            </w:r>
            <w:proofErr w:type="spellEnd"/>
            <w:r w:rsidR="00B620BA" w:rsidRPr="007F197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2F28162" w14:textId="77777777" w:rsidR="00F1705D" w:rsidRPr="007F197D" w:rsidRDefault="00F1705D" w:rsidP="005E294F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C5A89A8" w14:textId="77777777" w:rsidR="00F1705D" w:rsidRPr="007F197D" w:rsidRDefault="002129EB" w:rsidP="00B8464E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 okołooperacyjne wczesnego potrójnie ujemnego raka piersi</w:t>
            </w:r>
          </w:p>
          <w:p w14:paraId="185FD204" w14:textId="77777777" w:rsidR="00F1705D" w:rsidRPr="007F197D" w:rsidRDefault="002129EB" w:rsidP="00B8464E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 badań przy kwalifikacji</w:t>
            </w:r>
          </w:p>
          <w:p w14:paraId="2F08B115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badanie immunohistochemiczne lub hybrydyzacji in situ oceniające ekspresję HER2 i receptorów ER, PGR (możliwe wykorzystanie badania wykonanego wcześniej)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B7E2CFF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 krwi z rozmazem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2911F95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kreatyniny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5752B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91CA486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AE08178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bilirubiny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1D3BBCD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poziom TSH i fT4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2D86DD4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RTG lub tomografia komputerowa klatki piersiowej (wykonane w ciągu ostatnich 8 tygodni)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3FA4D5C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 jamy brzusznej lub tomografia komputerowa jamy brzusznej lub tomografia komputerowa jamy brzusznej i miednicy lub MR, (wykonane w ciągu ostatnich 8 tygodni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476991D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scyntygrafia kośćca (wykonanie badania w zależności od oceny sytuacji klinicznej)</w:t>
            </w:r>
            <w:r w:rsidR="00406170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4DCCD72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C25512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konsultacja kardiologiczna – jedynie w przypadku wskazań klinicznych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dotyczących wydolności układu sercowo-naczyniowego lub nieprawidłowych wyników EKG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B467865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 komputerowa lub rezonans magnetyczny mózgu (tylko gdy są wskazania kliniczne)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85810D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mammografia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1B498B4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 piersi z oceną dołów pachowych,</w:t>
            </w:r>
          </w:p>
          <w:p w14:paraId="78530814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inne badania obrazowe w razie wskazań klinicznych.</w:t>
            </w:r>
          </w:p>
          <w:p w14:paraId="2469ED8A" w14:textId="77777777" w:rsidR="002129EB" w:rsidRPr="007F197D" w:rsidRDefault="002129EB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Wstępne badania obrazowe muszą umożliwić późniejszą obiektywną ocenę odpowiedzi na leczenie.</w:t>
            </w:r>
          </w:p>
          <w:p w14:paraId="0ECA8DCB" w14:textId="77777777" w:rsidR="00F1705D" w:rsidRPr="007F197D" w:rsidRDefault="002129EB" w:rsidP="00B8464E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</w:p>
          <w:p w14:paraId="0BAE633D" w14:textId="77777777" w:rsidR="002129EB" w:rsidRPr="007F197D" w:rsidRDefault="002129EB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 laboratoryjne:</w:t>
            </w:r>
          </w:p>
          <w:p w14:paraId="3C21E15E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 krwi z rozmazem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ACFB48D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kreatyniny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D4E8A86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24EF8E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aktywności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06C8E4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 bilirubiny</w:t>
            </w:r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455B668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oznaczenie poziomu TSH i fT4 dotyczy jedynie leczenia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9A38F5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7439CFA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oznaczenie glikemii na czczo.</w:t>
            </w:r>
          </w:p>
          <w:p w14:paraId="77EA23EB" w14:textId="77777777" w:rsidR="002129EB" w:rsidRPr="007F197D" w:rsidRDefault="002129EB" w:rsidP="005E294F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0ED5F" w14:textId="77777777" w:rsidR="002129EB" w:rsidRPr="007F197D" w:rsidRDefault="002129EB" w:rsidP="005E294F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 wykonuje się:</w:t>
            </w:r>
          </w:p>
          <w:p w14:paraId="434F5138" w14:textId="77777777" w:rsidR="002129EB" w:rsidRPr="007F197D" w:rsidRDefault="002129EB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nie rzadziej niż co 3 tygodnie lub przed każdym cyklem chemioterapii w przypadku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leczeniu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przedoperacyjnego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– punkty a-e,</w:t>
            </w:r>
          </w:p>
          <w:p w14:paraId="54EBA6FC" w14:textId="77777777" w:rsidR="002129EB" w:rsidRPr="007F197D" w:rsidRDefault="002129EB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 rzadziej niż co 3 miesiące w przypadku leczenia przedoperacyjnego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neoadjuwantowym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– punkty f-g,</w:t>
            </w:r>
          </w:p>
          <w:p w14:paraId="6F7202FC" w14:textId="77777777" w:rsidR="002129EB" w:rsidRPr="007F197D" w:rsidRDefault="002129EB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 rzadziej niż raz na 3 miesiące w przypadku leczenia pooperacyjnego 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adjuwantowego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– punkty a-g;</w:t>
            </w:r>
          </w:p>
          <w:p w14:paraId="03E97DE7" w14:textId="77777777" w:rsidR="002129EB" w:rsidRPr="007F197D" w:rsidRDefault="002129EB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 obrazowe (wybór metody w zależności od wyjściowej metody obrazowej):</w:t>
            </w:r>
          </w:p>
          <w:p w14:paraId="2F8FC03D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ECHO serca,</w:t>
            </w:r>
          </w:p>
          <w:p w14:paraId="38CEBC47" w14:textId="77777777" w:rsidR="002129EB" w:rsidRPr="007F197D" w:rsidRDefault="002129E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 piersi z dołami pachowymi</w:t>
            </w:r>
            <w:r w:rsidR="008E685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(tylko podczas leczenia przedoperacyjnego).</w:t>
            </w:r>
          </w:p>
          <w:p w14:paraId="6E19BAA5" w14:textId="77777777" w:rsidR="002129EB" w:rsidRPr="007F197D" w:rsidRDefault="002129EB" w:rsidP="005E294F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A3763" w14:textId="77777777" w:rsidR="002129EB" w:rsidRPr="007F197D" w:rsidRDefault="002129EB" w:rsidP="005E294F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 wykonuje się:</w:t>
            </w:r>
          </w:p>
          <w:p w14:paraId="44CBBD16" w14:textId="77777777" w:rsidR="002129EB" w:rsidRPr="007F197D" w:rsidRDefault="002129EB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nie rzadziej niż raz na 3 miesiące</w:t>
            </w:r>
            <w:r w:rsidR="003C02AA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jedynie podczas leczenia przedoperacyjnego</w:t>
            </w:r>
            <w:r w:rsidR="008A153B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(częściej, gdy są wskazania kliniczne)</w:t>
            </w:r>
            <w:r w:rsidR="009822D5"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F19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721D307" w14:textId="77777777" w:rsidR="002129EB" w:rsidRPr="007F197D" w:rsidRDefault="002129EB" w:rsidP="005E294F">
            <w:pPr>
              <w:pStyle w:val="Akapitzlist"/>
              <w:spacing w:after="60" w:line="276" w:lineRule="auto"/>
              <w:ind w:left="907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7A98BCF" w14:textId="77777777" w:rsidR="002129EB" w:rsidRPr="007F197D" w:rsidRDefault="002129EB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W celu monitorowania terapii i oceny odpowiedzi na leczenie, w uzasadnionych sytuacjach klinicznych, możliwe jest zamienne wykonanie tomografii komputerowej lub rezonansu magnetycznego piersi). </w:t>
            </w:r>
          </w:p>
          <w:p w14:paraId="4E655CFD" w14:textId="77777777" w:rsidR="002129EB" w:rsidRPr="007F197D" w:rsidRDefault="002129EB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Określenie odpowiedzi na leczenie powinno być wykonywane z wykorzystaniem metody identycznej wykorzystanej podczas kwalifikowania do leczenia.</w:t>
            </w:r>
          </w:p>
          <w:p w14:paraId="21AD391E" w14:textId="77777777" w:rsidR="00F1705D" w:rsidRPr="007F197D" w:rsidRDefault="00F1705D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74FA42" w14:textId="77777777" w:rsidR="003F5531" w:rsidRPr="007F197D" w:rsidRDefault="003F5531" w:rsidP="00B8464E">
            <w:pPr>
              <w:pStyle w:val="Akapitzlist"/>
              <w:numPr>
                <w:ilvl w:val="0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184317729"/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Leczenie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75A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9775A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miejscowo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9775A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zawansowanego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piersi</w:t>
            </w:r>
          </w:p>
          <w:p w14:paraId="5BB17EF5" w14:textId="77777777" w:rsidR="00127F97" w:rsidRPr="007F197D" w:rsidRDefault="00127F97" w:rsidP="00B8464E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bookmarkEnd w:id="2"/>
          <w:p w14:paraId="436053B2" w14:textId="77777777" w:rsidR="00127F97" w:rsidRPr="007F197D" w:rsidRDefault="00467BD1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26ACB" w:rsidRPr="007F197D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ACB" w:rsidRPr="007F197D">
              <w:rPr>
                <w:rFonts w:ascii="Times New Roman" w:hAnsi="Times New Roman" w:cs="Times New Roman"/>
                <w:sz w:val="20"/>
                <w:szCs w:val="20"/>
              </w:rPr>
              <w:t>immunohistochemiczne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hybrydyzacji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situ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18FB" w:rsidRPr="007F197D">
              <w:rPr>
                <w:rFonts w:ascii="Times New Roman" w:hAnsi="Times New Roman" w:cs="Times New Roman"/>
                <w:sz w:val="20"/>
                <w:szCs w:val="20"/>
              </w:rPr>
              <w:t>oceniające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ekspresję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receptorów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ER,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PGR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wykorzystanie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wykonanego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wcześniej)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177B392" w14:textId="77777777" w:rsidR="00E95954" w:rsidRPr="007F197D" w:rsidRDefault="00467BD1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germinalnej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BRCA1/2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(możliwe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wykorzystanie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wykonanego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wcześniej)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5954" w:rsidRPr="007F197D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F1112A" w:rsidRPr="007F197D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830D50F" w14:textId="77777777" w:rsidR="00E95954" w:rsidRPr="007F197D" w:rsidRDefault="00467BD1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otwierdzona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mutacja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PIK3CA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wykorzystaniem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zwalidowanego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testu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(możliwe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wykorzystanie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wykonanego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AE9" w:rsidRPr="007F197D">
              <w:rPr>
                <w:rFonts w:ascii="Times New Roman" w:hAnsi="Times New Roman" w:cs="Times New Roman"/>
                <w:sz w:val="20"/>
                <w:szCs w:val="20"/>
              </w:rPr>
              <w:t>wcześniej)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A854E" w14:textId="77777777" w:rsidR="00085AF9" w:rsidRPr="007F197D" w:rsidRDefault="00085AF9" w:rsidP="00085AF9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potwierdzona co najmniej jedna zmiana w genach: PIK3CA lub AKT1 lub PTEN – tylko w przypadku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(możliwe wykorzystanie badania wykonanego wcześniej),</w:t>
            </w:r>
          </w:p>
          <w:p w14:paraId="5588C78B" w14:textId="77777777" w:rsidR="00861346" w:rsidRPr="007F197D" w:rsidRDefault="00861346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ekspresji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PD-L1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CPS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combined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oznaczonej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zwalidowanym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testem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="004232C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B5C00E6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39B7CDB" w14:textId="77777777" w:rsidR="00127F97" w:rsidRPr="007F197D" w:rsidRDefault="009518F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F11966E" w14:textId="77777777" w:rsidR="00127F97" w:rsidRPr="007F197D" w:rsidRDefault="009518F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0C4CEA1" w14:textId="77777777" w:rsidR="00127F97" w:rsidRPr="007F197D" w:rsidRDefault="009518F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937DA11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B5A772" w14:textId="77777777" w:rsidR="00861346" w:rsidRPr="007F197D" w:rsidRDefault="00861346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poziom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TSH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fT4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E5C87D" w14:textId="77777777" w:rsidR="008A03D5" w:rsidRPr="007F197D" w:rsidRDefault="00B95A4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glukozy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czczo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346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314BF" w:rsidRPr="007F197D">
              <w:rPr>
                <w:rFonts w:ascii="Times New Roman" w:hAnsi="Times New Roman" w:cs="Times New Roman"/>
                <w:sz w:val="20"/>
                <w:szCs w:val="20"/>
              </w:rPr>
              <w:t>alpelisyb</w:t>
            </w:r>
            <w:r w:rsidR="00861346" w:rsidRPr="007F197D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787196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</w:t>
            </w:r>
            <w:r w:rsidR="00787196" w:rsidRPr="007F197D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7196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oraz </w:t>
            </w:r>
            <w:proofErr w:type="spellStart"/>
            <w:r w:rsidR="00B97205"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F49117E" w14:textId="77777777" w:rsidR="00F314BF" w:rsidRPr="007F197D" w:rsidRDefault="00F314BF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hemoglobiny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B12" w:rsidRPr="007F197D">
              <w:rPr>
                <w:rFonts w:ascii="Times New Roman" w:hAnsi="Times New Roman" w:cs="Times New Roman"/>
                <w:sz w:val="20"/>
                <w:szCs w:val="20"/>
              </w:rPr>
              <w:t>glikowanej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787196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787196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30DD73" w14:textId="77777777" w:rsidR="00CA2C66" w:rsidRPr="007F197D" w:rsidRDefault="00CA2C66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estradiolu,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FSH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brakiem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indukowanym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okołomenopauzalnym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74314" w:rsidRPr="007F197D">
              <w:rPr>
                <w:rFonts w:ascii="Times New Roman" w:hAnsi="Times New Roman" w:cs="Times New Roman"/>
                <w:sz w:val="20"/>
                <w:szCs w:val="20"/>
              </w:rPr>
              <w:t>alpelisybem</w:t>
            </w:r>
            <w:proofErr w:type="spellEnd"/>
            <w:r w:rsidR="001C1232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AAC53FA" w14:textId="77777777" w:rsidR="00127F97" w:rsidRPr="007F197D" w:rsidRDefault="00D26AC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(wykonane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ygodni)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wybór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rodzaju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wymiarów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01E7770" w14:textId="77777777" w:rsidR="00127F97" w:rsidRPr="007F197D" w:rsidRDefault="00D26AC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miednicy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(wykonane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tygodni,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klinicznej)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wybór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rodzaju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wymiarów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BD8C074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scyntygrafia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kośćca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(wykonanie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klinicznej)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55C07E4" w14:textId="77777777" w:rsidR="00DE2B35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B873D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6A7A94B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ECHO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anty-HER2</w:t>
            </w:r>
            <w:r w:rsidR="00012FC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9167891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konsultacja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kardiologiczna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jedynie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wydolności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sercowo-naczyniowego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nieprawidłowych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ECH</w:t>
            </w:r>
            <w:r w:rsidR="00382F5A" w:rsidRPr="007F197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12FC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822D5" w:rsidRPr="007F197D">
              <w:rPr>
                <w:rFonts w:ascii="Times New Roman" w:hAnsi="Times New Roman" w:cs="Times New Roman"/>
                <w:sz w:val="20"/>
                <w:szCs w:val="20"/>
              </w:rPr>
              <w:t>jedynie w przypadku stosowania leków anty-HER2).</w:t>
            </w:r>
          </w:p>
          <w:p w14:paraId="5E1C0FBE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rezonans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magnetyczny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mózgu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wskazania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kliniczne)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94C748" w14:textId="77777777" w:rsidR="00127F97" w:rsidRPr="007F197D" w:rsidRDefault="00861346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Wstępne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obrazowe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umożliwić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późniejszą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obiektywną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RECIST.</w:t>
            </w:r>
          </w:p>
          <w:p w14:paraId="67AE1E7F" w14:textId="77777777" w:rsidR="00AE65B9" w:rsidRPr="007F197D" w:rsidRDefault="00AE65B9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4EC65" w14:textId="77777777" w:rsidR="00127F97" w:rsidRPr="007F197D" w:rsidRDefault="00127F97" w:rsidP="00B8464E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0C7D94A5" w14:textId="77777777" w:rsidR="00127F97" w:rsidRPr="007F197D" w:rsidRDefault="00AE65B9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C1BC5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BC5" w:rsidRPr="007F197D">
              <w:rPr>
                <w:rFonts w:ascii="Times New Roman" w:hAnsi="Times New Roman" w:cs="Times New Roman"/>
                <w:sz w:val="20"/>
                <w:szCs w:val="20"/>
              </w:rPr>
              <w:t>laboratoryjne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BC2906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5C07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7EB606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="00555C07" w:rsidRPr="007F197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1A0522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</w:t>
            </w:r>
            <w:r w:rsidR="00555C07" w:rsidRPr="007F197D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643B40F" w14:textId="77777777" w:rsidR="00127F97" w:rsidRPr="007F197D" w:rsidRDefault="00CA2C66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AspA</w:t>
            </w:r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5F5A99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="00555C07" w:rsidRPr="007F197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B236D6E" w14:textId="77777777" w:rsidR="003C057F" w:rsidRPr="007F197D" w:rsidRDefault="003C057F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glukozy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czczo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92A0A99" w14:textId="77777777" w:rsidR="003C057F" w:rsidRPr="007F197D" w:rsidRDefault="003C057F" w:rsidP="00085AF9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hemoglobiny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glikowanej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1843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CE57050" w14:textId="77777777" w:rsidR="00F9775A" w:rsidRPr="007F197D" w:rsidRDefault="00F9775A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estradiolu,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FSH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brakiem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indukowanym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analogów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LHRH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okołomenopauzalnym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CDK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4/6</w:t>
            </w:r>
            <w:r w:rsidR="001C1232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129A02" w14:textId="77777777" w:rsidR="00EF3DAA" w:rsidRPr="007F197D" w:rsidRDefault="00C62C88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rybocyklibu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QTc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ok.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(+/-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dni),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potem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klinicznych)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AB1CC4" w14:textId="77777777" w:rsidR="00C62C88" w:rsidRPr="007F197D" w:rsidRDefault="008B04DB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poziomu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TSH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fT4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EF3DAA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7B3D1B" w14:textId="77777777" w:rsidR="00794B51" w:rsidRPr="007F197D" w:rsidRDefault="00794B51" w:rsidP="005E294F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E40D9A" w14:textId="77777777" w:rsidR="00B817BE" w:rsidRPr="007F197D" w:rsidRDefault="00B817BE" w:rsidP="005E294F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się:</w:t>
            </w:r>
          </w:p>
          <w:p w14:paraId="45EA89C9" w14:textId="77777777" w:rsidR="00B817BE" w:rsidRPr="007F197D" w:rsidRDefault="00B817BE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kolejnym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rytmem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cykli),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wyłącznego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pertuzumabu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F36BE3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6BE3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(podawanych niezależnie lub w formie produktu leczniczego złożonego, zawierającego </w:t>
            </w:r>
            <w:proofErr w:type="spellStart"/>
            <w:r w:rsidR="00F36BE3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pertuzumab</w:t>
            </w:r>
            <w:proofErr w:type="spellEnd"/>
            <w:r w:rsidR="00F36BE3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F36BE3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>trastuzumab</w:t>
            </w:r>
            <w:proofErr w:type="spellEnd"/>
            <w:r w:rsidR="00F36BE3" w:rsidRPr="007F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podawania podskórnego)</w:t>
            </w:r>
            <w:r w:rsidR="00F36BE3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trastuzumabu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inhibitorem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aromataz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B4D0BD" w14:textId="77777777" w:rsidR="00127F97" w:rsidRPr="007F197D" w:rsidRDefault="00127F97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817BE" w:rsidRPr="007F197D">
              <w:rPr>
                <w:rFonts w:ascii="Times New Roman" w:hAnsi="Times New Roman" w:cs="Times New Roman"/>
                <w:sz w:val="20"/>
                <w:szCs w:val="20"/>
              </w:rPr>
              <w:t>emtanzyną</w:t>
            </w:r>
            <w:proofErr w:type="spellEnd"/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>derukstekanem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0B8D201" w14:textId="77777777" w:rsidR="00127F97" w:rsidRPr="007F197D" w:rsidRDefault="008C1BFB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paklitakselu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2C7B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paklitakselem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D5D470E" w14:textId="77777777" w:rsidR="007B1577" w:rsidRPr="007F197D" w:rsidRDefault="00E96108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(cykl 28 dniowy) przez pierwsze 4 cykle i </w:t>
            </w:r>
            <w:r w:rsidR="008468B9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r w:rsidR="008468B9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="008468B9"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klinicznych, ale nie rzadziej </w:t>
            </w:r>
            <w:r w:rsidR="008468B9"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E10B8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co 3 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357518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CDK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F6F" w:rsidRPr="007F197D">
              <w:rPr>
                <w:rFonts w:ascii="Times New Roman" w:hAnsi="Times New Roman" w:cs="Times New Roman"/>
                <w:sz w:val="20"/>
                <w:szCs w:val="20"/>
              </w:rPr>
              <w:t>4/6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E7BC3FF" w14:textId="77777777" w:rsidR="005A68BE" w:rsidRPr="007F197D" w:rsidRDefault="007B1577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oznaczone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57518" w:rsidRPr="007F197D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a)-f)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oznaczone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F6316" w:rsidRPr="007F197D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A40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52D" w:rsidRPr="007F197D">
              <w:rPr>
                <w:rFonts w:ascii="Times New Roman" w:hAnsi="Times New Roman" w:cs="Times New Roman"/>
                <w:sz w:val="20"/>
                <w:szCs w:val="20"/>
              </w:rPr>
              <w:t>oznaczone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52D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052D" w:rsidRPr="007F197D">
              <w:rPr>
                <w:rFonts w:ascii="Times New Roman" w:hAnsi="Times New Roman" w:cs="Times New Roman"/>
                <w:sz w:val="20"/>
                <w:szCs w:val="20"/>
              </w:rPr>
              <w:t>ppkt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52D" w:rsidRPr="007F197D">
              <w:rPr>
                <w:rFonts w:ascii="Times New Roman" w:hAnsi="Times New Roman" w:cs="Times New Roman"/>
                <w:sz w:val="20"/>
                <w:szCs w:val="20"/>
              </w:rPr>
              <w:t>a)-g)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52D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670B"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23D8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23D8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23D8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23D8" w:rsidRPr="007F197D">
              <w:rPr>
                <w:rFonts w:ascii="Times New Roman" w:hAnsi="Times New Roman" w:cs="Times New Roman"/>
                <w:sz w:val="20"/>
                <w:szCs w:val="20"/>
              </w:rPr>
              <w:t>alpelisybem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kapiwasertybem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1AD44B" w14:textId="77777777" w:rsidR="00CE4F32" w:rsidRPr="007F197D" w:rsidRDefault="006246B9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pozostałe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4564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4F2619" w14:textId="77777777" w:rsidR="00EF3DAA" w:rsidRPr="007F197D" w:rsidRDefault="00EF3DAA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sacytuzumabem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gowitekan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C7579A8" w14:textId="77777777" w:rsidR="00FA09B0" w:rsidRPr="007F197D" w:rsidRDefault="00EF3DAA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tukatynibu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9E457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trastuzumabem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kapecytabiną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F32" w:rsidRPr="007F197D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cyklem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95F" w:rsidRPr="007F197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7D210E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C8DD13" w14:textId="77777777" w:rsidR="00EF3DAA" w:rsidRPr="007F197D" w:rsidRDefault="00EF3DAA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cyklem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  <w:r w:rsidR="009E457E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a-e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D600D5" w14:textId="77777777" w:rsidR="00EF3DAA" w:rsidRPr="007F197D" w:rsidRDefault="00EF3DAA" w:rsidP="00B8464E">
            <w:pPr>
              <w:pStyle w:val="Akapitzlist"/>
              <w:numPr>
                <w:ilvl w:val="5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piersi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pembrolizumabem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punkt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5520" w:rsidRPr="007F197D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EAF0E7" w14:textId="77777777" w:rsidR="00127F97" w:rsidRPr="007F197D" w:rsidRDefault="00AE65B9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trzecim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szóstym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(4-6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ostatniej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dawki)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inhibitorów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453" w:rsidRPr="007F197D">
              <w:rPr>
                <w:rFonts w:ascii="Times New Roman" w:hAnsi="Times New Roman" w:cs="Times New Roman"/>
                <w:sz w:val="20"/>
                <w:szCs w:val="20"/>
              </w:rPr>
              <w:t>CDK4/6</w:t>
            </w:r>
            <w:r w:rsidR="00CB1CB3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1CB3"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CB1CB3" w:rsidRPr="007F197D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="00175E6B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34F27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B46C0" w:rsidRPr="007F197D">
              <w:rPr>
                <w:rFonts w:ascii="Times New Roman" w:hAnsi="Times New Roman" w:cs="Times New Roman"/>
                <w:sz w:val="20"/>
                <w:szCs w:val="20"/>
              </w:rPr>
              <w:t>olaparybu</w:t>
            </w:r>
            <w:proofErr w:type="spellEnd"/>
            <w:r w:rsidR="006B35B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B46C0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5E6B" w:rsidRPr="007F197D">
              <w:rPr>
                <w:rFonts w:ascii="Times New Roman" w:hAnsi="Times New Roman" w:cs="Times New Roman"/>
                <w:sz w:val="20"/>
                <w:szCs w:val="20"/>
              </w:rPr>
              <w:t>sacytuzumabu</w:t>
            </w:r>
            <w:proofErr w:type="spellEnd"/>
            <w:r w:rsidR="00175E6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5E6B" w:rsidRPr="007F197D">
              <w:rPr>
                <w:rFonts w:ascii="Times New Roman" w:hAnsi="Times New Roman" w:cs="Times New Roman"/>
                <w:sz w:val="20"/>
                <w:szCs w:val="20"/>
              </w:rPr>
              <w:t>gowitekanu</w:t>
            </w:r>
            <w:proofErr w:type="spellEnd"/>
            <w:r w:rsidR="006B35BD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6B35BD" w:rsidRPr="007F197D">
              <w:rPr>
                <w:rFonts w:ascii="Times New Roman" w:hAnsi="Times New Roman" w:cs="Times New Roman"/>
                <w:sz w:val="20"/>
                <w:szCs w:val="20"/>
              </w:rPr>
              <w:t>pembrolizumabu</w:t>
            </w:r>
            <w:proofErr w:type="spellEnd"/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5289BC6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EKG,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ECA3D8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ECHO,</w:t>
            </w:r>
          </w:p>
          <w:p w14:paraId="6E564FAF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konsultacja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kardiologiczna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AB2520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03BF1F4" w14:textId="77777777" w:rsidR="00F1705D" w:rsidRPr="007F197D" w:rsidRDefault="00AB2520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TK klatki piersiowej – w zależności od wskazań klinicznych lub podejrzenia śródmiąższowego zapalenia płuc</w:t>
            </w:r>
            <w:r w:rsidR="00E517B2"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6BDCE1F" w14:textId="77777777" w:rsidR="00127F97" w:rsidRPr="007F197D" w:rsidRDefault="00AE65B9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899" w:rsidRPr="007F197D">
              <w:rPr>
                <w:rFonts w:ascii="Times New Roman" w:hAnsi="Times New Roman" w:cs="Times New Roman"/>
                <w:sz w:val="20"/>
                <w:szCs w:val="20"/>
              </w:rPr>
              <w:t>obrazowe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4346" w:rsidRPr="007F197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4346" w:rsidRPr="007F197D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4346" w:rsidRPr="007F197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A153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u chorych z dobrą kontrolą choroby po 2 latach stosowania leczenia – nie rzadziej niż co 3-6 miesięcy –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wybór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metody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wyjściowej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metody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7F97" w:rsidRPr="007F197D">
              <w:rPr>
                <w:rFonts w:ascii="Times New Roman" w:hAnsi="Times New Roman" w:cs="Times New Roman"/>
                <w:sz w:val="20"/>
                <w:szCs w:val="20"/>
              </w:rPr>
              <w:t>obrazowej)</w:t>
            </w:r>
            <w:r w:rsidR="009F3C07" w:rsidRPr="007F197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A9942C0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jamy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miednicy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wymiarów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zmian)</w:t>
            </w:r>
            <w:r w:rsidR="006573B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4A2662C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RTG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wymiarów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zmian),</w:t>
            </w:r>
          </w:p>
          <w:p w14:paraId="55366847" w14:textId="77777777" w:rsidR="00127F97" w:rsidRPr="007F197D" w:rsidRDefault="00127F97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scyntygrafia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koś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inne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obrazowe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B35" w:rsidRPr="007F197D">
              <w:rPr>
                <w:rFonts w:ascii="Times New Roman" w:hAnsi="Times New Roman" w:cs="Times New Roman"/>
                <w:sz w:val="20"/>
                <w:szCs w:val="20"/>
              </w:rPr>
              <w:t>leczenie)</w:t>
            </w:r>
            <w:r w:rsidR="00D46E83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34B43FC" w14:textId="77777777" w:rsidR="00D46E83" w:rsidRPr="007F197D" w:rsidRDefault="00D46E83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hemoglobiny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glikowanej</w:t>
            </w:r>
            <w:proofErr w:type="spellEnd"/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alpelisybu</w:t>
            </w:r>
            <w:proofErr w:type="spellEnd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AE65B9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7BEC5F" w14:textId="77777777" w:rsidR="00E96108" w:rsidRPr="007F197D" w:rsidRDefault="00E96108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estradiolu,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FSH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brakiem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miesiączki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indukowanym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chemioterapią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stosowaniem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analogów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LHRH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esie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okołomenopauzalnym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inhibitorami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CDK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C2D" w:rsidRPr="007F197D">
              <w:rPr>
                <w:rFonts w:ascii="Times New Roman" w:hAnsi="Times New Roman" w:cs="Times New Roman"/>
                <w:sz w:val="20"/>
                <w:szCs w:val="20"/>
              </w:rPr>
              <w:t>4/6</w:t>
            </w:r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proofErr w:type="spellStart"/>
            <w:r w:rsidR="00085AF9" w:rsidRPr="007F197D">
              <w:rPr>
                <w:rFonts w:ascii="Times New Roman" w:hAnsi="Times New Roman" w:cs="Times New Roman"/>
                <w:sz w:val="20"/>
                <w:szCs w:val="20"/>
              </w:rPr>
              <w:t>kapiwasertybu</w:t>
            </w:r>
            <w:proofErr w:type="spellEnd"/>
            <w:r w:rsidR="006573BD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27B97A" w14:textId="77777777" w:rsidR="00861346" w:rsidRPr="007F197D" w:rsidRDefault="00BF1D1D" w:rsidP="00B8464E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tomografia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komputerowa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rezonans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magnetyczny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mózgu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(jedynie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chore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przerzutami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mózgu)</w:t>
            </w:r>
            <w:r w:rsidR="006573BD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03434F" w14:textId="77777777" w:rsidR="00861346" w:rsidRPr="007F197D" w:rsidRDefault="00861346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39D3D6" w14:textId="77777777" w:rsidR="00861346" w:rsidRPr="007F197D" w:rsidRDefault="00861346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dopuszcza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wykonywanie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obrazowych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koniecznych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aktualnych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RECIST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klinicznej.</w:t>
            </w:r>
          </w:p>
          <w:p w14:paraId="0E80A40B" w14:textId="77777777" w:rsidR="00861346" w:rsidRPr="007F197D" w:rsidRDefault="00861346" w:rsidP="005E294F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1F1AA" w14:textId="77777777" w:rsidR="00861346" w:rsidRPr="007F197D" w:rsidRDefault="00861346" w:rsidP="005E294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wykorzystaniem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metody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identycznej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wykorzystanej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kwalifikowania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49410563" w14:textId="77777777" w:rsidR="003C02AA" w:rsidRPr="007F197D" w:rsidRDefault="003C02AA" w:rsidP="005E294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Na podstawie ww. badań w celu monitorowania skuteczności leczenia lekarz prowadzący określa dla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indywidualnego pacjenta wskaźniki odpowiedzi na leczenie, w tym: </w:t>
            </w:r>
          </w:p>
          <w:p w14:paraId="5E787FE7" w14:textId="77777777" w:rsidR="003C02AA" w:rsidRPr="007F197D" w:rsidRDefault="003C02AA" w:rsidP="00B8464E">
            <w:pPr>
              <w:pStyle w:val="Akapitzlist"/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całkowitą (CR) lub częściową odpowiedź (PR) na leczenie,</w:t>
            </w:r>
          </w:p>
          <w:p w14:paraId="4FCFB20F" w14:textId="77777777" w:rsidR="00541D3A" w:rsidRPr="007F197D" w:rsidRDefault="003C02AA" w:rsidP="00B8464E">
            <w:pPr>
              <w:pStyle w:val="Akapitzlist"/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ab/>
              <w:t>stabilizację (SD)</w:t>
            </w:r>
            <w:r w:rsidR="00A80C64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DEECDED" w14:textId="77777777" w:rsidR="003C02AA" w:rsidRPr="007F197D" w:rsidRDefault="003C02AA" w:rsidP="00B8464E">
            <w:pPr>
              <w:pStyle w:val="Akapitzlist"/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progresję choroby (PD),</w:t>
            </w:r>
          </w:p>
          <w:p w14:paraId="7D5EED30" w14:textId="77777777" w:rsidR="00957268" w:rsidRPr="007F197D" w:rsidRDefault="003C02AA" w:rsidP="00B8464E">
            <w:pPr>
              <w:pStyle w:val="Akapitzlist"/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ab/>
              <w:t>czas do progresji (PFS).</w:t>
            </w:r>
          </w:p>
          <w:p w14:paraId="3DBE4073" w14:textId="77777777" w:rsidR="00541D3A" w:rsidRPr="007F197D" w:rsidRDefault="00541D3A" w:rsidP="005E2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BB58EA" w14:textId="77777777" w:rsidR="005A38EC" w:rsidRPr="007F197D" w:rsidRDefault="005A38EC" w:rsidP="00B8464E">
            <w:pPr>
              <w:pStyle w:val="Akapitzlist"/>
              <w:numPr>
                <w:ilvl w:val="0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8B04DB"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1C4EDA62" w14:textId="77777777" w:rsidR="006C5460" w:rsidRPr="007F197D" w:rsidRDefault="009F3C07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81C9F1F" w14:textId="77777777" w:rsidR="006208CF" w:rsidRPr="007F197D" w:rsidRDefault="006208CF" w:rsidP="00B8464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uzupełnianie danych zawartych w elektronicznym systemie monitorowania programów lekowych, w tym również parametrów dotyczących skuteczności leczenia (całkowita (CR) lub częściowa odpowiedz (PR), stabilizacja (SD)</w:t>
            </w:r>
            <w:r w:rsidR="00A80C64" w:rsidRPr="007F197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progresja choroby (PD) oraz czas do progresji (PFS)), dostępnym za pomocą aplikacji internetowej udostępnionej przez OW NFZ, z częstotliwością zgodną z opisem programu oraz na zakończenie leczenia;</w:t>
            </w:r>
          </w:p>
          <w:p w14:paraId="1D11209C" w14:textId="77777777" w:rsidR="005A38EC" w:rsidRPr="007F197D" w:rsidRDefault="009F3C07" w:rsidP="00B8464E">
            <w:pPr>
              <w:pStyle w:val="Akapitzlist"/>
              <w:numPr>
                <w:ilvl w:val="3"/>
                <w:numId w:val="6"/>
              </w:numPr>
              <w:autoSpaceDE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rzekazywanie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8B04DB" w:rsidRPr="007F19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197D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5A38EC" w:rsidRPr="007F19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CA1C02A" w14:textId="77777777" w:rsidR="00104C31" w:rsidRPr="007F197D" w:rsidRDefault="00104C31" w:rsidP="00E7571F"/>
    <w:sectPr w:rsidR="00104C31" w:rsidRPr="007F197D" w:rsidSect="003C345F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1841C" w14:textId="77777777" w:rsidR="008E0E1E" w:rsidRPr="00E7291E" w:rsidRDefault="008E0E1E" w:rsidP="00E30CF4">
      <w:pPr>
        <w:spacing w:after="0" w:line="240" w:lineRule="auto"/>
      </w:pPr>
      <w:r w:rsidRPr="00E7291E">
        <w:separator/>
      </w:r>
    </w:p>
  </w:endnote>
  <w:endnote w:type="continuationSeparator" w:id="0">
    <w:p w14:paraId="2C96CEA6" w14:textId="77777777" w:rsidR="008E0E1E" w:rsidRPr="00E7291E" w:rsidRDefault="008E0E1E" w:rsidP="00E30CF4">
      <w:pPr>
        <w:spacing w:after="0" w:line="240" w:lineRule="auto"/>
      </w:pPr>
      <w:r w:rsidRPr="00E729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E9FAB" w14:textId="77777777" w:rsidR="008E0E1E" w:rsidRPr="00E7291E" w:rsidRDefault="008E0E1E" w:rsidP="00E30CF4">
      <w:pPr>
        <w:spacing w:after="0" w:line="240" w:lineRule="auto"/>
      </w:pPr>
      <w:r w:rsidRPr="00E7291E">
        <w:separator/>
      </w:r>
    </w:p>
  </w:footnote>
  <w:footnote w:type="continuationSeparator" w:id="0">
    <w:p w14:paraId="75E05EFD" w14:textId="77777777" w:rsidR="008E0E1E" w:rsidRPr="00E7291E" w:rsidRDefault="008E0E1E" w:rsidP="00E30CF4">
      <w:pPr>
        <w:spacing w:after="0" w:line="240" w:lineRule="auto"/>
      </w:pPr>
      <w:r w:rsidRPr="00E7291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3296"/>
    <w:multiLevelType w:val="hybridMultilevel"/>
    <w:tmpl w:val="048E02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9F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20636A8"/>
    <w:multiLevelType w:val="hybridMultilevel"/>
    <w:tmpl w:val="B6988BE0"/>
    <w:lvl w:ilvl="0" w:tplc="04150017">
      <w:start w:val="1"/>
      <w:numFmt w:val="lowerLetter"/>
      <w:lvlText w:val="%1)"/>
      <w:lvlJc w:val="left"/>
      <w:pPr>
        <w:ind w:left="947" w:hanging="360"/>
      </w:p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6EEE392A">
      <w:start w:val="1"/>
      <w:numFmt w:val="lowerLetter"/>
      <w:suff w:val="space"/>
      <w:lvlText w:val="%5)"/>
      <w:lvlJc w:val="left"/>
      <w:pPr>
        <w:ind w:left="227" w:firstLine="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13A8354D"/>
    <w:multiLevelType w:val="hybridMultilevel"/>
    <w:tmpl w:val="F7F04F28"/>
    <w:lvl w:ilvl="0" w:tplc="E7B2179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327742"/>
    <w:multiLevelType w:val="hybridMultilevel"/>
    <w:tmpl w:val="0CCE7E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77C4FB84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05BF7"/>
    <w:multiLevelType w:val="hybridMultilevel"/>
    <w:tmpl w:val="BB5EBF6A"/>
    <w:lvl w:ilvl="0" w:tplc="D29C534E">
      <w:start w:val="1"/>
      <w:numFmt w:val="decimal"/>
      <w:lvlText w:val="%1)"/>
      <w:lvlJc w:val="left"/>
      <w:pPr>
        <w:ind w:left="1020" w:hanging="360"/>
      </w:pPr>
    </w:lvl>
    <w:lvl w:ilvl="1" w:tplc="32125B52">
      <w:start w:val="1"/>
      <w:numFmt w:val="decimal"/>
      <w:lvlText w:val="%2)"/>
      <w:lvlJc w:val="left"/>
      <w:pPr>
        <w:ind w:left="1020" w:hanging="360"/>
      </w:pPr>
    </w:lvl>
    <w:lvl w:ilvl="2" w:tplc="C194F6DC">
      <w:start w:val="1"/>
      <w:numFmt w:val="decimal"/>
      <w:lvlText w:val="%3)"/>
      <w:lvlJc w:val="left"/>
      <w:pPr>
        <w:ind w:left="1020" w:hanging="360"/>
      </w:pPr>
    </w:lvl>
    <w:lvl w:ilvl="3" w:tplc="F1BC584E">
      <w:start w:val="1"/>
      <w:numFmt w:val="decimal"/>
      <w:lvlText w:val="%4)"/>
      <w:lvlJc w:val="left"/>
      <w:pPr>
        <w:ind w:left="1020" w:hanging="360"/>
      </w:pPr>
    </w:lvl>
    <w:lvl w:ilvl="4" w:tplc="23167E6C">
      <w:start w:val="1"/>
      <w:numFmt w:val="decimal"/>
      <w:lvlText w:val="%5)"/>
      <w:lvlJc w:val="left"/>
      <w:pPr>
        <w:ind w:left="1020" w:hanging="360"/>
      </w:pPr>
    </w:lvl>
    <w:lvl w:ilvl="5" w:tplc="6386677A">
      <w:start w:val="1"/>
      <w:numFmt w:val="decimal"/>
      <w:lvlText w:val="%6)"/>
      <w:lvlJc w:val="left"/>
      <w:pPr>
        <w:ind w:left="1020" w:hanging="360"/>
      </w:pPr>
    </w:lvl>
    <w:lvl w:ilvl="6" w:tplc="4224E6D8">
      <w:start w:val="1"/>
      <w:numFmt w:val="decimal"/>
      <w:lvlText w:val="%7)"/>
      <w:lvlJc w:val="left"/>
      <w:pPr>
        <w:ind w:left="1020" w:hanging="360"/>
      </w:pPr>
    </w:lvl>
    <w:lvl w:ilvl="7" w:tplc="B23EAB42">
      <w:start w:val="1"/>
      <w:numFmt w:val="decimal"/>
      <w:lvlText w:val="%8)"/>
      <w:lvlJc w:val="left"/>
      <w:pPr>
        <w:ind w:left="1020" w:hanging="360"/>
      </w:pPr>
    </w:lvl>
    <w:lvl w:ilvl="8" w:tplc="7F50B796">
      <w:start w:val="1"/>
      <w:numFmt w:val="decimal"/>
      <w:lvlText w:val="%9)"/>
      <w:lvlJc w:val="left"/>
      <w:pPr>
        <w:ind w:left="1020" w:hanging="360"/>
      </w:pPr>
    </w:lvl>
  </w:abstractNum>
  <w:abstractNum w:abstractNumId="6" w15:restartNumberingAfterBreak="0">
    <w:nsid w:val="14802B3F"/>
    <w:multiLevelType w:val="hybridMultilevel"/>
    <w:tmpl w:val="8F9CC440"/>
    <w:lvl w:ilvl="0" w:tplc="E7B2179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155F01E3"/>
    <w:multiLevelType w:val="hybridMultilevel"/>
    <w:tmpl w:val="04B29F5A"/>
    <w:lvl w:ilvl="0" w:tplc="FFFFFFFF">
      <w:start w:val="1"/>
      <w:numFmt w:val="lowerLetter"/>
      <w:suff w:val="space"/>
      <w:lvlText w:val="%1)"/>
      <w:lvlJc w:val="left"/>
      <w:pPr>
        <w:ind w:left="11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19BE3290"/>
    <w:multiLevelType w:val="multilevel"/>
    <w:tmpl w:val="196E019A"/>
    <w:lvl w:ilvl="0">
      <w:start w:val="2"/>
      <w:numFmt w:val="decimal"/>
      <w:lvlText w:val="%1."/>
      <w:lvlJc w:val="left"/>
      <w:pPr>
        <w:ind w:left="292" w:hanging="2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9"/>
        <w:szCs w:val="19"/>
        <w:lang w:val="pl-PL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4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2"/>
        <w:sz w:val="19"/>
        <w:szCs w:val="19"/>
        <w:lang w:val="pl-PL" w:eastAsia="en-US" w:bidi="ar-SA"/>
      </w:rPr>
    </w:lvl>
    <w:lvl w:ilvl="2">
      <w:start w:val="1"/>
      <w:numFmt w:val="lowerLetter"/>
      <w:lvlText w:val="%3)"/>
      <w:lvlJc w:val="left"/>
      <w:pPr>
        <w:ind w:left="743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pl-PL" w:eastAsia="en-US" w:bidi="ar-SA"/>
      </w:rPr>
    </w:lvl>
    <w:lvl w:ilvl="3">
      <w:numFmt w:val="bullet"/>
      <w:lvlText w:val="•"/>
      <w:lvlJc w:val="left"/>
      <w:pPr>
        <w:ind w:left="1180" w:hanging="21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1620" w:hanging="21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2061" w:hanging="21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2501" w:hanging="21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2941" w:hanging="21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3382" w:hanging="210"/>
      </w:pPr>
      <w:rPr>
        <w:rFonts w:hint="default"/>
        <w:lang w:val="pl-PL" w:eastAsia="en-US" w:bidi="ar-SA"/>
      </w:rPr>
    </w:lvl>
  </w:abstractNum>
  <w:abstractNum w:abstractNumId="9" w15:restartNumberingAfterBreak="0">
    <w:nsid w:val="1A4914A1"/>
    <w:multiLevelType w:val="multilevel"/>
    <w:tmpl w:val="198C849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48114D4"/>
    <w:multiLevelType w:val="hybridMultilevel"/>
    <w:tmpl w:val="EBE0B0DA"/>
    <w:lvl w:ilvl="0" w:tplc="2B24586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666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A4B2F77"/>
    <w:multiLevelType w:val="hybridMultilevel"/>
    <w:tmpl w:val="7AA47F3A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2ADA3537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317D3FD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4F963ED"/>
    <w:multiLevelType w:val="hybridMultilevel"/>
    <w:tmpl w:val="04B29F5A"/>
    <w:lvl w:ilvl="0" w:tplc="5B2E5AAE">
      <w:start w:val="1"/>
      <w:numFmt w:val="lowerLetter"/>
      <w:suff w:val="space"/>
      <w:lvlText w:val="%1)"/>
      <w:lvlJc w:val="left"/>
      <w:pPr>
        <w:ind w:left="11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3702760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8944CC1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9F70ACB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DF635FC"/>
    <w:multiLevelType w:val="hybridMultilevel"/>
    <w:tmpl w:val="930A5ED0"/>
    <w:lvl w:ilvl="0" w:tplc="CA603F8A">
      <w:start w:val="1"/>
      <w:numFmt w:val="decimal"/>
      <w:lvlText w:val="%1)"/>
      <w:lvlJc w:val="left"/>
      <w:pPr>
        <w:ind w:left="1020" w:hanging="360"/>
      </w:pPr>
    </w:lvl>
    <w:lvl w:ilvl="1" w:tplc="FABED6FA">
      <w:start w:val="1"/>
      <w:numFmt w:val="decimal"/>
      <w:lvlText w:val="%2)"/>
      <w:lvlJc w:val="left"/>
      <w:pPr>
        <w:ind w:left="1020" w:hanging="360"/>
      </w:pPr>
    </w:lvl>
    <w:lvl w:ilvl="2" w:tplc="F67ED698">
      <w:start w:val="1"/>
      <w:numFmt w:val="decimal"/>
      <w:lvlText w:val="%3)"/>
      <w:lvlJc w:val="left"/>
      <w:pPr>
        <w:ind w:left="1020" w:hanging="360"/>
      </w:pPr>
    </w:lvl>
    <w:lvl w:ilvl="3" w:tplc="43F4419A">
      <w:start w:val="1"/>
      <w:numFmt w:val="decimal"/>
      <w:lvlText w:val="%4)"/>
      <w:lvlJc w:val="left"/>
      <w:pPr>
        <w:ind w:left="1020" w:hanging="360"/>
      </w:pPr>
    </w:lvl>
    <w:lvl w:ilvl="4" w:tplc="3D4C176A">
      <w:start w:val="1"/>
      <w:numFmt w:val="decimal"/>
      <w:lvlText w:val="%5)"/>
      <w:lvlJc w:val="left"/>
      <w:pPr>
        <w:ind w:left="1020" w:hanging="360"/>
      </w:pPr>
    </w:lvl>
    <w:lvl w:ilvl="5" w:tplc="7AD48386">
      <w:start w:val="1"/>
      <w:numFmt w:val="decimal"/>
      <w:lvlText w:val="%6)"/>
      <w:lvlJc w:val="left"/>
      <w:pPr>
        <w:ind w:left="1020" w:hanging="360"/>
      </w:pPr>
    </w:lvl>
    <w:lvl w:ilvl="6" w:tplc="170A50AA">
      <w:start w:val="1"/>
      <w:numFmt w:val="decimal"/>
      <w:lvlText w:val="%7)"/>
      <w:lvlJc w:val="left"/>
      <w:pPr>
        <w:ind w:left="1020" w:hanging="360"/>
      </w:pPr>
    </w:lvl>
    <w:lvl w:ilvl="7" w:tplc="07F2122E">
      <w:start w:val="1"/>
      <w:numFmt w:val="decimal"/>
      <w:lvlText w:val="%8)"/>
      <w:lvlJc w:val="left"/>
      <w:pPr>
        <w:ind w:left="1020" w:hanging="360"/>
      </w:pPr>
    </w:lvl>
    <w:lvl w:ilvl="8" w:tplc="B2D877BA">
      <w:start w:val="1"/>
      <w:numFmt w:val="decimal"/>
      <w:lvlText w:val="%9)"/>
      <w:lvlJc w:val="left"/>
      <w:pPr>
        <w:ind w:left="1020" w:hanging="360"/>
      </w:pPr>
    </w:lvl>
  </w:abstractNum>
  <w:abstractNum w:abstractNumId="20" w15:restartNumberingAfterBreak="0">
    <w:nsid w:val="41976F6F"/>
    <w:multiLevelType w:val="hybridMultilevel"/>
    <w:tmpl w:val="90EAE7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E7B2179C">
      <w:start w:val="1"/>
      <w:numFmt w:val="bullet"/>
      <w:lvlText w:val=""/>
      <w:lvlJc w:val="left"/>
      <w:pPr>
        <w:ind w:left="2688" w:hanging="36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4020E2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4DA45D5E"/>
    <w:multiLevelType w:val="multilevel"/>
    <w:tmpl w:val="0A84EA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DEB6DC3"/>
    <w:multiLevelType w:val="hybridMultilevel"/>
    <w:tmpl w:val="5F5A5CCA"/>
    <w:lvl w:ilvl="0" w:tplc="AA065046">
      <w:start w:val="8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C2DC4"/>
    <w:multiLevelType w:val="hybridMultilevel"/>
    <w:tmpl w:val="230E3ED2"/>
    <w:lvl w:ilvl="0" w:tplc="90F2212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F19B3"/>
    <w:multiLevelType w:val="multilevel"/>
    <w:tmpl w:val="DA78E09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5664C65"/>
    <w:multiLevelType w:val="hybridMultilevel"/>
    <w:tmpl w:val="04B29F5A"/>
    <w:lvl w:ilvl="0" w:tplc="FFFFFFFF">
      <w:start w:val="1"/>
      <w:numFmt w:val="lowerLetter"/>
      <w:suff w:val="space"/>
      <w:lvlText w:val="%1)"/>
      <w:lvlJc w:val="left"/>
      <w:pPr>
        <w:ind w:left="11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D2753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AB6284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CC634A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70803497"/>
    <w:multiLevelType w:val="multilevel"/>
    <w:tmpl w:val="65B2CFA8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76700461"/>
    <w:multiLevelType w:val="multilevel"/>
    <w:tmpl w:val="65B2CFA8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767C4D7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A3F0D74"/>
    <w:multiLevelType w:val="multilevel"/>
    <w:tmpl w:val="3D0EC2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AF738D2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CDD02F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16068339">
    <w:abstractNumId w:val="17"/>
  </w:num>
  <w:num w:numId="2" w16cid:durableId="1255473669">
    <w:abstractNumId w:val="1"/>
  </w:num>
  <w:num w:numId="3" w16cid:durableId="2130969317">
    <w:abstractNumId w:val="27"/>
  </w:num>
  <w:num w:numId="4" w16cid:durableId="49113213">
    <w:abstractNumId w:val="31"/>
  </w:num>
  <w:num w:numId="5" w16cid:durableId="1594507252">
    <w:abstractNumId w:val="30"/>
  </w:num>
  <w:num w:numId="6" w16cid:durableId="1224411677">
    <w:abstractNumId w:val="9"/>
  </w:num>
  <w:num w:numId="7" w16cid:durableId="975569517">
    <w:abstractNumId w:val="25"/>
  </w:num>
  <w:num w:numId="8" w16cid:durableId="70742710">
    <w:abstractNumId w:val="13"/>
  </w:num>
  <w:num w:numId="9" w16cid:durableId="1802963746">
    <w:abstractNumId w:val="33"/>
  </w:num>
  <w:num w:numId="10" w16cid:durableId="875892513">
    <w:abstractNumId w:val="21"/>
  </w:num>
  <w:num w:numId="11" w16cid:durableId="1235318428">
    <w:abstractNumId w:val="28"/>
  </w:num>
  <w:num w:numId="12" w16cid:durableId="46414048">
    <w:abstractNumId w:val="14"/>
  </w:num>
  <w:num w:numId="13" w16cid:durableId="1510872862">
    <w:abstractNumId w:val="32"/>
  </w:num>
  <w:num w:numId="14" w16cid:durableId="650256721">
    <w:abstractNumId w:val="34"/>
  </w:num>
  <w:num w:numId="15" w16cid:durableId="1146624778">
    <w:abstractNumId w:val="35"/>
  </w:num>
  <w:num w:numId="16" w16cid:durableId="1515848901">
    <w:abstractNumId w:val="18"/>
  </w:num>
  <w:num w:numId="17" w16cid:durableId="711460000">
    <w:abstractNumId w:val="11"/>
  </w:num>
  <w:num w:numId="18" w16cid:durableId="775179259">
    <w:abstractNumId w:val="16"/>
  </w:num>
  <w:num w:numId="19" w16cid:durableId="45303479">
    <w:abstractNumId w:val="2"/>
  </w:num>
  <w:num w:numId="20" w16cid:durableId="1808469263">
    <w:abstractNumId w:val="3"/>
  </w:num>
  <w:num w:numId="21" w16cid:durableId="773328279">
    <w:abstractNumId w:val="22"/>
  </w:num>
  <w:num w:numId="22" w16cid:durableId="2038114123">
    <w:abstractNumId w:val="6"/>
  </w:num>
  <w:num w:numId="23" w16cid:durableId="643118039">
    <w:abstractNumId w:val="23"/>
  </w:num>
  <w:num w:numId="24" w16cid:durableId="431509761">
    <w:abstractNumId w:val="24"/>
  </w:num>
  <w:num w:numId="25" w16cid:durableId="2012952949">
    <w:abstractNumId w:val="8"/>
  </w:num>
  <w:num w:numId="26" w16cid:durableId="779571935">
    <w:abstractNumId w:val="10"/>
  </w:num>
  <w:num w:numId="27" w16cid:durableId="75708429">
    <w:abstractNumId w:val="4"/>
  </w:num>
  <w:num w:numId="28" w16cid:durableId="507721005">
    <w:abstractNumId w:val="12"/>
  </w:num>
  <w:num w:numId="29" w16cid:durableId="1775398389">
    <w:abstractNumId w:val="15"/>
  </w:num>
  <w:num w:numId="30" w16cid:durableId="534150407">
    <w:abstractNumId w:val="20"/>
  </w:num>
  <w:num w:numId="31" w16cid:durableId="1640106565">
    <w:abstractNumId w:val="0"/>
  </w:num>
  <w:num w:numId="32" w16cid:durableId="332225811">
    <w:abstractNumId w:val="5"/>
  </w:num>
  <w:num w:numId="33" w16cid:durableId="600768619">
    <w:abstractNumId w:val="19"/>
  </w:num>
  <w:num w:numId="34" w16cid:durableId="1203321805">
    <w:abstractNumId w:val="29"/>
  </w:num>
  <w:num w:numId="35" w16cid:durableId="123429625">
    <w:abstractNumId w:val="7"/>
  </w:num>
  <w:num w:numId="36" w16cid:durableId="2010063879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B"/>
    <w:rsid w:val="000000B6"/>
    <w:rsid w:val="00000263"/>
    <w:rsid w:val="00001891"/>
    <w:rsid w:val="00003D64"/>
    <w:rsid w:val="00003FDE"/>
    <w:rsid w:val="000042CB"/>
    <w:rsid w:val="00007894"/>
    <w:rsid w:val="00011428"/>
    <w:rsid w:val="000128B8"/>
    <w:rsid w:val="00012FCD"/>
    <w:rsid w:val="0001703F"/>
    <w:rsid w:val="000179EB"/>
    <w:rsid w:val="00017E74"/>
    <w:rsid w:val="00024393"/>
    <w:rsid w:val="000243EF"/>
    <w:rsid w:val="000252C9"/>
    <w:rsid w:val="0002535A"/>
    <w:rsid w:val="00031AAF"/>
    <w:rsid w:val="00032EC5"/>
    <w:rsid w:val="00033A6E"/>
    <w:rsid w:val="0003422A"/>
    <w:rsid w:val="00034D20"/>
    <w:rsid w:val="0003511C"/>
    <w:rsid w:val="000368A8"/>
    <w:rsid w:val="000373EB"/>
    <w:rsid w:val="00040B70"/>
    <w:rsid w:val="00040C5C"/>
    <w:rsid w:val="00043A74"/>
    <w:rsid w:val="00043B62"/>
    <w:rsid w:val="000453C9"/>
    <w:rsid w:val="00046005"/>
    <w:rsid w:val="000515FD"/>
    <w:rsid w:val="00054321"/>
    <w:rsid w:val="0005639B"/>
    <w:rsid w:val="00060DB6"/>
    <w:rsid w:val="0006500B"/>
    <w:rsid w:val="00074ED4"/>
    <w:rsid w:val="00080C2A"/>
    <w:rsid w:val="000814DC"/>
    <w:rsid w:val="0008395E"/>
    <w:rsid w:val="0008571E"/>
    <w:rsid w:val="00085755"/>
    <w:rsid w:val="00085988"/>
    <w:rsid w:val="00085AF9"/>
    <w:rsid w:val="00086379"/>
    <w:rsid w:val="00087463"/>
    <w:rsid w:val="00087555"/>
    <w:rsid w:val="000878BC"/>
    <w:rsid w:val="0009022D"/>
    <w:rsid w:val="00090F70"/>
    <w:rsid w:val="00092BE2"/>
    <w:rsid w:val="00093B53"/>
    <w:rsid w:val="00094ED5"/>
    <w:rsid w:val="000A09AF"/>
    <w:rsid w:val="000A0CB0"/>
    <w:rsid w:val="000A3C7C"/>
    <w:rsid w:val="000A51A7"/>
    <w:rsid w:val="000A59EA"/>
    <w:rsid w:val="000A7E4C"/>
    <w:rsid w:val="000B0278"/>
    <w:rsid w:val="000B21CF"/>
    <w:rsid w:val="000B585F"/>
    <w:rsid w:val="000B5DDF"/>
    <w:rsid w:val="000B5E96"/>
    <w:rsid w:val="000B5F9E"/>
    <w:rsid w:val="000B6C23"/>
    <w:rsid w:val="000C1E68"/>
    <w:rsid w:val="000C2090"/>
    <w:rsid w:val="000C437C"/>
    <w:rsid w:val="000C43E9"/>
    <w:rsid w:val="000C5CE6"/>
    <w:rsid w:val="000C75B6"/>
    <w:rsid w:val="000D0E52"/>
    <w:rsid w:val="000D348D"/>
    <w:rsid w:val="000D5778"/>
    <w:rsid w:val="000D7D2D"/>
    <w:rsid w:val="000E2D39"/>
    <w:rsid w:val="000F39D8"/>
    <w:rsid w:val="000F5365"/>
    <w:rsid w:val="00100F8E"/>
    <w:rsid w:val="00102A4A"/>
    <w:rsid w:val="00103042"/>
    <w:rsid w:val="00103604"/>
    <w:rsid w:val="00104C31"/>
    <w:rsid w:val="00107B77"/>
    <w:rsid w:val="0011027A"/>
    <w:rsid w:val="001104C4"/>
    <w:rsid w:val="0011175F"/>
    <w:rsid w:val="00111DFD"/>
    <w:rsid w:val="00111F21"/>
    <w:rsid w:val="0011381A"/>
    <w:rsid w:val="00117E26"/>
    <w:rsid w:val="00120A38"/>
    <w:rsid w:val="00121A99"/>
    <w:rsid w:val="00123226"/>
    <w:rsid w:val="001232F8"/>
    <w:rsid w:val="00123451"/>
    <w:rsid w:val="0012493A"/>
    <w:rsid w:val="001250B4"/>
    <w:rsid w:val="00127F97"/>
    <w:rsid w:val="00132EAC"/>
    <w:rsid w:val="0013362B"/>
    <w:rsid w:val="001341F0"/>
    <w:rsid w:val="001369C0"/>
    <w:rsid w:val="001372B4"/>
    <w:rsid w:val="001411DF"/>
    <w:rsid w:val="00141AA4"/>
    <w:rsid w:val="0014213C"/>
    <w:rsid w:val="001423D8"/>
    <w:rsid w:val="00145133"/>
    <w:rsid w:val="001454DD"/>
    <w:rsid w:val="001606E1"/>
    <w:rsid w:val="0016207C"/>
    <w:rsid w:val="00164E80"/>
    <w:rsid w:val="0016571B"/>
    <w:rsid w:val="0016703E"/>
    <w:rsid w:val="001707CC"/>
    <w:rsid w:val="00170803"/>
    <w:rsid w:val="0017268F"/>
    <w:rsid w:val="001730CE"/>
    <w:rsid w:val="001746F7"/>
    <w:rsid w:val="001750AD"/>
    <w:rsid w:val="00175E6B"/>
    <w:rsid w:val="0018125B"/>
    <w:rsid w:val="00181742"/>
    <w:rsid w:val="00190FF3"/>
    <w:rsid w:val="00191941"/>
    <w:rsid w:val="00195EAC"/>
    <w:rsid w:val="001968AD"/>
    <w:rsid w:val="001A336C"/>
    <w:rsid w:val="001A7C5F"/>
    <w:rsid w:val="001B277F"/>
    <w:rsid w:val="001B4529"/>
    <w:rsid w:val="001B5DB2"/>
    <w:rsid w:val="001C1232"/>
    <w:rsid w:val="001C30BB"/>
    <w:rsid w:val="001C3B36"/>
    <w:rsid w:val="001C5F00"/>
    <w:rsid w:val="001D167A"/>
    <w:rsid w:val="001E0A1F"/>
    <w:rsid w:val="001E16D5"/>
    <w:rsid w:val="001E19D2"/>
    <w:rsid w:val="001E2892"/>
    <w:rsid w:val="001E3AE0"/>
    <w:rsid w:val="001E3CF1"/>
    <w:rsid w:val="001E47C7"/>
    <w:rsid w:val="001E535D"/>
    <w:rsid w:val="001E63DA"/>
    <w:rsid w:val="001E6CE7"/>
    <w:rsid w:val="001F417B"/>
    <w:rsid w:val="0020079E"/>
    <w:rsid w:val="00202A04"/>
    <w:rsid w:val="002129EB"/>
    <w:rsid w:val="0021509B"/>
    <w:rsid w:val="002151F6"/>
    <w:rsid w:val="00215799"/>
    <w:rsid w:val="00216831"/>
    <w:rsid w:val="002201D3"/>
    <w:rsid w:val="002216B3"/>
    <w:rsid w:val="00221F54"/>
    <w:rsid w:val="002232FD"/>
    <w:rsid w:val="00223A3A"/>
    <w:rsid w:val="00225BDF"/>
    <w:rsid w:val="00230A17"/>
    <w:rsid w:val="00230E5F"/>
    <w:rsid w:val="0023102B"/>
    <w:rsid w:val="002311E9"/>
    <w:rsid w:val="00231D81"/>
    <w:rsid w:val="002327BC"/>
    <w:rsid w:val="00233EF5"/>
    <w:rsid w:val="00234C31"/>
    <w:rsid w:val="002351AB"/>
    <w:rsid w:val="00236336"/>
    <w:rsid w:val="0023755B"/>
    <w:rsid w:val="002406F6"/>
    <w:rsid w:val="0024329B"/>
    <w:rsid w:val="002435D3"/>
    <w:rsid w:val="002450FB"/>
    <w:rsid w:val="00245C11"/>
    <w:rsid w:val="00245FFA"/>
    <w:rsid w:val="00246110"/>
    <w:rsid w:val="00246125"/>
    <w:rsid w:val="0024673F"/>
    <w:rsid w:val="00251D1A"/>
    <w:rsid w:val="00253C0C"/>
    <w:rsid w:val="0025457E"/>
    <w:rsid w:val="0025478C"/>
    <w:rsid w:val="0025656E"/>
    <w:rsid w:val="002568D4"/>
    <w:rsid w:val="00257206"/>
    <w:rsid w:val="00263665"/>
    <w:rsid w:val="002649F3"/>
    <w:rsid w:val="00264E18"/>
    <w:rsid w:val="00267CCC"/>
    <w:rsid w:val="002712E4"/>
    <w:rsid w:val="00272769"/>
    <w:rsid w:val="002746A7"/>
    <w:rsid w:val="00275407"/>
    <w:rsid w:val="002761EA"/>
    <w:rsid w:val="00281EA0"/>
    <w:rsid w:val="00283C16"/>
    <w:rsid w:val="0028529E"/>
    <w:rsid w:val="00285486"/>
    <w:rsid w:val="002864BE"/>
    <w:rsid w:val="00290180"/>
    <w:rsid w:val="00290560"/>
    <w:rsid w:val="00291F18"/>
    <w:rsid w:val="00293472"/>
    <w:rsid w:val="002A05BA"/>
    <w:rsid w:val="002A1959"/>
    <w:rsid w:val="002A1A4C"/>
    <w:rsid w:val="002A4EBD"/>
    <w:rsid w:val="002A79D8"/>
    <w:rsid w:val="002B3AB8"/>
    <w:rsid w:val="002B4593"/>
    <w:rsid w:val="002B612C"/>
    <w:rsid w:val="002B6596"/>
    <w:rsid w:val="002C06C1"/>
    <w:rsid w:val="002C06C4"/>
    <w:rsid w:val="002C09C5"/>
    <w:rsid w:val="002C2092"/>
    <w:rsid w:val="002C3B14"/>
    <w:rsid w:val="002C65CE"/>
    <w:rsid w:val="002C6C1A"/>
    <w:rsid w:val="002D0C94"/>
    <w:rsid w:val="002D2DC4"/>
    <w:rsid w:val="002D3BDF"/>
    <w:rsid w:val="002D4F40"/>
    <w:rsid w:val="002D5454"/>
    <w:rsid w:val="002D59C9"/>
    <w:rsid w:val="002D6A38"/>
    <w:rsid w:val="002E1826"/>
    <w:rsid w:val="002E4FB1"/>
    <w:rsid w:val="002F0648"/>
    <w:rsid w:val="002F113D"/>
    <w:rsid w:val="0030499A"/>
    <w:rsid w:val="00305C81"/>
    <w:rsid w:val="00310506"/>
    <w:rsid w:val="00314453"/>
    <w:rsid w:val="0031495F"/>
    <w:rsid w:val="00314D71"/>
    <w:rsid w:val="00314FC8"/>
    <w:rsid w:val="00315E27"/>
    <w:rsid w:val="003200F0"/>
    <w:rsid w:val="003202AF"/>
    <w:rsid w:val="00320AB8"/>
    <w:rsid w:val="00321501"/>
    <w:rsid w:val="003233B9"/>
    <w:rsid w:val="00330EFE"/>
    <w:rsid w:val="00331C7E"/>
    <w:rsid w:val="00331D47"/>
    <w:rsid w:val="003323F8"/>
    <w:rsid w:val="00333676"/>
    <w:rsid w:val="00333EE5"/>
    <w:rsid w:val="003359FB"/>
    <w:rsid w:val="00336C2D"/>
    <w:rsid w:val="00336F0B"/>
    <w:rsid w:val="003402EF"/>
    <w:rsid w:val="00343B02"/>
    <w:rsid w:val="00343F93"/>
    <w:rsid w:val="00344227"/>
    <w:rsid w:val="00346FF0"/>
    <w:rsid w:val="00350667"/>
    <w:rsid w:val="0035310F"/>
    <w:rsid w:val="00356216"/>
    <w:rsid w:val="00357518"/>
    <w:rsid w:val="00361F3B"/>
    <w:rsid w:val="00363C5F"/>
    <w:rsid w:val="003649D0"/>
    <w:rsid w:val="00364A94"/>
    <w:rsid w:val="00364D0B"/>
    <w:rsid w:val="00365A2F"/>
    <w:rsid w:val="00366D62"/>
    <w:rsid w:val="003716C4"/>
    <w:rsid w:val="00371F92"/>
    <w:rsid w:val="00376769"/>
    <w:rsid w:val="00380A48"/>
    <w:rsid w:val="00381E4D"/>
    <w:rsid w:val="00382F5A"/>
    <w:rsid w:val="00383979"/>
    <w:rsid w:val="003841C5"/>
    <w:rsid w:val="0038537F"/>
    <w:rsid w:val="003868BA"/>
    <w:rsid w:val="00393D5E"/>
    <w:rsid w:val="003954ED"/>
    <w:rsid w:val="0039745B"/>
    <w:rsid w:val="00397ABD"/>
    <w:rsid w:val="003A20A5"/>
    <w:rsid w:val="003A5676"/>
    <w:rsid w:val="003A7D82"/>
    <w:rsid w:val="003B1671"/>
    <w:rsid w:val="003B3CF5"/>
    <w:rsid w:val="003C02AA"/>
    <w:rsid w:val="003C057F"/>
    <w:rsid w:val="003C2F03"/>
    <w:rsid w:val="003C345F"/>
    <w:rsid w:val="003C3A21"/>
    <w:rsid w:val="003C51C0"/>
    <w:rsid w:val="003C7984"/>
    <w:rsid w:val="003D1606"/>
    <w:rsid w:val="003D2959"/>
    <w:rsid w:val="003D2E8D"/>
    <w:rsid w:val="003D3B0A"/>
    <w:rsid w:val="003D5890"/>
    <w:rsid w:val="003D60C1"/>
    <w:rsid w:val="003E0452"/>
    <w:rsid w:val="003E1D9B"/>
    <w:rsid w:val="003E3B91"/>
    <w:rsid w:val="003E40FB"/>
    <w:rsid w:val="003E4851"/>
    <w:rsid w:val="003E59AF"/>
    <w:rsid w:val="003F0170"/>
    <w:rsid w:val="003F1281"/>
    <w:rsid w:val="003F3059"/>
    <w:rsid w:val="003F4B20"/>
    <w:rsid w:val="003F5531"/>
    <w:rsid w:val="003F559F"/>
    <w:rsid w:val="003F66BF"/>
    <w:rsid w:val="003F7008"/>
    <w:rsid w:val="003F7FDB"/>
    <w:rsid w:val="00401794"/>
    <w:rsid w:val="00404428"/>
    <w:rsid w:val="0040465B"/>
    <w:rsid w:val="004047ED"/>
    <w:rsid w:val="0040504B"/>
    <w:rsid w:val="00405EB8"/>
    <w:rsid w:val="00406170"/>
    <w:rsid w:val="0041002D"/>
    <w:rsid w:val="00410B12"/>
    <w:rsid w:val="00414D4E"/>
    <w:rsid w:val="00422D4D"/>
    <w:rsid w:val="004232CD"/>
    <w:rsid w:val="00430E2D"/>
    <w:rsid w:val="00432394"/>
    <w:rsid w:val="00433E43"/>
    <w:rsid w:val="004343AD"/>
    <w:rsid w:val="00434520"/>
    <w:rsid w:val="00434A9C"/>
    <w:rsid w:val="00436A64"/>
    <w:rsid w:val="00436A95"/>
    <w:rsid w:val="00436F41"/>
    <w:rsid w:val="00437038"/>
    <w:rsid w:val="004404E5"/>
    <w:rsid w:val="00440680"/>
    <w:rsid w:val="00441B4B"/>
    <w:rsid w:val="00442E1D"/>
    <w:rsid w:val="00444000"/>
    <w:rsid w:val="00444646"/>
    <w:rsid w:val="00444C2F"/>
    <w:rsid w:val="00444DCF"/>
    <w:rsid w:val="0044538D"/>
    <w:rsid w:val="00450BB0"/>
    <w:rsid w:val="004541C7"/>
    <w:rsid w:val="00454FBC"/>
    <w:rsid w:val="00454FFD"/>
    <w:rsid w:val="00460F9F"/>
    <w:rsid w:val="0046329D"/>
    <w:rsid w:val="00463B84"/>
    <w:rsid w:val="00467BD1"/>
    <w:rsid w:val="00467E6F"/>
    <w:rsid w:val="00471D46"/>
    <w:rsid w:val="00471EBA"/>
    <w:rsid w:val="00482098"/>
    <w:rsid w:val="0048224C"/>
    <w:rsid w:val="004840B8"/>
    <w:rsid w:val="0048590D"/>
    <w:rsid w:val="00485AFD"/>
    <w:rsid w:val="0048640D"/>
    <w:rsid w:val="00487283"/>
    <w:rsid w:val="00490253"/>
    <w:rsid w:val="004909BE"/>
    <w:rsid w:val="00491F3C"/>
    <w:rsid w:val="004952E0"/>
    <w:rsid w:val="004967DF"/>
    <w:rsid w:val="00496A03"/>
    <w:rsid w:val="004A4ED6"/>
    <w:rsid w:val="004A60C2"/>
    <w:rsid w:val="004A79E8"/>
    <w:rsid w:val="004B0DCB"/>
    <w:rsid w:val="004B2F6E"/>
    <w:rsid w:val="004B4AC5"/>
    <w:rsid w:val="004C1BFA"/>
    <w:rsid w:val="004C33D6"/>
    <w:rsid w:val="004C6232"/>
    <w:rsid w:val="004D1CDA"/>
    <w:rsid w:val="004D1FAC"/>
    <w:rsid w:val="004D4CE2"/>
    <w:rsid w:val="004D5C20"/>
    <w:rsid w:val="004D72F4"/>
    <w:rsid w:val="004D7A56"/>
    <w:rsid w:val="004E0C0F"/>
    <w:rsid w:val="004E1598"/>
    <w:rsid w:val="004E18D0"/>
    <w:rsid w:val="004E1F64"/>
    <w:rsid w:val="004E3993"/>
    <w:rsid w:val="004E4D24"/>
    <w:rsid w:val="004E61E0"/>
    <w:rsid w:val="004F008B"/>
    <w:rsid w:val="004F7967"/>
    <w:rsid w:val="00500AEA"/>
    <w:rsid w:val="00501D31"/>
    <w:rsid w:val="00501D7F"/>
    <w:rsid w:val="0050222E"/>
    <w:rsid w:val="005061A3"/>
    <w:rsid w:val="00507B13"/>
    <w:rsid w:val="00507EF5"/>
    <w:rsid w:val="00507FFC"/>
    <w:rsid w:val="00510E2A"/>
    <w:rsid w:val="0051121A"/>
    <w:rsid w:val="005120B0"/>
    <w:rsid w:val="00514F88"/>
    <w:rsid w:val="00517554"/>
    <w:rsid w:val="00520334"/>
    <w:rsid w:val="005209BE"/>
    <w:rsid w:val="005226C0"/>
    <w:rsid w:val="0052363C"/>
    <w:rsid w:val="005238F2"/>
    <w:rsid w:val="00524131"/>
    <w:rsid w:val="00525490"/>
    <w:rsid w:val="005254FC"/>
    <w:rsid w:val="00531746"/>
    <w:rsid w:val="00532048"/>
    <w:rsid w:val="005334AD"/>
    <w:rsid w:val="00540213"/>
    <w:rsid w:val="00540C0F"/>
    <w:rsid w:val="00541D3A"/>
    <w:rsid w:val="005447DE"/>
    <w:rsid w:val="00545A80"/>
    <w:rsid w:val="0054628D"/>
    <w:rsid w:val="0055080E"/>
    <w:rsid w:val="00553D1B"/>
    <w:rsid w:val="0055464C"/>
    <w:rsid w:val="00555C07"/>
    <w:rsid w:val="00555F20"/>
    <w:rsid w:val="00557007"/>
    <w:rsid w:val="005611F4"/>
    <w:rsid w:val="005626B2"/>
    <w:rsid w:val="00563A3B"/>
    <w:rsid w:val="00564021"/>
    <w:rsid w:val="005657C9"/>
    <w:rsid w:val="00565C76"/>
    <w:rsid w:val="00566145"/>
    <w:rsid w:val="00566883"/>
    <w:rsid w:val="00572A5D"/>
    <w:rsid w:val="00572F4C"/>
    <w:rsid w:val="005772F7"/>
    <w:rsid w:val="005807EA"/>
    <w:rsid w:val="00582275"/>
    <w:rsid w:val="00582BF5"/>
    <w:rsid w:val="00583ACD"/>
    <w:rsid w:val="005840B5"/>
    <w:rsid w:val="00585E1C"/>
    <w:rsid w:val="005870CF"/>
    <w:rsid w:val="00592695"/>
    <w:rsid w:val="00595510"/>
    <w:rsid w:val="005962EA"/>
    <w:rsid w:val="00597228"/>
    <w:rsid w:val="005A0571"/>
    <w:rsid w:val="005A2DF8"/>
    <w:rsid w:val="005A3460"/>
    <w:rsid w:val="005A38EC"/>
    <w:rsid w:val="005A3A95"/>
    <w:rsid w:val="005A3FC7"/>
    <w:rsid w:val="005A45CB"/>
    <w:rsid w:val="005A5686"/>
    <w:rsid w:val="005A68BE"/>
    <w:rsid w:val="005A7765"/>
    <w:rsid w:val="005A784C"/>
    <w:rsid w:val="005B3B41"/>
    <w:rsid w:val="005C183B"/>
    <w:rsid w:val="005C1950"/>
    <w:rsid w:val="005C2103"/>
    <w:rsid w:val="005C21E1"/>
    <w:rsid w:val="005C3002"/>
    <w:rsid w:val="005C4C1A"/>
    <w:rsid w:val="005C4EA1"/>
    <w:rsid w:val="005C5632"/>
    <w:rsid w:val="005C566C"/>
    <w:rsid w:val="005C670B"/>
    <w:rsid w:val="005C755A"/>
    <w:rsid w:val="005C78D5"/>
    <w:rsid w:val="005C7D95"/>
    <w:rsid w:val="005D15A3"/>
    <w:rsid w:val="005D1EEC"/>
    <w:rsid w:val="005D373B"/>
    <w:rsid w:val="005D41AE"/>
    <w:rsid w:val="005D4564"/>
    <w:rsid w:val="005D61A9"/>
    <w:rsid w:val="005E0501"/>
    <w:rsid w:val="005E1FC7"/>
    <w:rsid w:val="005E248B"/>
    <w:rsid w:val="005E294F"/>
    <w:rsid w:val="005E2FFC"/>
    <w:rsid w:val="005F4DB3"/>
    <w:rsid w:val="005F4E54"/>
    <w:rsid w:val="005F5546"/>
    <w:rsid w:val="005F6316"/>
    <w:rsid w:val="005F6AA0"/>
    <w:rsid w:val="005F744D"/>
    <w:rsid w:val="00603BCE"/>
    <w:rsid w:val="00603FB8"/>
    <w:rsid w:val="00605A59"/>
    <w:rsid w:val="00606666"/>
    <w:rsid w:val="00606E24"/>
    <w:rsid w:val="006072C2"/>
    <w:rsid w:val="00607872"/>
    <w:rsid w:val="006115AE"/>
    <w:rsid w:val="00611F6B"/>
    <w:rsid w:val="00612ECE"/>
    <w:rsid w:val="00614298"/>
    <w:rsid w:val="006146A0"/>
    <w:rsid w:val="00615B44"/>
    <w:rsid w:val="006167D2"/>
    <w:rsid w:val="006201B7"/>
    <w:rsid w:val="006208CF"/>
    <w:rsid w:val="0062411E"/>
    <w:rsid w:val="006246B9"/>
    <w:rsid w:val="00624776"/>
    <w:rsid w:val="00626664"/>
    <w:rsid w:val="00626C03"/>
    <w:rsid w:val="00626F2A"/>
    <w:rsid w:val="00627CA3"/>
    <w:rsid w:val="00631CAD"/>
    <w:rsid w:val="0063355B"/>
    <w:rsid w:val="00636F49"/>
    <w:rsid w:val="00640144"/>
    <w:rsid w:val="00641B5E"/>
    <w:rsid w:val="00642011"/>
    <w:rsid w:val="006451A4"/>
    <w:rsid w:val="0064522A"/>
    <w:rsid w:val="0064683C"/>
    <w:rsid w:val="00647471"/>
    <w:rsid w:val="006545A7"/>
    <w:rsid w:val="00654DE7"/>
    <w:rsid w:val="006566C6"/>
    <w:rsid w:val="00656A46"/>
    <w:rsid w:val="0065714E"/>
    <w:rsid w:val="006573BD"/>
    <w:rsid w:val="00661680"/>
    <w:rsid w:val="00662ACB"/>
    <w:rsid w:val="00663097"/>
    <w:rsid w:val="0066408B"/>
    <w:rsid w:val="006710D9"/>
    <w:rsid w:val="00673648"/>
    <w:rsid w:val="00674928"/>
    <w:rsid w:val="0068252B"/>
    <w:rsid w:val="00682C5C"/>
    <w:rsid w:val="00684593"/>
    <w:rsid w:val="00685821"/>
    <w:rsid w:val="006862B2"/>
    <w:rsid w:val="0069017F"/>
    <w:rsid w:val="00690F4B"/>
    <w:rsid w:val="00691E03"/>
    <w:rsid w:val="00692277"/>
    <w:rsid w:val="00692362"/>
    <w:rsid w:val="00692511"/>
    <w:rsid w:val="00693D3F"/>
    <w:rsid w:val="006963B6"/>
    <w:rsid w:val="006A0C96"/>
    <w:rsid w:val="006A38A9"/>
    <w:rsid w:val="006A3D74"/>
    <w:rsid w:val="006A559B"/>
    <w:rsid w:val="006A7391"/>
    <w:rsid w:val="006B03AD"/>
    <w:rsid w:val="006B26EF"/>
    <w:rsid w:val="006B27B4"/>
    <w:rsid w:val="006B32FE"/>
    <w:rsid w:val="006B35BD"/>
    <w:rsid w:val="006B46F9"/>
    <w:rsid w:val="006B6B71"/>
    <w:rsid w:val="006B72BD"/>
    <w:rsid w:val="006C1A26"/>
    <w:rsid w:val="006C1BC5"/>
    <w:rsid w:val="006C30B7"/>
    <w:rsid w:val="006C49F7"/>
    <w:rsid w:val="006C5460"/>
    <w:rsid w:val="006C6E32"/>
    <w:rsid w:val="006C7982"/>
    <w:rsid w:val="006D00F3"/>
    <w:rsid w:val="006D342C"/>
    <w:rsid w:val="006D4610"/>
    <w:rsid w:val="006E282B"/>
    <w:rsid w:val="006E3502"/>
    <w:rsid w:val="006E37A7"/>
    <w:rsid w:val="006E3E1F"/>
    <w:rsid w:val="006F1EB8"/>
    <w:rsid w:val="006F4178"/>
    <w:rsid w:val="006F4868"/>
    <w:rsid w:val="006F4EF8"/>
    <w:rsid w:val="006F5925"/>
    <w:rsid w:val="006F652C"/>
    <w:rsid w:val="00702208"/>
    <w:rsid w:val="007030FE"/>
    <w:rsid w:val="00705EA0"/>
    <w:rsid w:val="00705EF6"/>
    <w:rsid w:val="00706BCA"/>
    <w:rsid w:val="00710375"/>
    <w:rsid w:val="00710CEA"/>
    <w:rsid w:val="007117F8"/>
    <w:rsid w:val="00711D2E"/>
    <w:rsid w:val="00712EB2"/>
    <w:rsid w:val="00715B82"/>
    <w:rsid w:val="00717D49"/>
    <w:rsid w:val="00720394"/>
    <w:rsid w:val="00720F17"/>
    <w:rsid w:val="007217CC"/>
    <w:rsid w:val="00721DD9"/>
    <w:rsid w:val="00722124"/>
    <w:rsid w:val="007232E5"/>
    <w:rsid w:val="00724B74"/>
    <w:rsid w:val="0072614E"/>
    <w:rsid w:val="0072742D"/>
    <w:rsid w:val="00727A11"/>
    <w:rsid w:val="0073106E"/>
    <w:rsid w:val="007329A5"/>
    <w:rsid w:val="00733FC7"/>
    <w:rsid w:val="0073638C"/>
    <w:rsid w:val="007410AC"/>
    <w:rsid w:val="007413CF"/>
    <w:rsid w:val="00743EAD"/>
    <w:rsid w:val="00752F04"/>
    <w:rsid w:val="00753490"/>
    <w:rsid w:val="0075350E"/>
    <w:rsid w:val="0075387A"/>
    <w:rsid w:val="00753D3C"/>
    <w:rsid w:val="00754B8F"/>
    <w:rsid w:val="00760995"/>
    <w:rsid w:val="007618B4"/>
    <w:rsid w:val="007630B6"/>
    <w:rsid w:val="00763F41"/>
    <w:rsid w:val="00764964"/>
    <w:rsid w:val="007651D7"/>
    <w:rsid w:val="007670B5"/>
    <w:rsid w:val="00770FE9"/>
    <w:rsid w:val="007724FA"/>
    <w:rsid w:val="007750BA"/>
    <w:rsid w:val="007773E1"/>
    <w:rsid w:val="00783758"/>
    <w:rsid w:val="00783FE9"/>
    <w:rsid w:val="00785C79"/>
    <w:rsid w:val="00786111"/>
    <w:rsid w:val="007861DA"/>
    <w:rsid w:val="00787196"/>
    <w:rsid w:val="00792F0E"/>
    <w:rsid w:val="00793B0E"/>
    <w:rsid w:val="00794B51"/>
    <w:rsid w:val="007A0999"/>
    <w:rsid w:val="007A0DC8"/>
    <w:rsid w:val="007A387B"/>
    <w:rsid w:val="007A5F90"/>
    <w:rsid w:val="007B1577"/>
    <w:rsid w:val="007B46E1"/>
    <w:rsid w:val="007B4857"/>
    <w:rsid w:val="007B69AE"/>
    <w:rsid w:val="007B6A46"/>
    <w:rsid w:val="007C0329"/>
    <w:rsid w:val="007C09C3"/>
    <w:rsid w:val="007C3087"/>
    <w:rsid w:val="007C32D0"/>
    <w:rsid w:val="007C46F7"/>
    <w:rsid w:val="007C495E"/>
    <w:rsid w:val="007C4F43"/>
    <w:rsid w:val="007C5B2F"/>
    <w:rsid w:val="007C5CAD"/>
    <w:rsid w:val="007C6A89"/>
    <w:rsid w:val="007D1A4B"/>
    <w:rsid w:val="007D210E"/>
    <w:rsid w:val="007D4346"/>
    <w:rsid w:val="007E07B6"/>
    <w:rsid w:val="007E0E63"/>
    <w:rsid w:val="007E11CB"/>
    <w:rsid w:val="007E124D"/>
    <w:rsid w:val="007E704D"/>
    <w:rsid w:val="007F197D"/>
    <w:rsid w:val="007F3388"/>
    <w:rsid w:val="007F3B76"/>
    <w:rsid w:val="007F482B"/>
    <w:rsid w:val="007F7041"/>
    <w:rsid w:val="00801DB9"/>
    <w:rsid w:val="00802CCA"/>
    <w:rsid w:val="00806717"/>
    <w:rsid w:val="008067F6"/>
    <w:rsid w:val="00810835"/>
    <w:rsid w:val="00811004"/>
    <w:rsid w:val="0081296A"/>
    <w:rsid w:val="00816A38"/>
    <w:rsid w:val="00821E0C"/>
    <w:rsid w:val="00822CFC"/>
    <w:rsid w:val="008233F5"/>
    <w:rsid w:val="0082462E"/>
    <w:rsid w:val="00826899"/>
    <w:rsid w:val="0083524A"/>
    <w:rsid w:val="00836318"/>
    <w:rsid w:val="008363E1"/>
    <w:rsid w:val="008365FE"/>
    <w:rsid w:val="00837403"/>
    <w:rsid w:val="008375AF"/>
    <w:rsid w:val="0084123E"/>
    <w:rsid w:val="00842650"/>
    <w:rsid w:val="00843101"/>
    <w:rsid w:val="008436D1"/>
    <w:rsid w:val="00843BFF"/>
    <w:rsid w:val="0084656A"/>
    <w:rsid w:val="008468B9"/>
    <w:rsid w:val="00846E4C"/>
    <w:rsid w:val="008470E0"/>
    <w:rsid w:val="00847201"/>
    <w:rsid w:val="008472BA"/>
    <w:rsid w:val="00847ACF"/>
    <w:rsid w:val="00850023"/>
    <w:rsid w:val="00850144"/>
    <w:rsid w:val="008523F7"/>
    <w:rsid w:val="00852B9E"/>
    <w:rsid w:val="00853729"/>
    <w:rsid w:val="008603EC"/>
    <w:rsid w:val="00861346"/>
    <w:rsid w:val="00862436"/>
    <w:rsid w:val="008648FE"/>
    <w:rsid w:val="00871D6C"/>
    <w:rsid w:val="00873A12"/>
    <w:rsid w:val="00876B94"/>
    <w:rsid w:val="00876BA4"/>
    <w:rsid w:val="00880E73"/>
    <w:rsid w:val="00880E7C"/>
    <w:rsid w:val="008819F6"/>
    <w:rsid w:val="00891B15"/>
    <w:rsid w:val="00892649"/>
    <w:rsid w:val="0089531A"/>
    <w:rsid w:val="00895DFD"/>
    <w:rsid w:val="00896407"/>
    <w:rsid w:val="008964FF"/>
    <w:rsid w:val="00896A8B"/>
    <w:rsid w:val="008A03D5"/>
    <w:rsid w:val="008A153B"/>
    <w:rsid w:val="008A17EC"/>
    <w:rsid w:val="008A1E23"/>
    <w:rsid w:val="008A462F"/>
    <w:rsid w:val="008A550E"/>
    <w:rsid w:val="008A5645"/>
    <w:rsid w:val="008A58CF"/>
    <w:rsid w:val="008A5ACF"/>
    <w:rsid w:val="008A5FA3"/>
    <w:rsid w:val="008B04DB"/>
    <w:rsid w:val="008B3A50"/>
    <w:rsid w:val="008B523E"/>
    <w:rsid w:val="008B571E"/>
    <w:rsid w:val="008B579C"/>
    <w:rsid w:val="008B62C2"/>
    <w:rsid w:val="008B6EFC"/>
    <w:rsid w:val="008B7802"/>
    <w:rsid w:val="008C1BFB"/>
    <w:rsid w:val="008C6ABD"/>
    <w:rsid w:val="008D29CC"/>
    <w:rsid w:val="008D30B5"/>
    <w:rsid w:val="008D6750"/>
    <w:rsid w:val="008E0B33"/>
    <w:rsid w:val="008E0E1E"/>
    <w:rsid w:val="008E5A33"/>
    <w:rsid w:val="008E6857"/>
    <w:rsid w:val="008F2EF4"/>
    <w:rsid w:val="008F385F"/>
    <w:rsid w:val="008F658E"/>
    <w:rsid w:val="009000A5"/>
    <w:rsid w:val="009015D8"/>
    <w:rsid w:val="00902BD7"/>
    <w:rsid w:val="00905EF2"/>
    <w:rsid w:val="00906F67"/>
    <w:rsid w:val="009071BF"/>
    <w:rsid w:val="00907387"/>
    <w:rsid w:val="00907CAC"/>
    <w:rsid w:val="0091052D"/>
    <w:rsid w:val="00912308"/>
    <w:rsid w:val="009160AA"/>
    <w:rsid w:val="00917924"/>
    <w:rsid w:val="00917B1B"/>
    <w:rsid w:val="0092327A"/>
    <w:rsid w:val="0092439E"/>
    <w:rsid w:val="00924854"/>
    <w:rsid w:val="009248AB"/>
    <w:rsid w:val="009278B3"/>
    <w:rsid w:val="009300E7"/>
    <w:rsid w:val="009301CC"/>
    <w:rsid w:val="00932903"/>
    <w:rsid w:val="00937566"/>
    <w:rsid w:val="00943D3C"/>
    <w:rsid w:val="00943EAA"/>
    <w:rsid w:val="00944443"/>
    <w:rsid w:val="0094468D"/>
    <w:rsid w:val="00944CDC"/>
    <w:rsid w:val="00945AF5"/>
    <w:rsid w:val="00951377"/>
    <w:rsid w:val="009518FB"/>
    <w:rsid w:val="00951F22"/>
    <w:rsid w:val="009525FC"/>
    <w:rsid w:val="009542A2"/>
    <w:rsid w:val="00955703"/>
    <w:rsid w:val="00957268"/>
    <w:rsid w:val="00960E9C"/>
    <w:rsid w:val="00964359"/>
    <w:rsid w:val="00964593"/>
    <w:rsid w:val="0096662C"/>
    <w:rsid w:val="00970D9F"/>
    <w:rsid w:val="00971843"/>
    <w:rsid w:val="00971D9B"/>
    <w:rsid w:val="009724F5"/>
    <w:rsid w:val="00974314"/>
    <w:rsid w:val="00974E59"/>
    <w:rsid w:val="00976333"/>
    <w:rsid w:val="00977A75"/>
    <w:rsid w:val="0098160F"/>
    <w:rsid w:val="009817A5"/>
    <w:rsid w:val="0098220E"/>
    <w:rsid w:val="009822D5"/>
    <w:rsid w:val="00985537"/>
    <w:rsid w:val="00985B1B"/>
    <w:rsid w:val="00986161"/>
    <w:rsid w:val="00987EE6"/>
    <w:rsid w:val="00990F1C"/>
    <w:rsid w:val="00996D4A"/>
    <w:rsid w:val="00997284"/>
    <w:rsid w:val="00997629"/>
    <w:rsid w:val="009A04A6"/>
    <w:rsid w:val="009A1DCA"/>
    <w:rsid w:val="009A24E5"/>
    <w:rsid w:val="009A38F5"/>
    <w:rsid w:val="009A44A0"/>
    <w:rsid w:val="009A45D0"/>
    <w:rsid w:val="009A4EC6"/>
    <w:rsid w:val="009A7533"/>
    <w:rsid w:val="009B0BE2"/>
    <w:rsid w:val="009B1961"/>
    <w:rsid w:val="009B1D36"/>
    <w:rsid w:val="009B3441"/>
    <w:rsid w:val="009B382E"/>
    <w:rsid w:val="009B57BB"/>
    <w:rsid w:val="009B626E"/>
    <w:rsid w:val="009C05CC"/>
    <w:rsid w:val="009C0C18"/>
    <w:rsid w:val="009C3AC2"/>
    <w:rsid w:val="009C46FB"/>
    <w:rsid w:val="009C544C"/>
    <w:rsid w:val="009C5795"/>
    <w:rsid w:val="009C5C10"/>
    <w:rsid w:val="009C5CF5"/>
    <w:rsid w:val="009C652E"/>
    <w:rsid w:val="009C6984"/>
    <w:rsid w:val="009D54C2"/>
    <w:rsid w:val="009D79EB"/>
    <w:rsid w:val="009E0020"/>
    <w:rsid w:val="009E0977"/>
    <w:rsid w:val="009E1F23"/>
    <w:rsid w:val="009E34A5"/>
    <w:rsid w:val="009E3C2D"/>
    <w:rsid w:val="009E457E"/>
    <w:rsid w:val="009E4FDF"/>
    <w:rsid w:val="009F225B"/>
    <w:rsid w:val="009F314E"/>
    <w:rsid w:val="009F389D"/>
    <w:rsid w:val="009F3C07"/>
    <w:rsid w:val="009F6796"/>
    <w:rsid w:val="009F75AC"/>
    <w:rsid w:val="00A01EAE"/>
    <w:rsid w:val="00A04746"/>
    <w:rsid w:val="00A0600B"/>
    <w:rsid w:val="00A0729F"/>
    <w:rsid w:val="00A109DC"/>
    <w:rsid w:val="00A10A28"/>
    <w:rsid w:val="00A119AB"/>
    <w:rsid w:val="00A11A11"/>
    <w:rsid w:val="00A12E41"/>
    <w:rsid w:val="00A13540"/>
    <w:rsid w:val="00A13776"/>
    <w:rsid w:val="00A1486A"/>
    <w:rsid w:val="00A1603F"/>
    <w:rsid w:val="00A16844"/>
    <w:rsid w:val="00A24039"/>
    <w:rsid w:val="00A276E1"/>
    <w:rsid w:val="00A27A1A"/>
    <w:rsid w:val="00A31066"/>
    <w:rsid w:val="00A31A36"/>
    <w:rsid w:val="00A327CF"/>
    <w:rsid w:val="00A35DAE"/>
    <w:rsid w:val="00A37755"/>
    <w:rsid w:val="00A37960"/>
    <w:rsid w:val="00A37CB5"/>
    <w:rsid w:val="00A40B1F"/>
    <w:rsid w:val="00A40D9B"/>
    <w:rsid w:val="00A442B7"/>
    <w:rsid w:val="00A468E5"/>
    <w:rsid w:val="00A46FAD"/>
    <w:rsid w:val="00A47328"/>
    <w:rsid w:val="00A537E2"/>
    <w:rsid w:val="00A552E0"/>
    <w:rsid w:val="00A558FA"/>
    <w:rsid w:val="00A56A71"/>
    <w:rsid w:val="00A56C94"/>
    <w:rsid w:val="00A7032E"/>
    <w:rsid w:val="00A70BCB"/>
    <w:rsid w:val="00A70DDF"/>
    <w:rsid w:val="00A74FBE"/>
    <w:rsid w:val="00A75AE9"/>
    <w:rsid w:val="00A75FB2"/>
    <w:rsid w:val="00A80C64"/>
    <w:rsid w:val="00A817EC"/>
    <w:rsid w:val="00A83840"/>
    <w:rsid w:val="00A83BD8"/>
    <w:rsid w:val="00A86450"/>
    <w:rsid w:val="00A8661E"/>
    <w:rsid w:val="00A869DE"/>
    <w:rsid w:val="00A87335"/>
    <w:rsid w:val="00A900FD"/>
    <w:rsid w:val="00A90246"/>
    <w:rsid w:val="00A902C3"/>
    <w:rsid w:val="00A9210C"/>
    <w:rsid w:val="00AA3DDB"/>
    <w:rsid w:val="00AA409E"/>
    <w:rsid w:val="00AA47B3"/>
    <w:rsid w:val="00AA5CBE"/>
    <w:rsid w:val="00AA5D02"/>
    <w:rsid w:val="00AA6229"/>
    <w:rsid w:val="00AA6B1C"/>
    <w:rsid w:val="00AB086A"/>
    <w:rsid w:val="00AB17FA"/>
    <w:rsid w:val="00AB2520"/>
    <w:rsid w:val="00AB4360"/>
    <w:rsid w:val="00AB78B6"/>
    <w:rsid w:val="00AC18ED"/>
    <w:rsid w:val="00AC1AE0"/>
    <w:rsid w:val="00AC1AF3"/>
    <w:rsid w:val="00AC2214"/>
    <w:rsid w:val="00AC2B97"/>
    <w:rsid w:val="00AC3CBD"/>
    <w:rsid w:val="00AC6E9D"/>
    <w:rsid w:val="00AD083C"/>
    <w:rsid w:val="00AD20F0"/>
    <w:rsid w:val="00AD35FD"/>
    <w:rsid w:val="00AD3657"/>
    <w:rsid w:val="00AD45EE"/>
    <w:rsid w:val="00AD58AC"/>
    <w:rsid w:val="00AD5F6A"/>
    <w:rsid w:val="00AD685F"/>
    <w:rsid w:val="00AD781F"/>
    <w:rsid w:val="00AD7A41"/>
    <w:rsid w:val="00AE13CF"/>
    <w:rsid w:val="00AE2F45"/>
    <w:rsid w:val="00AE350F"/>
    <w:rsid w:val="00AE3B16"/>
    <w:rsid w:val="00AE4578"/>
    <w:rsid w:val="00AE65B9"/>
    <w:rsid w:val="00AE7613"/>
    <w:rsid w:val="00AF2C2A"/>
    <w:rsid w:val="00AF7668"/>
    <w:rsid w:val="00B02E54"/>
    <w:rsid w:val="00B04457"/>
    <w:rsid w:val="00B115B3"/>
    <w:rsid w:val="00B11A4C"/>
    <w:rsid w:val="00B12382"/>
    <w:rsid w:val="00B126FF"/>
    <w:rsid w:val="00B1327D"/>
    <w:rsid w:val="00B13484"/>
    <w:rsid w:val="00B13591"/>
    <w:rsid w:val="00B1370A"/>
    <w:rsid w:val="00B16063"/>
    <w:rsid w:val="00B16CE2"/>
    <w:rsid w:val="00B20CF4"/>
    <w:rsid w:val="00B215BF"/>
    <w:rsid w:val="00B21EAF"/>
    <w:rsid w:val="00B22C7B"/>
    <w:rsid w:val="00B22FC9"/>
    <w:rsid w:val="00B23CDF"/>
    <w:rsid w:val="00B25A69"/>
    <w:rsid w:val="00B30307"/>
    <w:rsid w:val="00B30A52"/>
    <w:rsid w:val="00B30CD2"/>
    <w:rsid w:val="00B321EB"/>
    <w:rsid w:val="00B34502"/>
    <w:rsid w:val="00B357CE"/>
    <w:rsid w:val="00B36730"/>
    <w:rsid w:val="00B4095C"/>
    <w:rsid w:val="00B4123B"/>
    <w:rsid w:val="00B419F9"/>
    <w:rsid w:val="00B42267"/>
    <w:rsid w:val="00B4542B"/>
    <w:rsid w:val="00B4621E"/>
    <w:rsid w:val="00B475C5"/>
    <w:rsid w:val="00B51BA8"/>
    <w:rsid w:val="00B52050"/>
    <w:rsid w:val="00B54969"/>
    <w:rsid w:val="00B563E3"/>
    <w:rsid w:val="00B56425"/>
    <w:rsid w:val="00B620BA"/>
    <w:rsid w:val="00B6331D"/>
    <w:rsid w:val="00B63656"/>
    <w:rsid w:val="00B648A4"/>
    <w:rsid w:val="00B64A66"/>
    <w:rsid w:val="00B65FB5"/>
    <w:rsid w:val="00B66641"/>
    <w:rsid w:val="00B67AA5"/>
    <w:rsid w:val="00B71855"/>
    <w:rsid w:val="00B73A19"/>
    <w:rsid w:val="00B74973"/>
    <w:rsid w:val="00B8002B"/>
    <w:rsid w:val="00B817BE"/>
    <w:rsid w:val="00B83AF2"/>
    <w:rsid w:val="00B8464E"/>
    <w:rsid w:val="00B873D9"/>
    <w:rsid w:val="00B90793"/>
    <w:rsid w:val="00B95A47"/>
    <w:rsid w:val="00B97205"/>
    <w:rsid w:val="00BA12FD"/>
    <w:rsid w:val="00BA20CB"/>
    <w:rsid w:val="00BA21BA"/>
    <w:rsid w:val="00BA2262"/>
    <w:rsid w:val="00BA3332"/>
    <w:rsid w:val="00BA502A"/>
    <w:rsid w:val="00BA5129"/>
    <w:rsid w:val="00BA5F6F"/>
    <w:rsid w:val="00BA7FFE"/>
    <w:rsid w:val="00BB0CA9"/>
    <w:rsid w:val="00BB28EB"/>
    <w:rsid w:val="00BB683A"/>
    <w:rsid w:val="00BC01D3"/>
    <w:rsid w:val="00BC3FC2"/>
    <w:rsid w:val="00BD199C"/>
    <w:rsid w:val="00BD427D"/>
    <w:rsid w:val="00BD56D4"/>
    <w:rsid w:val="00BD6F4A"/>
    <w:rsid w:val="00BE59E7"/>
    <w:rsid w:val="00BF0632"/>
    <w:rsid w:val="00BF0899"/>
    <w:rsid w:val="00BF1C88"/>
    <w:rsid w:val="00BF1D1D"/>
    <w:rsid w:val="00BF3397"/>
    <w:rsid w:val="00BF4418"/>
    <w:rsid w:val="00BF4564"/>
    <w:rsid w:val="00BF6179"/>
    <w:rsid w:val="00BF73FA"/>
    <w:rsid w:val="00C0353C"/>
    <w:rsid w:val="00C04233"/>
    <w:rsid w:val="00C04E94"/>
    <w:rsid w:val="00C04FAC"/>
    <w:rsid w:val="00C05FC8"/>
    <w:rsid w:val="00C06F5B"/>
    <w:rsid w:val="00C07133"/>
    <w:rsid w:val="00C0756F"/>
    <w:rsid w:val="00C10653"/>
    <w:rsid w:val="00C14716"/>
    <w:rsid w:val="00C16698"/>
    <w:rsid w:val="00C16743"/>
    <w:rsid w:val="00C16A53"/>
    <w:rsid w:val="00C2157B"/>
    <w:rsid w:val="00C30DD7"/>
    <w:rsid w:val="00C34D0C"/>
    <w:rsid w:val="00C35287"/>
    <w:rsid w:val="00C37FD5"/>
    <w:rsid w:val="00C4087D"/>
    <w:rsid w:val="00C40D9D"/>
    <w:rsid w:val="00C41232"/>
    <w:rsid w:val="00C43BFC"/>
    <w:rsid w:val="00C445BF"/>
    <w:rsid w:val="00C46298"/>
    <w:rsid w:val="00C463BB"/>
    <w:rsid w:val="00C4668A"/>
    <w:rsid w:val="00C501CE"/>
    <w:rsid w:val="00C51725"/>
    <w:rsid w:val="00C5460D"/>
    <w:rsid w:val="00C558A3"/>
    <w:rsid w:val="00C57735"/>
    <w:rsid w:val="00C602C1"/>
    <w:rsid w:val="00C603A5"/>
    <w:rsid w:val="00C61692"/>
    <w:rsid w:val="00C62C88"/>
    <w:rsid w:val="00C649BB"/>
    <w:rsid w:val="00C663D7"/>
    <w:rsid w:val="00C70B44"/>
    <w:rsid w:val="00C727DC"/>
    <w:rsid w:val="00C731A2"/>
    <w:rsid w:val="00C736C5"/>
    <w:rsid w:val="00C766FF"/>
    <w:rsid w:val="00C76E0D"/>
    <w:rsid w:val="00C809E9"/>
    <w:rsid w:val="00C84355"/>
    <w:rsid w:val="00C867C5"/>
    <w:rsid w:val="00C91344"/>
    <w:rsid w:val="00C93CD1"/>
    <w:rsid w:val="00C94E9A"/>
    <w:rsid w:val="00C9507D"/>
    <w:rsid w:val="00C95719"/>
    <w:rsid w:val="00CA0EC2"/>
    <w:rsid w:val="00CA14F5"/>
    <w:rsid w:val="00CA2A5C"/>
    <w:rsid w:val="00CA2C66"/>
    <w:rsid w:val="00CA2F8E"/>
    <w:rsid w:val="00CA3EC1"/>
    <w:rsid w:val="00CA60DA"/>
    <w:rsid w:val="00CB0BA7"/>
    <w:rsid w:val="00CB171E"/>
    <w:rsid w:val="00CB1CB3"/>
    <w:rsid w:val="00CB428E"/>
    <w:rsid w:val="00CB5CF8"/>
    <w:rsid w:val="00CB6EF2"/>
    <w:rsid w:val="00CC0768"/>
    <w:rsid w:val="00CC1CD0"/>
    <w:rsid w:val="00CC47D5"/>
    <w:rsid w:val="00CD2E57"/>
    <w:rsid w:val="00CD34FE"/>
    <w:rsid w:val="00CD37FE"/>
    <w:rsid w:val="00CD3D2D"/>
    <w:rsid w:val="00CD3DB8"/>
    <w:rsid w:val="00CD4D06"/>
    <w:rsid w:val="00CD673C"/>
    <w:rsid w:val="00CD7EEC"/>
    <w:rsid w:val="00CE1061"/>
    <w:rsid w:val="00CE3409"/>
    <w:rsid w:val="00CE3BDE"/>
    <w:rsid w:val="00CE4F32"/>
    <w:rsid w:val="00CE753B"/>
    <w:rsid w:val="00CF0C0F"/>
    <w:rsid w:val="00CF560C"/>
    <w:rsid w:val="00CF6E4B"/>
    <w:rsid w:val="00D017DF"/>
    <w:rsid w:val="00D01D25"/>
    <w:rsid w:val="00D035BF"/>
    <w:rsid w:val="00D03EE4"/>
    <w:rsid w:val="00D05FF2"/>
    <w:rsid w:val="00D06476"/>
    <w:rsid w:val="00D118E2"/>
    <w:rsid w:val="00D22F42"/>
    <w:rsid w:val="00D25DD4"/>
    <w:rsid w:val="00D265A7"/>
    <w:rsid w:val="00D26ACB"/>
    <w:rsid w:val="00D2729B"/>
    <w:rsid w:val="00D31207"/>
    <w:rsid w:val="00D325C9"/>
    <w:rsid w:val="00D33197"/>
    <w:rsid w:val="00D3451B"/>
    <w:rsid w:val="00D43870"/>
    <w:rsid w:val="00D451F1"/>
    <w:rsid w:val="00D46E83"/>
    <w:rsid w:val="00D46F3E"/>
    <w:rsid w:val="00D471CD"/>
    <w:rsid w:val="00D50692"/>
    <w:rsid w:val="00D51044"/>
    <w:rsid w:val="00D514C7"/>
    <w:rsid w:val="00D534D2"/>
    <w:rsid w:val="00D54158"/>
    <w:rsid w:val="00D553FA"/>
    <w:rsid w:val="00D55BEF"/>
    <w:rsid w:val="00D56136"/>
    <w:rsid w:val="00D567C1"/>
    <w:rsid w:val="00D56A40"/>
    <w:rsid w:val="00D61C9E"/>
    <w:rsid w:val="00D63865"/>
    <w:rsid w:val="00D646CA"/>
    <w:rsid w:val="00D64C2D"/>
    <w:rsid w:val="00D73034"/>
    <w:rsid w:val="00D74864"/>
    <w:rsid w:val="00D74A10"/>
    <w:rsid w:val="00D74BBF"/>
    <w:rsid w:val="00D77096"/>
    <w:rsid w:val="00D810F0"/>
    <w:rsid w:val="00D828C7"/>
    <w:rsid w:val="00D82A8C"/>
    <w:rsid w:val="00D84D30"/>
    <w:rsid w:val="00D84EFD"/>
    <w:rsid w:val="00D90D29"/>
    <w:rsid w:val="00D92ACE"/>
    <w:rsid w:val="00D92E48"/>
    <w:rsid w:val="00D9345F"/>
    <w:rsid w:val="00D945F0"/>
    <w:rsid w:val="00D96AA6"/>
    <w:rsid w:val="00D96AB7"/>
    <w:rsid w:val="00D96DEC"/>
    <w:rsid w:val="00DA1041"/>
    <w:rsid w:val="00DA6819"/>
    <w:rsid w:val="00DA743F"/>
    <w:rsid w:val="00DA7F4C"/>
    <w:rsid w:val="00DB060C"/>
    <w:rsid w:val="00DB3EB5"/>
    <w:rsid w:val="00DB46C0"/>
    <w:rsid w:val="00DB4EE7"/>
    <w:rsid w:val="00DB62A6"/>
    <w:rsid w:val="00DC2543"/>
    <w:rsid w:val="00DC3B68"/>
    <w:rsid w:val="00DC5CFF"/>
    <w:rsid w:val="00DC6F03"/>
    <w:rsid w:val="00DC760A"/>
    <w:rsid w:val="00DD1DC6"/>
    <w:rsid w:val="00DD27AE"/>
    <w:rsid w:val="00DD3035"/>
    <w:rsid w:val="00DE1201"/>
    <w:rsid w:val="00DE1451"/>
    <w:rsid w:val="00DE2B35"/>
    <w:rsid w:val="00DE2D1F"/>
    <w:rsid w:val="00DE5F0E"/>
    <w:rsid w:val="00DE6208"/>
    <w:rsid w:val="00DF0899"/>
    <w:rsid w:val="00DF2A19"/>
    <w:rsid w:val="00DF33DC"/>
    <w:rsid w:val="00E039C5"/>
    <w:rsid w:val="00E04103"/>
    <w:rsid w:val="00E04137"/>
    <w:rsid w:val="00E0654B"/>
    <w:rsid w:val="00E10B8E"/>
    <w:rsid w:val="00E12617"/>
    <w:rsid w:val="00E13FED"/>
    <w:rsid w:val="00E203CA"/>
    <w:rsid w:val="00E20941"/>
    <w:rsid w:val="00E21754"/>
    <w:rsid w:val="00E22435"/>
    <w:rsid w:val="00E24748"/>
    <w:rsid w:val="00E25CC1"/>
    <w:rsid w:val="00E25D49"/>
    <w:rsid w:val="00E276A3"/>
    <w:rsid w:val="00E277A2"/>
    <w:rsid w:val="00E27F1D"/>
    <w:rsid w:val="00E302B5"/>
    <w:rsid w:val="00E3080F"/>
    <w:rsid w:val="00E30B88"/>
    <w:rsid w:val="00E30CF4"/>
    <w:rsid w:val="00E327B6"/>
    <w:rsid w:val="00E33760"/>
    <w:rsid w:val="00E367D2"/>
    <w:rsid w:val="00E41D09"/>
    <w:rsid w:val="00E425E9"/>
    <w:rsid w:val="00E4360F"/>
    <w:rsid w:val="00E46BDD"/>
    <w:rsid w:val="00E46E18"/>
    <w:rsid w:val="00E46F3C"/>
    <w:rsid w:val="00E5155B"/>
    <w:rsid w:val="00E517B2"/>
    <w:rsid w:val="00E51F03"/>
    <w:rsid w:val="00E5229E"/>
    <w:rsid w:val="00E559DD"/>
    <w:rsid w:val="00E572A6"/>
    <w:rsid w:val="00E57C2A"/>
    <w:rsid w:val="00E6077D"/>
    <w:rsid w:val="00E612BF"/>
    <w:rsid w:val="00E6298C"/>
    <w:rsid w:val="00E67EB5"/>
    <w:rsid w:val="00E7150D"/>
    <w:rsid w:val="00E7291E"/>
    <w:rsid w:val="00E7571F"/>
    <w:rsid w:val="00E763B3"/>
    <w:rsid w:val="00E83968"/>
    <w:rsid w:val="00E85B45"/>
    <w:rsid w:val="00E871E2"/>
    <w:rsid w:val="00E87BE9"/>
    <w:rsid w:val="00E910AF"/>
    <w:rsid w:val="00E91A3A"/>
    <w:rsid w:val="00E920D1"/>
    <w:rsid w:val="00E92B86"/>
    <w:rsid w:val="00E93458"/>
    <w:rsid w:val="00E95808"/>
    <w:rsid w:val="00E95954"/>
    <w:rsid w:val="00E96108"/>
    <w:rsid w:val="00EA134C"/>
    <w:rsid w:val="00EA2D63"/>
    <w:rsid w:val="00EA395C"/>
    <w:rsid w:val="00EA47B6"/>
    <w:rsid w:val="00EA584C"/>
    <w:rsid w:val="00EA5ADE"/>
    <w:rsid w:val="00EA5CC5"/>
    <w:rsid w:val="00EB029E"/>
    <w:rsid w:val="00EB3938"/>
    <w:rsid w:val="00EB4AFC"/>
    <w:rsid w:val="00EB5044"/>
    <w:rsid w:val="00EB7F06"/>
    <w:rsid w:val="00EC1216"/>
    <w:rsid w:val="00EC5B0F"/>
    <w:rsid w:val="00EC5D86"/>
    <w:rsid w:val="00ED1A32"/>
    <w:rsid w:val="00ED27D4"/>
    <w:rsid w:val="00ED6BCB"/>
    <w:rsid w:val="00ED6C58"/>
    <w:rsid w:val="00EE16EC"/>
    <w:rsid w:val="00EE21C9"/>
    <w:rsid w:val="00EE2BB0"/>
    <w:rsid w:val="00EE308A"/>
    <w:rsid w:val="00EE3CD4"/>
    <w:rsid w:val="00EE5FE5"/>
    <w:rsid w:val="00EF074C"/>
    <w:rsid w:val="00EF2491"/>
    <w:rsid w:val="00EF30EC"/>
    <w:rsid w:val="00EF3DAA"/>
    <w:rsid w:val="00EF3E56"/>
    <w:rsid w:val="00F0126E"/>
    <w:rsid w:val="00F051CF"/>
    <w:rsid w:val="00F1112A"/>
    <w:rsid w:val="00F11F6F"/>
    <w:rsid w:val="00F15590"/>
    <w:rsid w:val="00F162A3"/>
    <w:rsid w:val="00F1705D"/>
    <w:rsid w:val="00F249EF"/>
    <w:rsid w:val="00F24EEC"/>
    <w:rsid w:val="00F2763F"/>
    <w:rsid w:val="00F27BA6"/>
    <w:rsid w:val="00F314BF"/>
    <w:rsid w:val="00F3155B"/>
    <w:rsid w:val="00F32810"/>
    <w:rsid w:val="00F34F27"/>
    <w:rsid w:val="00F3689C"/>
    <w:rsid w:val="00F36BE3"/>
    <w:rsid w:val="00F40A35"/>
    <w:rsid w:val="00F40D5C"/>
    <w:rsid w:val="00F40FCA"/>
    <w:rsid w:val="00F410F6"/>
    <w:rsid w:val="00F43EB2"/>
    <w:rsid w:val="00F443D9"/>
    <w:rsid w:val="00F446E4"/>
    <w:rsid w:val="00F5040A"/>
    <w:rsid w:val="00F50A20"/>
    <w:rsid w:val="00F54722"/>
    <w:rsid w:val="00F567E7"/>
    <w:rsid w:val="00F61155"/>
    <w:rsid w:val="00F62194"/>
    <w:rsid w:val="00F6562C"/>
    <w:rsid w:val="00F65B57"/>
    <w:rsid w:val="00F71373"/>
    <w:rsid w:val="00F725BC"/>
    <w:rsid w:val="00F72B6B"/>
    <w:rsid w:val="00F72B89"/>
    <w:rsid w:val="00F73C5D"/>
    <w:rsid w:val="00F73FAE"/>
    <w:rsid w:val="00F7690A"/>
    <w:rsid w:val="00F76E5F"/>
    <w:rsid w:val="00F77B7D"/>
    <w:rsid w:val="00F804EA"/>
    <w:rsid w:val="00F805F9"/>
    <w:rsid w:val="00F81726"/>
    <w:rsid w:val="00F8208B"/>
    <w:rsid w:val="00F84DC6"/>
    <w:rsid w:val="00F85EA9"/>
    <w:rsid w:val="00F85FF6"/>
    <w:rsid w:val="00F86300"/>
    <w:rsid w:val="00F90502"/>
    <w:rsid w:val="00F93DAD"/>
    <w:rsid w:val="00F94DFB"/>
    <w:rsid w:val="00F955D4"/>
    <w:rsid w:val="00F9775A"/>
    <w:rsid w:val="00FA09B0"/>
    <w:rsid w:val="00FA0EE7"/>
    <w:rsid w:val="00FA1733"/>
    <w:rsid w:val="00FA1A89"/>
    <w:rsid w:val="00FA2F38"/>
    <w:rsid w:val="00FA4874"/>
    <w:rsid w:val="00FA5A2E"/>
    <w:rsid w:val="00FB04E0"/>
    <w:rsid w:val="00FB0C52"/>
    <w:rsid w:val="00FB5063"/>
    <w:rsid w:val="00FB5242"/>
    <w:rsid w:val="00FB5526"/>
    <w:rsid w:val="00FB694F"/>
    <w:rsid w:val="00FB6963"/>
    <w:rsid w:val="00FC0E90"/>
    <w:rsid w:val="00FC2A14"/>
    <w:rsid w:val="00FC68F5"/>
    <w:rsid w:val="00FD1B1B"/>
    <w:rsid w:val="00FD32BA"/>
    <w:rsid w:val="00FD7FA8"/>
    <w:rsid w:val="00FE02D0"/>
    <w:rsid w:val="00FE1303"/>
    <w:rsid w:val="00FE5064"/>
    <w:rsid w:val="00FE5520"/>
    <w:rsid w:val="00FE6B87"/>
    <w:rsid w:val="00FE765F"/>
    <w:rsid w:val="00FF0C36"/>
    <w:rsid w:val="00FF3AEA"/>
    <w:rsid w:val="00FF4054"/>
    <w:rsid w:val="00FF454F"/>
    <w:rsid w:val="00FF5700"/>
    <w:rsid w:val="00FF5C60"/>
    <w:rsid w:val="00F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94E59"/>
  <w15:docId w15:val="{E768EE07-A6A0-48FF-B190-011E6D9C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13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Bullet1,List Paragraph1,Akapit z listą11,aotm_załączniki,Akapit z listą1,Table Legend,BulletPoints,podpunkt ankietyy,5 - W tabeli,Dot pt,F5 List Paragraph,No Spacing1,List Paragraph Char Char Char,Indicator Text,List Paragraph"/>
    <w:basedOn w:val="Normalny"/>
    <w:link w:val="AkapitzlistZnak"/>
    <w:uiPriority w:val="34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Bullet1 Znak,List Paragraph1 Znak,Akapit z listą11 Znak,aotm_załączniki Znak,Akapit z listą1 Znak,Table Legend Znak,BulletPoints Znak,podpunkt ankietyy Znak,5 - W tabeli Znak,Dot pt Znak,F5 List Paragraph Znak"/>
    <w:basedOn w:val="Domylnaczcionkaakapitu"/>
    <w:link w:val="Akapitzlist"/>
    <w:uiPriority w:val="34"/>
    <w:qFormat/>
    <w:locked/>
    <w:rsid w:val="00D567C1"/>
  </w:style>
  <w:style w:type="paragraph" w:customStyle="1" w:styleId="TableParagraph">
    <w:name w:val="Table Paragraph"/>
    <w:basedOn w:val="Normalny"/>
    <w:uiPriority w:val="1"/>
    <w:qFormat/>
    <w:rsid w:val="00330E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f01">
    <w:name w:val="cf01"/>
    <w:basedOn w:val="Domylnaczcionkaakapitu"/>
    <w:rsid w:val="00CE753B"/>
    <w:rPr>
      <w:rFonts w:ascii="Segoe UI" w:hAnsi="Segoe UI" w:cs="Segoe UI" w:hint="default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A3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3C7C"/>
  </w:style>
  <w:style w:type="paragraph" w:customStyle="1" w:styleId="pf0">
    <w:name w:val="pf0"/>
    <w:basedOn w:val="Normalny"/>
    <w:rsid w:val="00D96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f11">
    <w:name w:val="cf11"/>
    <w:basedOn w:val="Domylnaczcionkaakapitu"/>
    <w:rsid w:val="00D96DEC"/>
    <w:rPr>
      <w:rFonts w:ascii="Segoe UI" w:hAnsi="Segoe UI" w:cs="Segoe UI" w:hint="default"/>
      <w:b/>
      <w:bCs/>
      <w:sz w:val="18"/>
      <w:szCs w:val="18"/>
    </w:rPr>
  </w:style>
  <w:style w:type="paragraph" w:customStyle="1" w:styleId="Default">
    <w:name w:val="Default"/>
    <w:rsid w:val="00FE6B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0934BE7FCACC428F46B88B00F70F50" ma:contentTypeVersion="14" ma:contentTypeDescription="Utwórz nowy dokument." ma:contentTypeScope="" ma:versionID="1afd44bfe070e428da9d897acd806f70">
  <xsd:schema xmlns:xsd="http://www.w3.org/2001/XMLSchema" xmlns:xs="http://www.w3.org/2001/XMLSchema" xmlns:p="http://schemas.microsoft.com/office/2006/metadata/properties" xmlns:ns3="4628fd8d-bcf2-4bab-a41d-8c4f189e6877" xmlns:ns4="46f44cfc-78f6-4d59-a1d7-7bc9a0fa49c3" targetNamespace="http://schemas.microsoft.com/office/2006/metadata/properties" ma:root="true" ma:fieldsID="328525aacde8a978f8be204c5eaeafb0" ns3:_="" ns4:_="">
    <xsd:import namespace="4628fd8d-bcf2-4bab-a41d-8c4f189e6877"/>
    <xsd:import namespace="46f44cfc-78f6-4d59-a1d7-7bc9a0fa49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8fd8d-bcf2-4bab-a41d-8c4f189e6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44cfc-78f6-4d59-a1d7-7bc9a0fa4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8fd8d-bcf2-4bab-a41d-8c4f189e6877" xsi:nil="true"/>
  </documentManagement>
</p:properties>
</file>

<file path=customXml/itemProps1.xml><?xml version="1.0" encoding="utf-8"?>
<ds:datastoreItem xmlns:ds="http://schemas.openxmlformats.org/officeDocument/2006/customXml" ds:itemID="{C3FD0CC4-AD32-437F-9ED5-5318A9192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847E5-DDEB-47DF-AD08-C5D174DD8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8fd8d-bcf2-4bab-a41d-8c4f189e6877"/>
    <ds:schemaRef ds:uri="46f44cfc-78f6-4d59-a1d7-7bc9a0fa4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A4630F-146B-4147-A8ED-6D05E07B3A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AA32DE-3AEF-42AF-8899-2EDE651EA1DD}">
  <ds:schemaRefs>
    <ds:schemaRef ds:uri="http://schemas.microsoft.com/office/2006/metadata/properties"/>
    <ds:schemaRef ds:uri="http://schemas.microsoft.com/office/infopath/2007/PartnerControls"/>
    <ds:schemaRef ds:uri="4628fd8d-bcf2-4bab-a41d-8c4f189e68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10394</Words>
  <Characters>62369</Characters>
  <Application>Microsoft Office Word</Application>
  <DocSecurity>0</DocSecurity>
  <Lines>519</Lines>
  <Paragraphs>145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Wilk Justyna</cp:lastModifiedBy>
  <cp:revision>4</cp:revision>
  <dcterms:created xsi:type="dcterms:W3CDTF">2025-09-15T08:02:00Z</dcterms:created>
  <dcterms:modified xsi:type="dcterms:W3CDTF">2025-09-15T08:20:00Z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0x0101006B0934BE7FCACC428F46B88B00F70F50</vt:lpwstr>
  </property>
  <property fmtid="{D5CDD505-2E9C-101B-9397-08002B2CF9AE}" pid="3" name="MSIP_Label_e81acc0d-dcc4-4dc9-a2c5-be70b05a2fe6_Enabled">
    <vt:lpwstr>true</vt:lpwstr>
  </property>
  <property fmtid="{D5CDD505-2E9C-101B-9397-08002B2CF9AE}" pid="4" name="MSIP_Label_e81acc0d-dcc4-4dc9-a2c5-be70b05a2fe6_SetDate">
    <vt:lpwstr>2023-06-13T15:06:26Z</vt:lpwstr>
  </property>
  <property fmtid="{D5CDD505-2E9C-101B-9397-08002B2CF9AE}" pid="5" name="MSIP_Label_e81acc0d-dcc4-4dc9-a2c5-be70b05a2fe6_Method">
    <vt:lpwstr>Privileged</vt:lpwstr>
  </property>
  <property fmtid="{D5CDD505-2E9C-101B-9397-08002B2CF9AE}" pid="6" name="MSIP_Label_e81acc0d-dcc4-4dc9-a2c5-be70b05a2fe6_Name">
    <vt:lpwstr>e81acc0d-dcc4-4dc9-a2c5-be70b05a2fe6</vt:lpwstr>
  </property>
  <property fmtid="{D5CDD505-2E9C-101B-9397-08002B2CF9AE}" pid="7" name="MSIP_Label_e81acc0d-dcc4-4dc9-a2c5-be70b05a2fe6_SiteId">
    <vt:lpwstr>a00de4ec-48a8-43a6-be74-e31274e2060d</vt:lpwstr>
  </property>
  <property fmtid="{D5CDD505-2E9C-101B-9397-08002B2CF9AE}" pid="8" name="MSIP_Label_e81acc0d-dcc4-4dc9-a2c5-be70b05a2fe6_ActionId">
    <vt:lpwstr>c70afa18-a5ef-43d9-ad9b-ab9339cb562f</vt:lpwstr>
  </property>
  <property fmtid="{D5CDD505-2E9C-101B-9397-08002B2CF9AE}" pid="9" name="MSIP_Label_e81acc0d-dcc4-4dc9-a2c5-be70b05a2fe6_ContentBits">
    <vt:lpwstr>0</vt:lpwstr>
  </property>
  <property fmtid="{D5CDD505-2E9C-101B-9397-08002B2CF9AE}" pid="10" name="MerckAIPLabel">
    <vt:lpwstr>NotClassified</vt:lpwstr>
  </property>
  <property fmtid="{D5CDD505-2E9C-101B-9397-08002B2CF9AE}" pid="11" name="MerckAIPDataExchange">
    <vt:lpwstr>!MRKMIP@NotClassified</vt:lpwstr>
  </property>
  <property fmtid="{D5CDD505-2E9C-101B-9397-08002B2CF9AE}" pid="12" name="_NewReviewCycle">
    <vt:lpwstr/>
  </property>
</Properties>
</file>