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394" w14:textId="77777777" w:rsidR="00520887" w:rsidRPr="00477856" w:rsidRDefault="00520887" w:rsidP="00C66DE3">
      <w:pPr>
        <w:tabs>
          <w:tab w:val="left" w:pos="5865"/>
        </w:tabs>
        <w:spacing w:after="0" w:line="240" w:lineRule="auto"/>
        <w:jc w:val="both"/>
        <w:rPr>
          <w:rFonts w:eastAsia="Times New Roman" w:cs="Times New Roman"/>
          <w:noProof/>
          <w:lang w:eastAsia="pl-PL"/>
        </w:rPr>
      </w:pPr>
      <w:r w:rsidRPr="00477856">
        <w:rPr>
          <w:rFonts w:eastAsia="Times New Roman" w:cs="Times New Roman"/>
          <w:noProof/>
          <w:lang w:eastAsia="pl-PL"/>
        </w:rPr>
        <w:t>Załącznik B.95.</w:t>
      </w:r>
    </w:p>
    <w:p w14:paraId="0B608CA8" w14:textId="77777777" w:rsidR="00C66DE3" w:rsidRPr="00477856" w:rsidRDefault="00C66DE3" w:rsidP="00C66DE3">
      <w:pPr>
        <w:tabs>
          <w:tab w:val="left" w:pos="5865"/>
        </w:tabs>
        <w:spacing w:after="0" w:line="240" w:lineRule="auto"/>
        <w:jc w:val="both"/>
        <w:rPr>
          <w:rFonts w:eastAsia="Times New Roman" w:cs="Times New Roman"/>
          <w:b/>
          <w:noProof/>
          <w:lang w:eastAsia="pl-PL"/>
        </w:rPr>
      </w:pPr>
    </w:p>
    <w:p w14:paraId="1200AE20" w14:textId="2C5CEFCB" w:rsidR="009B6E4C" w:rsidRPr="00477856" w:rsidRDefault="00160BD6" w:rsidP="00C7766E">
      <w:pPr>
        <w:tabs>
          <w:tab w:val="left" w:pos="5865"/>
        </w:tabs>
        <w:spacing w:after="240" w:line="240" w:lineRule="auto"/>
        <w:jc w:val="both"/>
        <w:rPr>
          <w:rFonts w:eastAsia="Times New Roman" w:cs="Times New Roman"/>
          <w:b/>
          <w:noProof/>
          <w:sz w:val="28"/>
          <w:szCs w:val="24"/>
          <w:lang w:eastAsia="pl-PL"/>
        </w:rPr>
      </w:pPr>
      <w:bookmarkStart w:id="0" w:name="_Hlk143171121"/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LECZENIE </w:t>
      </w:r>
      <w:r w:rsidR="00D2291F"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CHORYCH Z </w:t>
      </w:r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>ATYPOW</w:t>
      </w:r>
      <w:r w:rsidR="00D2291F"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>YM</w:t>
      </w:r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ZESPOŁ</w:t>
      </w:r>
      <w:r w:rsidR="00D2291F"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>EM</w:t>
      </w:r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HEMOLITYCZNO-MOCZNICOW</w:t>
      </w:r>
      <w:r w:rsidR="00D2291F"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>YM</w:t>
      </w:r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(aHUS) (ICD-10</w:t>
      </w:r>
      <w:r w:rsidR="00180DA8"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>:</w:t>
      </w:r>
      <w:r w:rsidRPr="00477856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D59.3)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665"/>
        <w:gridCol w:w="4109"/>
        <w:gridCol w:w="5614"/>
      </w:tblGrid>
      <w:tr w:rsidR="00C66DE3" w:rsidRPr="00477856" w14:paraId="7DC31DEF" w14:textId="77777777" w:rsidTr="00180DA8">
        <w:trPr>
          <w:trHeight w:val="567"/>
        </w:trPr>
        <w:tc>
          <w:tcPr>
            <w:tcW w:w="5000" w:type="pct"/>
            <w:gridSpan w:val="3"/>
            <w:vAlign w:val="center"/>
          </w:tcPr>
          <w:bookmarkEnd w:id="0"/>
          <w:p w14:paraId="3F24B1BB" w14:textId="77777777" w:rsidR="00097CEA" w:rsidRPr="00477856" w:rsidRDefault="00981304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477856">
              <w:rPr>
                <w:rFonts w:cs="Times New Roman"/>
                <w:b/>
                <w:noProof/>
                <w:sz w:val="20"/>
                <w:szCs w:val="20"/>
              </w:rPr>
              <w:t>ZAKRES ŚWIADCZENIA GWARANTOWANEGO</w:t>
            </w:r>
          </w:p>
        </w:tc>
      </w:tr>
      <w:tr w:rsidR="00C66DE3" w:rsidRPr="00477856" w14:paraId="556A10D5" w14:textId="77777777" w:rsidTr="00180DA8">
        <w:trPr>
          <w:trHeight w:val="567"/>
        </w:trPr>
        <w:tc>
          <w:tcPr>
            <w:tcW w:w="1841" w:type="pct"/>
            <w:vAlign w:val="center"/>
          </w:tcPr>
          <w:p w14:paraId="41605335" w14:textId="77777777" w:rsidR="00097CEA" w:rsidRPr="00477856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477856">
              <w:rPr>
                <w:rFonts w:cs="Times New Roman"/>
                <w:b/>
                <w:noProof/>
                <w:sz w:val="20"/>
                <w:szCs w:val="20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2764FBFC" w14:textId="77777777" w:rsidR="00097CEA" w:rsidRPr="00477856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477856">
              <w:rPr>
                <w:rFonts w:cs="Times New Roman"/>
                <w:b/>
                <w:noProof/>
                <w:sz w:val="20"/>
                <w:szCs w:val="20"/>
              </w:rPr>
              <w:t>SCHEMAT DAWKOWANIA</w:t>
            </w:r>
          </w:p>
        </w:tc>
        <w:tc>
          <w:tcPr>
            <w:tcW w:w="1823" w:type="pct"/>
            <w:vAlign w:val="center"/>
          </w:tcPr>
          <w:p w14:paraId="6823C351" w14:textId="77777777" w:rsidR="00361D71" w:rsidRPr="00477856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477856">
              <w:rPr>
                <w:rFonts w:cs="Times New Roman"/>
                <w:b/>
                <w:noProof/>
                <w:sz w:val="20"/>
                <w:szCs w:val="20"/>
              </w:rPr>
              <w:t xml:space="preserve">BADANIA DIAGNOSTYCZNE WYKONYWANE </w:t>
            </w:r>
          </w:p>
          <w:p w14:paraId="3F08F349" w14:textId="77777777" w:rsidR="00097CEA" w:rsidRPr="00477856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477856">
              <w:rPr>
                <w:rFonts w:cs="Times New Roman"/>
                <w:b/>
                <w:noProof/>
                <w:sz w:val="20"/>
                <w:szCs w:val="20"/>
              </w:rPr>
              <w:t>W RAMACH PROGRAMU</w:t>
            </w:r>
          </w:p>
        </w:tc>
      </w:tr>
      <w:tr w:rsidR="00C66DE3" w:rsidRPr="00361D71" w14:paraId="26837174" w14:textId="77777777" w:rsidTr="00180DA8">
        <w:trPr>
          <w:trHeight w:val="20"/>
        </w:trPr>
        <w:tc>
          <w:tcPr>
            <w:tcW w:w="1841" w:type="pct"/>
          </w:tcPr>
          <w:p w14:paraId="40B467F6" w14:textId="77777777" w:rsidR="00D610AA" w:rsidRPr="008E74DC" w:rsidRDefault="00D610AA" w:rsidP="008E74DC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W ramach programu lekowego udostępnia się terapie:</w:t>
            </w:r>
          </w:p>
          <w:p w14:paraId="64050D00" w14:textId="35FA8075" w:rsidR="00D610AA" w:rsidRPr="008E74DC" w:rsidRDefault="00D610AA" w:rsidP="008E74DC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i/>
                <w:iCs/>
                <w:sz w:val="20"/>
                <w:szCs w:val="20"/>
                <w:lang w:eastAsia="pl-PL"/>
              </w:rPr>
              <w:t>ekulizumabem</w:t>
            </w:r>
            <w:r w:rsidRPr="008E74DC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01019D41" w14:textId="0623CA63" w:rsidR="00D610AA" w:rsidRPr="008E74DC" w:rsidRDefault="00D610AA" w:rsidP="008E74DC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i/>
                <w:iCs/>
                <w:sz w:val="20"/>
                <w:szCs w:val="20"/>
                <w:lang w:eastAsia="pl-PL"/>
              </w:rPr>
              <w:t>rawulizumabem,</w:t>
            </w:r>
          </w:p>
          <w:p w14:paraId="30D0A187" w14:textId="77777777" w:rsidR="00D610AA" w:rsidRPr="008E74DC" w:rsidRDefault="00D610AA" w:rsidP="008E74DC">
            <w:pPr>
              <w:tabs>
                <w:tab w:val="left" w:pos="1095"/>
              </w:tabs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u w:val="single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0EFAE809" w14:textId="77777777" w:rsidR="005D1081" w:rsidRPr="008E74DC" w:rsidRDefault="005D1081" w:rsidP="008E74DC">
            <w:pPr>
              <w:tabs>
                <w:tab w:val="left" w:pos="1095"/>
              </w:tabs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  <w:p w14:paraId="4ED17A6E" w14:textId="6FE067CC" w:rsidR="00D610AA" w:rsidRPr="008E74DC" w:rsidRDefault="00D610AA" w:rsidP="008E74DC">
            <w:pPr>
              <w:tabs>
                <w:tab w:val="left" w:pos="1095"/>
              </w:tabs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Kwalifikacja świadczeniobiorców do programu przeprowadzana jest przez </w:t>
            </w:r>
            <w:r w:rsidR="005D1081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Zespół Koordynacyjny do Spraw Leczenia Atypowego Zespołu Hemolityczno-mocznicowego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powoływany przez Prezesa Narodowego Funduszu Zdrowia.</w:t>
            </w:r>
          </w:p>
          <w:p w14:paraId="414669F7" w14:textId="77777777" w:rsidR="00D610AA" w:rsidRPr="008E74DC" w:rsidRDefault="00D610AA" w:rsidP="008E74DC">
            <w:pPr>
              <w:tabs>
                <w:tab w:val="left" w:pos="1095"/>
              </w:tabs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</w:p>
          <w:p w14:paraId="6114A8FF" w14:textId="41FEB014" w:rsidR="0005789F" w:rsidRPr="008E74DC" w:rsidRDefault="0028718E" w:rsidP="008E74D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 xml:space="preserve">Kryteria </w:t>
            </w:r>
            <w:r w:rsidR="005F7453"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668D40FA" w14:textId="42C24DF0" w:rsidR="0005789F" w:rsidRPr="008E74DC" w:rsidRDefault="001B41EC" w:rsidP="008E74DC">
            <w:pPr>
              <w:pStyle w:val="Akapitzlist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</w:t>
            </w:r>
            <w:r w:rsidR="005B5E5B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 leczenia ekulizumabem lub leczenia dorosłych, młodzieży lub dzieci o masie ciała ≥ 10 kg rawulizumabem nie leczonych wcześniej ekulizumabem, kwalifikowani są pacjenci z rozpoznanym atypowym zespołem hemolityczno</w:t>
            </w:r>
            <w:r w:rsidR="00362EB6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-</w:t>
            </w:r>
            <w:r w:rsidR="005B5E5B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mocznicowym i spełniający </w:t>
            </w:r>
            <w:r w:rsidR="00885205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łącznie </w:t>
            </w:r>
            <w:r w:rsidR="005B5E5B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poniższe warunki:</w:t>
            </w:r>
          </w:p>
          <w:p w14:paraId="54029B4C" w14:textId="77777777" w:rsidR="0005789F" w:rsidRPr="008E74DC" w:rsidRDefault="00077BB5" w:rsidP="009A209C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 xml:space="preserve">pacjenci z </w:t>
            </w:r>
            <w:proofErr w:type="spellStart"/>
            <w:r w:rsidRPr="008E74DC">
              <w:rPr>
                <w:rFonts w:eastAsia="Calibri" w:cs="Times New Roman"/>
                <w:sz w:val="20"/>
                <w:szCs w:val="20"/>
              </w:rPr>
              <w:t>aHUS</w:t>
            </w:r>
            <w:proofErr w:type="spellEnd"/>
            <w:r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AA1711" w:rsidRPr="008E74DC">
              <w:rPr>
                <w:rFonts w:eastAsia="Calibri" w:cs="Times New Roman"/>
                <w:sz w:val="20"/>
                <w:szCs w:val="20"/>
              </w:rPr>
              <w:t>z</w:t>
            </w:r>
            <w:r w:rsidR="00504605" w:rsidRPr="008E74DC">
              <w:rPr>
                <w:rFonts w:eastAsia="Calibri" w:cs="Times New Roman"/>
                <w:sz w:val="20"/>
                <w:szCs w:val="20"/>
              </w:rPr>
              <w:t xml:space="preserve"> następującymi</w:t>
            </w:r>
            <w:r w:rsidR="00AA1711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F72E4D" w:rsidRPr="008E74DC">
              <w:rPr>
                <w:rFonts w:eastAsia="Calibri" w:cs="Times New Roman"/>
                <w:sz w:val="20"/>
                <w:szCs w:val="20"/>
              </w:rPr>
              <w:t xml:space="preserve">objawami </w:t>
            </w:r>
            <w:proofErr w:type="spellStart"/>
            <w:r w:rsidR="00AF04B0" w:rsidRPr="008E74DC">
              <w:rPr>
                <w:rFonts w:eastAsia="Calibri" w:cs="Times New Roman"/>
                <w:sz w:val="20"/>
                <w:szCs w:val="20"/>
              </w:rPr>
              <w:t>mikroangiopatii</w:t>
            </w:r>
            <w:proofErr w:type="spellEnd"/>
            <w:r w:rsidR="00AF04B0" w:rsidRPr="008E74DC">
              <w:rPr>
                <w:rFonts w:eastAsia="Calibri" w:cs="Times New Roman"/>
                <w:sz w:val="20"/>
                <w:szCs w:val="20"/>
              </w:rPr>
              <w:t xml:space="preserve"> zakrzepowej</w:t>
            </w:r>
            <w:r w:rsidRPr="008E74DC">
              <w:rPr>
                <w:rFonts w:eastAsia="Calibri" w:cs="Times New Roman"/>
                <w:sz w:val="20"/>
                <w:szCs w:val="20"/>
              </w:rPr>
              <w:t>: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14:paraId="3653969E" w14:textId="77777777" w:rsidR="00477856" w:rsidRPr="008E74DC" w:rsidRDefault="00477856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spełnienie jednego z kryteriów:</w:t>
            </w:r>
          </w:p>
          <w:p w14:paraId="030CA2B5" w14:textId="405C7725" w:rsidR="0005789F" w:rsidRPr="008E74DC" w:rsidRDefault="00AF04B0" w:rsidP="009A209C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t</w:t>
            </w:r>
            <w:r w:rsidR="00673048" w:rsidRPr="008E74DC">
              <w:rPr>
                <w:rFonts w:eastAsia="Calibri" w:cs="Times New Roman"/>
                <w:sz w:val="20"/>
                <w:szCs w:val="20"/>
              </w:rPr>
              <w:t>rombocytopenia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753748" w:rsidRPr="008E74DC">
              <w:rPr>
                <w:rFonts w:eastAsia="Calibri" w:cs="Times New Roman"/>
                <w:sz w:val="20"/>
                <w:szCs w:val="20"/>
              </w:rPr>
              <w:t xml:space="preserve">oraz </w:t>
            </w:r>
            <w:r w:rsidR="00673048" w:rsidRPr="008E74DC">
              <w:rPr>
                <w:rFonts w:eastAsia="Calibri" w:cs="Times New Roman"/>
                <w:sz w:val="20"/>
                <w:szCs w:val="20"/>
              </w:rPr>
              <w:t>hemoliza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 xml:space="preserve">: 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>liczba</w:t>
            </w:r>
            <w:r w:rsidR="00AB1BB1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>płytek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 xml:space="preserve"> &lt;150 x 10</w:t>
            </w:r>
            <w:r w:rsidR="0005789F" w:rsidRPr="008E74DC">
              <w:rPr>
                <w:rFonts w:eastAsia="Calibri" w:cs="Times New Roman"/>
                <w:sz w:val="20"/>
                <w:szCs w:val="20"/>
                <w:vertAlign w:val="superscript"/>
              </w:rPr>
              <w:t>9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 xml:space="preserve">/L </w:t>
            </w:r>
            <w:r w:rsidR="00753748" w:rsidRPr="008E74DC">
              <w:rPr>
                <w:rFonts w:eastAsia="Calibri" w:cs="Times New Roman"/>
                <w:sz w:val="20"/>
                <w:szCs w:val="20"/>
              </w:rPr>
              <w:t xml:space="preserve">lub 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 xml:space="preserve">&gt; 25% 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>spadek w stosunku do stanu</w:t>
            </w:r>
            <w:r w:rsidR="008D48AB" w:rsidRPr="008E74DC">
              <w:rPr>
                <w:rFonts w:eastAsia="Calibri" w:cs="Times New Roman"/>
                <w:sz w:val="20"/>
                <w:szCs w:val="20"/>
              </w:rPr>
              <w:t xml:space="preserve"> wyjściowego</w:t>
            </w:r>
            <w:r w:rsidR="00D77A41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 xml:space="preserve">i </w:t>
            </w:r>
            <w:r w:rsidR="00CF5366" w:rsidRPr="008E74DC">
              <w:rPr>
                <w:rFonts w:eastAsia="Calibri" w:cs="Times New Roman"/>
                <w:sz w:val="20"/>
                <w:szCs w:val="20"/>
              </w:rPr>
              <w:t>podwyższone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CF5366" w:rsidRPr="008E74DC">
              <w:rPr>
                <w:rFonts w:eastAsia="Calibri" w:cs="Times New Roman"/>
                <w:sz w:val="20"/>
                <w:szCs w:val="20"/>
              </w:rPr>
              <w:t>stężenie</w:t>
            </w:r>
            <w:r w:rsidR="005B5BA4" w:rsidRPr="008E74DC">
              <w:rPr>
                <w:rFonts w:eastAsia="Calibri" w:cs="Times New Roman"/>
                <w:sz w:val="20"/>
                <w:szCs w:val="20"/>
              </w:rPr>
              <w:t xml:space="preserve"> LDH </w:t>
            </w:r>
            <w:r w:rsidR="00753748" w:rsidRPr="008E74DC">
              <w:rPr>
                <w:rFonts w:eastAsia="Calibri" w:cs="Times New Roman"/>
                <w:sz w:val="20"/>
                <w:szCs w:val="20"/>
              </w:rPr>
              <w:t xml:space="preserve">lub </w:t>
            </w:r>
            <w:r w:rsidR="00AB1BB1" w:rsidRPr="008E74DC">
              <w:rPr>
                <w:rFonts w:eastAsia="Calibri" w:cs="Times New Roman"/>
                <w:sz w:val="20"/>
                <w:szCs w:val="20"/>
              </w:rPr>
              <w:t xml:space="preserve">rozpad </w:t>
            </w:r>
            <w:r w:rsidR="00AB1BB1" w:rsidRPr="008E74DC">
              <w:rPr>
                <w:rFonts w:eastAsia="Calibri" w:cs="Times New Roman"/>
                <w:sz w:val="20"/>
                <w:szCs w:val="20"/>
              </w:rPr>
              <w:lastRenderedPageBreak/>
              <w:t>krwinek czerwonych</w:t>
            </w:r>
            <w:r w:rsidR="00EA4787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AB1BB1" w:rsidRPr="008E74DC">
              <w:rPr>
                <w:rFonts w:eastAsia="Calibri" w:cs="Times New Roman"/>
                <w:sz w:val="20"/>
                <w:szCs w:val="20"/>
              </w:rPr>
              <w:t xml:space="preserve">(obecność </w:t>
            </w:r>
            <w:proofErr w:type="spellStart"/>
            <w:r w:rsidR="00AB1BB1" w:rsidRPr="008E74DC">
              <w:rPr>
                <w:rFonts w:eastAsia="Calibri" w:cs="Times New Roman"/>
                <w:sz w:val="20"/>
                <w:szCs w:val="20"/>
              </w:rPr>
              <w:t>schistocytów</w:t>
            </w:r>
            <w:proofErr w:type="spellEnd"/>
            <w:r w:rsidR="00AB1BB1" w:rsidRPr="008E74DC">
              <w:rPr>
                <w:rFonts w:eastAsia="Calibri" w:cs="Times New Roman"/>
                <w:sz w:val="20"/>
                <w:szCs w:val="20"/>
              </w:rPr>
              <w:t xml:space="preserve">) lub niskie stężenie </w:t>
            </w:r>
            <w:proofErr w:type="spellStart"/>
            <w:r w:rsidR="00AB1BB1" w:rsidRPr="008E74DC">
              <w:rPr>
                <w:rFonts w:eastAsia="Calibri" w:cs="Times New Roman"/>
                <w:sz w:val="20"/>
                <w:szCs w:val="20"/>
              </w:rPr>
              <w:t>haptoglobiny</w:t>
            </w:r>
            <w:proofErr w:type="spellEnd"/>
            <w:r w:rsidR="00AB1BB1" w:rsidRPr="008E74DC">
              <w:rPr>
                <w:rFonts w:eastAsia="Calibri" w:cs="Times New Roman"/>
                <w:sz w:val="20"/>
                <w:szCs w:val="20"/>
              </w:rPr>
              <w:t xml:space="preserve"> lub anemia hemolityczna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16CAA30B" w14:textId="77777777" w:rsidR="0005789F" w:rsidRPr="008E74DC" w:rsidRDefault="00753748" w:rsidP="009A209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lub</w:t>
            </w:r>
          </w:p>
          <w:p w14:paraId="76DD93B1" w14:textId="09209846" w:rsidR="0005789F" w:rsidRPr="008E74DC" w:rsidRDefault="00AF04B0" w:rsidP="009A209C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b</w:t>
            </w:r>
            <w:r w:rsidR="002A77FC" w:rsidRPr="008E74DC">
              <w:rPr>
                <w:rFonts w:eastAsia="Calibri" w:cs="Times New Roman"/>
                <w:sz w:val="20"/>
                <w:szCs w:val="20"/>
              </w:rPr>
              <w:t xml:space="preserve">iopsja tkankowa potwierdzająca </w:t>
            </w:r>
            <w:proofErr w:type="spellStart"/>
            <w:r w:rsidRPr="008E74DC">
              <w:rPr>
                <w:rFonts w:eastAsia="Calibri" w:cs="Times New Roman"/>
                <w:sz w:val="20"/>
                <w:szCs w:val="20"/>
              </w:rPr>
              <w:t>mikroangiopatię</w:t>
            </w:r>
            <w:proofErr w:type="spellEnd"/>
            <w:r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953D1E" w:rsidRPr="008E74DC">
              <w:rPr>
                <w:rFonts w:eastAsia="Calibri" w:cs="Times New Roman"/>
                <w:sz w:val="20"/>
                <w:szCs w:val="20"/>
              </w:rPr>
              <w:t>zakrzepow</w:t>
            </w:r>
            <w:r w:rsidRPr="008E74DC">
              <w:rPr>
                <w:rFonts w:eastAsia="Calibri" w:cs="Times New Roman"/>
                <w:sz w:val="20"/>
                <w:szCs w:val="20"/>
              </w:rPr>
              <w:t>ą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2D77F513" w14:textId="77777777" w:rsidR="0005789F" w:rsidRPr="008E74DC" w:rsidRDefault="00753748" w:rsidP="009A209C">
            <w:pPr>
              <w:pStyle w:val="Akapitzlist"/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oraz</w:t>
            </w:r>
          </w:p>
          <w:p w14:paraId="6E019279" w14:textId="77777777" w:rsidR="0005789F" w:rsidRPr="008E74DC" w:rsidRDefault="00EA4787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z</w:t>
            </w:r>
            <w:r w:rsidR="0028550B" w:rsidRPr="008E74DC">
              <w:rPr>
                <w:rFonts w:eastAsia="Calibri" w:cs="Times New Roman"/>
                <w:sz w:val="20"/>
                <w:szCs w:val="20"/>
              </w:rPr>
              <w:t xml:space="preserve">wiązane z </w:t>
            </w:r>
            <w:proofErr w:type="spellStart"/>
            <w:r w:rsidRPr="008E74DC">
              <w:rPr>
                <w:rFonts w:eastAsia="Calibri" w:cs="Times New Roman"/>
                <w:sz w:val="20"/>
                <w:szCs w:val="20"/>
              </w:rPr>
              <w:t>mikroangiopatią</w:t>
            </w:r>
            <w:proofErr w:type="spellEnd"/>
            <w:r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953D1E" w:rsidRPr="008E74DC">
              <w:rPr>
                <w:rFonts w:eastAsia="Calibri" w:cs="Times New Roman"/>
                <w:sz w:val="20"/>
                <w:szCs w:val="20"/>
              </w:rPr>
              <w:t>zakrzepow</w:t>
            </w:r>
            <w:r w:rsidRPr="008E74DC">
              <w:rPr>
                <w:rFonts w:eastAsia="Calibri" w:cs="Times New Roman"/>
                <w:sz w:val="20"/>
                <w:szCs w:val="20"/>
              </w:rPr>
              <w:t>ą</w:t>
            </w:r>
            <w:r w:rsidR="0028550B" w:rsidRPr="008E74DC">
              <w:rPr>
                <w:rFonts w:eastAsia="Calibri" w:cs="Times New Roman"/>
                <w:sz w:val="20"/>
                <w:szCs w:val="20"/>
              </w:rPr>
              <w:t xml:space="preserve"> uszkodzenie narządów</w:t>
            </w:r>
            <w:r w:rsidR="0005789F" w:rsidRPr="008E74DC">
              <w:rPr>
                <w:rFonts w:eastAsia="Calibri" w:cs="Times New Roman"/>
                <w:sz w:val="20"/>
                <w:szCs w:val="20"/>
              </w:rPr>
              <w:t>:</w:t>
            </w:r>
          </w:p>
          <w:p w14:paraId="4D5D0B1E" w14:textId="427E67B5" w:rsidR="00AD4170" w:rsidRPr="008E74DC" w:rsidRDefault="00AD4170" w:rsidP="009A209C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9A209C">
              <w:rPr>
                <w:rFonts w:eastAsia="Calibri" w:cs="Times New Roman"/>
                <w:sz w:val="20"/>
                <w:szCs w:val="20"/>
              </w:rPr>
              <w:t>z</w:t>
            </w:r>
            <w:r w:rsidR="0068794B" w:rsidRPr="009A209C">
              <w:rPr>
                <w:rFonts w:eastAsia="Calibri" w:cs="Times New Roman"/>
                <w:sz w:val="20"/>
                <w:szCs w:val="20"/>
              </w:rPr>
              <w:t>aburzenia czynności nerek potwierdzone poziomem kreatyniny w surowicy</w:t>
            </w:r>
            <w:r w:rsidR="0005789F" w:rsidRPr="009A209C">
              <w:rPr>
                <w:rFonts w:eastAsia="Calibri" w:cs="Times New Roman"/>
                <w:sz w:val="20"/>
                <w:szCs w:val="20"/>
              </w:rPr>
              <w:t xml:space="preserve"> &gt;</w:t>
            </w:r>
            <w:r w:rsidR="00A31E35" w:rsidRPr="009A209C">
              <w:rPr>
                <w:rFonts w:eastAsia="Calibri" w:cs="Times New Roman"/>
                <w:sz w:val="20"/>
                <w:szCs w:val="20"/>
              </w:rPr>
              <w:t>górna granica normy dla wieku</w:t>
            </w:r>
            <w:r w:rsidR="001B41EC"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5E87FBB0" w14:textId="77777777" w:rsidR="00F833FB" w:rsidRPr="008E74DC" w:rsidRDefault="00753748" w:rsidP="009A209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lub </w:t>
            </w:r>
          </w:p>
          <w:p w14:paraId="05804BC1" w14:textId="138E8B70" w:rsidR="007F3672" w:rsidRPr="009A209C" w:rsidRDefault="00F23E89" w:rsidP="009A209C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Calibri" w:cs="Times New Roman"/>
                <w:sz w:val="20"/>
                <w:szCs w:val="20"/>
              </w:rPr>
            </w:pPr>
            <w:r w:rsidRPr="009A209C">
              <w:rPr>
                <w:rFonts w:eastAsia="Calibri" w:cs="Times New Roman"/>
                <w:sz w:val="20"/>
                <w:szCs w:val="20"/>
              </w:rPr>
              <w:t>h</w:t>
            </w:r>
            <w:r w:rsidR="0005789F" w:rsidRPr="009A209C" w:rsidDel="00910DC2">
              <w:rPr>
                <w:rFonts w:eastAsia="Calibri" w:cs="Times New Roman"/>
                <w:sz w:val="20"/>
                <w:szCs w:val="20"/>
              </w:rPr>
              <w:t>emo</w:t>
            </w:r>
            <w:r w:rsidR="00254C0A" w:rsidRPr="009A209C">
              <w:rPr>
                <w:rFonts w:eastAsia="Calibri" w:cs="Times New Roman"/>
                <w:sz w:val="20"/>
                <w:szCs w:val="20"/>
              </w:rPr>
              <w:t>dializa</w:t>
            </w:r>
            <w:r w:rsidR="007F3672" w:rsidRPr="009A209C">
              <w:rPr>
                <w:rFonts w:eastAsia="Calibri" w:cs="Times New Roman"/>
                <w:sz w:val="20"/>
                <w:szCs w:val="20"/>
              </w:rPr>
              <w:t xml:space="preserve">, </w:t>
            </w:r>
          </w:p>
          <w:p w14:paraId="2D49A816" w14:textId="77777777" w:rsidR="00F833FB" w:rsidRPr="008E74DC" w:rsidRDefault="00CC599B" w:rsidP="009A209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lub </w:t>
            </w:r>
          </w:p>
          <w:p w14:paraId="25E6D407" w14:textId="21CF6B07" w:rsidR="00AD4170" w:rsidRPr="009A209C" w:rsidRDefault="00CC599B" w:rsidP="009A209C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Calibri" w:cs="Times New Roman"/>
                <w:sz w:val="20"/>
                <w:szCs w:val="20"/>
              </w:rPr>
            </w:pPr>
            <w:r w:rsidRPr="009A209C">
              <w:rPr>
                <w:rFonts w:eastAsia="Calibri" w:cs="Times New Roman"/>
                <w:sz w:val="20"/>
                <w:szCs w:val="20"/>
              </w:rPr>
              <w:t>białkomocz/ albuminuria</w:t>
            </w:r>
            <w:r w:rsidR="001B41EC" w:rsidRPr="009A209C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2360CAC4" w14:textId="77777777" w:rsidR="0005789F" w:rsidRPr="008E74DC" w:rsidRDefault="00753748" w:rsidP="009A209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l</w:t>
            </w:r>
            <w:r w:rsidR="00AD4170"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u</w:t>
            </w: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b</w:t>
            </w:r>
          </w:p>
          <w:p w14:paraId="2B025FF6" w14:textId="7A466029" w:rsidR="0005789F" w:rsidRPr="009A209C" w:rsidRDefault="00AD4170" w:rsidP="009A209C">
            <w:pPr>
              <w:pStyle w:val="Akapitzlist"/>
              <w:numPr>
                <w:ilvl w:val="5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Calibri" w:cs="Times New Roman"/>
                <w:sz w:val="20"/>
                <w:szCs w:val="20"/>
              </w:rPr>
            </w:pPr>
            <w:r w:rsidRPr="009A209C">
              <w:rPr>
                <w:rFonts w:eastAsia="Calibri" w:cs="Times New Roman"/>
                <w:sz w:val="20"/>
                <w:szCs w:val="20"/>
              </w:rPr>
              <w:t>p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owikłania</w:t>
            </w:r>
            <w:r w:rsidR="008D48AB" w:rsidRPr="009A209C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="008D48AB" w:rsidRPr="009A209C">
              <w:rPr>
                <w:rFonts w:eastAsia="Calibri" w:cs="Times New Roman"/>
                <w:sz w:val="20"/>
                <w:szCs w:val="20"/>
              </w:rPr>
              <w:t>pozanerkowe</w:t>
            </w:r>
            <w:proofErr w:type="spellEnd"/>
            <w:r w:rsidR="00A64093" w:rsidRPr="009A209C">
              <w:rPr>
                <w:rFonts w:eastAsia="Calibri" w:cs="Times New Roman"/>
                <w:sz w:val="20"/>
                <w:szCs w:val="20"/>
              </w:rPr>
              <w:t xml:space="preserve"> wywołane </w:t>
            </w:r>
            <w:proofErr w:type="spellStart"/>
            <w:r w:rsidRPr="009A209C">
              <w:rPr>
                <w:rFonts w:eastAsia="Calibri" w:cs="Times New Roman"/>
                <w:sz w:val="20"/>
                <w:szCs w:val="20"/>
              </w:rPr>
              <w:t>mikroangiopatią</w:t>
            </w:r>
            <w:proofErr w:type="spellEnd"/>
            <w:r w:rsidRPr="009A209C">
              <w:rPr>
                <w:rFonts w:eastAsia="Calibri" w:cs="Times New Roman"/>
                <w:sz w:val="20"/>
                <w:szCs w:val="20"/>
              </w:rPr>
              <w:t xml:space="preserve"> tkankową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, takie</w:t>
            </w:r>
            <w:r w:rsidR="007F3672" w:rsidRPr="009A209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jak</w:t>
            </w:r>
            <w:r w:rsidRPr="009A209C">
              <w:rPr>
                <w:rFonts w:eastAsia="Calibri" w:cs="Times New Roman"/>
                <w:sz w:val="20"/>
                <w:szCs w:val="20"/>
              </w:rPr>
              <w:t>: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 xml:space="preserve"> powikłania sercowo-naczyniowe, </w:t>
            </w:r>
            <w:r w:rsidR="007F3672" w:rsidRPr="009A209C">
              <w:rPr>
                <w:rFonts w:eastAsia="Calibri" w:cs="Times New Roman"/>
                <w:sz w:val="20"/>
                <w:szCs w:val="20"/>
              </w:rPr>
              <w:t xml:space="preserve">lub 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neur</w:t>
            </w:r>
            <w:r w:rsidR="00F23E89" w:rsidRPr="009A209C">
              <w:rPr>
                <w:rFonts w:eastAsia="Calibri" w:cs="Times New Roman"/>
                <w:sz w:val="20"/>
                <w:szCs w:val="20"/>
              </w:rPr>
              <w:t xml:space="preserve">ologiczne, </w:t>
            </w:r>
            <w:r w:rsidR="00CC599B" w:rsidRPr="009A209C">
              <w:rPr>
                <w:rFonts w:eastAsia="Calibri" w:cs="Times New Roman"/>
                <w:sz w:val="20"/>
                <w:szCs w:val="20"/>
              </w:rPr>
              <w:t>lub</w:t>
            </w:r>
            <w:r w:rsidR="00861B2A" w:rsidRPr="009A209C">
              <w:rPr>
                <w:rFonts w:eastAsia="Calibri" w:cs="Times New Roman"/>
                <w:sz w:val="20"/>
                <w:szCs w:val="20"/>
              </w:rPr>
              <w:t xml:space="preserve"> ż</w:t>
            </w:r>
            <w:r w:rsidR="00F23E89" w:rsidRPr="009A209C">
              <w:rPr>
                <w:rFonts w:eastAsia="Calibri" w:cs="Times New Roman"/>
                <w:sz w:val="20"/>
                <w:szCs w:val="20"/>
              </w:rPr>
              <w:t>ołą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dkowo-jelitowe</w:t>
            </w:r>
            <w:r w:rsidR="007F3672" w:rsidRPr="009A209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A64093" w:rsidRPr="009A209C">
              <w:rPr>
                <w:rFonts w:eastAsia="Calibri" w:cs="Times New Roman"/>
                <w:sz w:val="20"/>
                <w:szCs w:val="20"/>
              </w:rPr>
              <w:t>lub płucne</w:t>
            </w:r>
            <w:r w:rsidR="00DA6E43" w:rsidRPr="009A209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152829F3" w14:textId="77777777" w:rsidR="0005789F" w:rsidRPr="008E74DC" w:rsidRDefault="00753748" w:rsidP="009A209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lub</w:t>
            </w:r>
          </w:p>
          <w:p w14:paraId="40DE10FD" w14:textId="77777777" w:rsidR="0005789F" w:rsidRPr="008E74DC" w:rsidRDefault="00881D15" w:rsidP="009A209C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 xml:space="preserve">pacjenci z </w:t>
            </w:r>
            <w:proofErr w:type="spellStart"/>
            <w:r w:rsidR="0005789F" w:rsidRPr="008E74DC">
              <w:rPr>
                <w:rFonts w:eastAsia="Calibri" w:cs="Times New Roman"/>
                <w:sz w:val="20"/>
                <w:szCs w:val="20"/>
              </w:rPr>
              <w:t>aHUS</w:t>
            </w:r>
            <w:proofErr w:type="spellEnd"/>
            <w:r w:rsidR="00433221" w:rsidRPr="008E74DC">
              <w:rPr>
                <w:rFonts w:eastAsia="Calibri" w:cs="Times New Roman"/>
                <w:sz w:val="20"/>
                <w:szCs w:val="20"/>
              </w:rPr>
              <w:t>, u których stosowana jest</w:t>
            </w:r>
            <w:r w:rsidR="00EF253C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433221" w:rsidRPr="008E74DC">
              <w:rPr>
                <w:rFonts w:eastAsia="Calibri" w:cs="Times New Roman"/>
                <w:sz w:val="20"/>
                <w:szCs w:val="20"/>
              </w:rPr>
              <w:t>plazmafereza</w:t>
            </w:r>
            <w:r w:rsidR="00E206D5" w:rsidRPr="008E74DC">
              <w:rPr>
                <w:rFonts w:eastAsia="Calibri" w:cs="Times New Roman"/>
                <w:sz w:val="20"/>
                <w:szCs w:val="20"/>
              </w:rPr>
              <w:t>/przetoczenie osocza</w:t>
            </w:r>
            <w:r w:rsidR="00EE22F3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223E9F37" w14:textId="686B7B39" w:rsidR="0005789F" w:rsidRPr="008E74DC" w:rsidRDefault="00D36DB7" w:rsidP="009A209C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 xml:space="preserve">pacjenci z </w:t>
            </w:r>
            <w:proofErr w:type="spellStart"/>
            <w:r w:rsidR="0005789F" w:rsidRPr="008E74DC">
              <w:rPr>
                <w:rFonts w:eastAsia="Calibri" w:cs="Times New Roman"/>
                <w:sz w:val="20"/>
                <w:szCs w:val="20"/>
              </w:rPr>
              <w:t>aHUS</w:t>
            </w:r>
            <w:proofErr w:type="spellEnd"/>
            <w:r w:rsidRPr="008E74DC">
              <w:rPr>
                <w:rFonts w:eastAsia="Calibri" w:cs="Times New Roman"/>
                <w:sz w:val="20"/>
                <w:szCs w:val="20"/>
              </w:rPr>
              <w:t xml:space="preserve"> zakwalifikowani do </w:t>
            </w:r>
            <w:r w:rsidRPr="00BE623F">
              <w:rPr>
                <w:rFonts w:eastAsia="Calibri" w:cs="Times New Roman"/>
                <w:sz w:val="20"/>
                <w:szCs w:val="20"/>
              </w:rPr>
              <w:t>przeszcz</w:t>
            </w:r>
            <w:r w:rsidR="0027338A" w:rsidRPr="00BE623F">
              <w:rPr>
                <w:rFonts w:eastAsia="Calibri" w:cs="Times New Roman"/>
                <w:sz w:val="20"/>
                <w:szCs w:val="20"/>
              </w:rPr>
              <w:t>epienia</w:t>
            </w:r>
            <w:r w:rsidRPr="008E74DC">
              <w:rPr>
                <w:rFonts w:eastAsia="Calibri" w:cs="Times New Roman"/>
                <w:sz w:val="20"/>
                <w:szCs w:val="20"/>
              </w:rPr>
              <w:t xml:space="preserve"> nerki</w:t>
            </w:r>
            <w:r w:rsidR="00EE22F3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0158E3DC" w14:textId="78BE7B61" w:rsidR="0014492F" w:rsidRPr="0014492F" w:rsidRDefault="0014492F" w:rsidP="009A209C">
            <w:pPr>
              <w:tabs>
                <w:tab w:val="left" w:pos="596"/>
              </w:tabs>
              <w:suppressAutoHyphens/>
              <w:autoSpaceDN w:val="0"/>
              <w:spacing w:after="60" w:line="276" w:lineRule="auto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E623F">
              <w:rPr>
                <w:rFonts w:eastAsia="Calibri" w:cs="Times New Roman"/>
                <w:sz w:val="20"/>
                <w:szCs w:val="20"/>
              </w:rPr>
              <w:t>U</w:t>
            </w:r>
            <w:r w:rsidR="008571E4" w:rsidRPr="00BE623F">
              <w:rPr>
                <w:rFonts w:eastAsia="Calibri" w:cs="Times New Roman"/>
                <w:sz w:val="20"/>
                <w:szCs w:val="20"/>
              </w:rPr>
              <w:t xml:space="preserve"> ww. grup pacjentów z </w:t>
            </w:r>
            <w:proofErr w:type="spellStart"/>
            <w:r w:rsidR="008571E4" w:rsidRPr="00BE623F">
              <w:rPr>
                <w:rFonts w:eastAsia="Calibri" w:cs="Times New Roman"/>
                <w:sz w:val="20"/>
                <w:szCs w:val="20"/>
              </w:rPr>
              <w:t>aHUS</w:t>
            </w:r>
            <w:proofErr w:type="spellEnd"/>
            <w:r w:rsidR="008571E4" w:rsidRPr="00BE623F">
              <w:rPr>
                <w:rFonts w:eastAsia="Calibri" w:cs="Times New Roman"/>
                <w:sz w:val="20"/>
                <w:szCs w:val="20"/>
              </w:rPr>
              <w:t xml:space="preserve"> wymagane są</w:t>
            </w:r>
            <w:r w:rsidRPr="00BE623F">
              <w:rPr>
                <w:rFonts w:eastAsia="Calibri" w:cs="Times New Roman"/>
                <w:sz w:val="20"/>
                <w:szCs w:val="20"/>
              </w:rPr>
              <w:t>:</w:t>
            </w:r>
            <w:r w:rsidR="008571E4" w:rsidRPr="0014492F">
              <w:rPr>
                <w:rFonts w:eastAsia="Calibri" w:cs="Times New Roman"/>
                <w:sz w:val="20"/>
                <w:szCs w:val="20"/>
              </w:rPr>
              <w:t xml:space="preserve"> </w:t>
            </w:r>
          </w:p>
          <w:p w14:paraId="576ECAA2" w14:textId="0308BD75" w:rsidR="008571E4" w:rsidRPr="008E74DC" w:rsidRDefault="008571E4" w:rsidP="009A209C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wyniki badań:</w:t>
            </w:r>
          </w:p>
          <w:p w14:paraId="506097E5" w14:textId="77777777" w:rsidR="00EE22F3" w:rsidRPr="008E74DC" w:rsidRDefault="00EE22F3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aktywność ADAMTS-13 &gt;5%</w:t>
            </w:r>
            <w:r w:rsidR="008571E4" w:rsidRPr="008E74DC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24B00D60" w14:textId="77777777" w:rsidR="008571E4" w:rsidRPr="008E74DC" w:rsidRDefault="008571E4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negatywny wynik badania STEC (</w:t>
            </w:r>
            <w:proofErr w:type="spellStart"/>
            <w:r w:rsidRPr="008E74DC">
              <w:rPr>
                <w:rFonts w:eastAsia="Calibri" w:cs="Times New Roman"/>
                <w:sz w:val="20"/>
                <w:szCs w:val="20"/>
              </w:rPr>
              <w:t>Shiga-Toxin</w:t>
            </w:r>
            <w:proofErr w:type="spellEnd"/>
            <w:r w:rsidRPr="008E74DC">
              <w:rPr>
                <w:rFonts w:eastAsia="Calibri" w:cs="Times New Roman"/>
                <w:sz w:val="20"/>
                <w:szCs w:val="20"/>
              </w:rPr>
              <w:t xml:space="preserve"> Escherichia coli) w</w:t>
            </w:r>
            <w:r w:rsidR="00104C6F" w:rsidRPr="008E74DC">
              <w:rPr>
                <w:rFonts w:eastAsia="Calibri" w:cs="Times New Roman"/>
                <w:sz w:val="20"/>
                <w:szCs w:val="20"/>
              </w:rPr>
              <w:t> </w:t>
            </w:r>
            <w:r w:rsidRPr="008E74DC">
              <w:rPr>
                <w:rFonts w:eastAsia="Calibri" w:cs="Times New Roman"/>
                <w:sz w:val="20"/>
                <w:szCs w:val="20"/>
              </w:rPr>
              <w:t>teście (PCR) lub hodowli bakteryjnej</w:t>
            </w:r>
            <w:r w:rsidR="00C04EE6" w:rsidRPr="008E74DC">
              <w:rPr>
                <w:rFonts w:eastAsia="Calibri" w:cs="Times New Roman"/>
                <w:sz w:val="20"/>
                <w:szCs w:val="20"/>
              </w:rPr>
              <w:t xml:space="preserve"> w pierwszym rzucie choroby</w:t>
            </w:r>
            <w:r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69A3EC39" w14:textId="77777777" w:rsidR="002037FC" w:rsidRPr="008E74DC" w:rsidRDefault="006A11A3" w:rsidP="009A209C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lastRenderedPageBreak/>
              <w:t>wykonanie obowiązkowego szczepienia przeciw meningokokom</w:t>
            </w:r>
            <w:r w:rsidR="008571E4" w:rsidRPr="008E74DC">
              <w:rPr>
                <w:rFonts w:eastAsia="Calibri" w:cs="Times New Roman"/>
                <w:sz w:val="20"/>
                <w:szCs w:val="20"/>
              </w:rPr>
              <w:t>, w</w:t>
            </w:r>
            <w:r w:rsidR="00CC599B" w:rsidRPr="008E74DC">
              <w:rPr>
                <w:rFonts w:eastAsia="Calibri" w:cs="Times New Roman"/>
                <w:sz w:val="20"/>
                <w:szCs w:val="20"/>
              </w:rPr>
              <w:t> </w:t>
            </w:r>
            <w:r w:rsidR="008571E4" w:rsidRPr="008E74DC">
              <w:rPr>
                <w:rFonts w:eastAsia="Calibri" w:cs="Times New Roman"/>
                <w:sz w:val="20"/>
                <w:szCs w:val="20"/>
              </w:rPr>
              <w:t xml:space="preserve">przypadku </w:t>
            </w:r>
            <w:r w:rsidR="00A63089" w:rsidRPr="008E74DC">
              <w:rPr>
                <w:rFonts w:eastAsia="Calibri" w:cs="Times New Roman"/>
                <w:sz w:val="20"/>
                <w:szCs w:val="20"/>
              </w:rPr>
              <w:t xml:space="preserve">konieczności wdrożenia leczenia przed upływem 2 tygodni po wykonaniu szczepienia przeciw </w:t>
            </w:r>
            <w:proofErr w:type="spellStart"/>
            <w:r w:rsidR="00A63089" w:rsidRPr="008E74DC">
              <w:rPr>
                <w:rFonts w:eastAsia="Calibri" w:cs="Times New Roman"/>
                <w:sz w:val="20"/>
                <w:szCs w:val="20"/>
              </w:rPr>
              <w:t>menigokokom</w:t>
            </w:r>
            <w:proofErr w:type="spellEnd"/>
            <w:r w:rsidR="00A63089" w:rsidRPr="008E74DC">
              <w:rPr>
                <w:rFonts w:eastAsia="Calibri" w:cs="Times New Roman"/>
                <w:sz w:val="20"/>
                <w:szCs w:val="20"/>
              </w:rPr>
              <w:t xml:space="preserve"> -</w:t>
            </w:r>
            <w:r w:rsidR="00CC599B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8E74DC">
              <w:rPr>
                <w:rFonts w:eastAsia="Calibri" w:cs="Times New Roman"/>
                <w:sz w:val="20"/>
                <w:szCs w:val="20"/>
              </w:rPr>
              <w:t>profilaktyka antybiotykowa</w:t>
            </w:r>
          </w:p>
          <w:p w14:paraId="751A4DBF" w14:textId="478EB39E" w:rsidR="002037FC" w:rsidRPr="008E74DC" w:rsidRDefault="002037FC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po szczepieniu pacjenci powinni być ściśle monitorowani pod kątem objawów chorobowych, gdyż szczepienie może powodować dalszą aktywację dopełniacza,</w:t>
            </w:r>
          </w:p>
          <w:p w14:paraId="38CCF99C" w14:textId="070D84E4" w:rsidR="002037FC" w:rsidRPr="008E74DC" w:rsidRDefault="00093CD3" w:rsidP="009A209C">
            <w:pPr>
              <w:pStyle w:val="Akapitzlist"/>
              <w:numPr>
                <w:ilvl w:val="4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profilaktyka antybiotykowa powinna u tych pacjentów być prowadzona przez 14 dni od zaszczepienia pacjenta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272A9C34" w14:textId="70B94548" w:rsidR="002037FC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 xml:space="preserve">w przypadku kobiet oraz poddanych leczeniu mężczyzn będących partnerami kobiet w wieku rozrodczym wymagana jest zgoda na świadomą kontrolę urodzeń, zgodnie z </w:t>
            </w:r>
            <w:r w:rsidR="00AF67D4" w:rsidRPr="008E74DC">
              <w:rPr>
                <w:rFonts w:eastAsia="Calibri" w:cs="Times New Roman"/>
                <w:sz w:val="20"/>
                <w:szCs w:val="20"/>
              </w:rPr>
              <w:t xml:space="preserve">aktualną </w:t>
            </w:r>
            <w:r w:rsidRPr="008E74DC">
              <w:rPr>
                <w:rFonts w:eastAsia="Calibri" w:cs="Times New Roman"/>
                <w:sz w:val="20"/>
                <w:szCs w:val="20"/>
              </w:rPr>
              <w:t xml:space="preserve">Charakterystyką Produktu Leczniczego </w:t>
            </w:r>
            <w:r w:rsidR="00674A65" w:rsidRPr="008E74DC">
              <w:rPr>
                <w:rFonts w:eastAsia="Calibri" w:cs="Times New Roman"/>
                <w:sz w:val="20"/>
                <w:szCs w:val="20"/>
              </w:rPr>
              <w:t>(zwanej dalej ChPL) l</w:t>
            </w:r>
            <w:r w:rsidRPr="008E74DC">
              <w:rPr>
                <w:rFonts w:eastAsia="Calibri" w:cs="Times New Roman"/>
                <w:sz w:val="20"/>
                <w:szCs w:val="20"/>
              </w:rPr>
              <w:t>eku, którym odbywa się leczenie w programie lekowym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61A24968" w14:textId="3BB391BE" w:rsidR="002037FC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adekwatna wydolność narządowa określona na podstawie wyników badań laboratoryjnych krwi zgodnie z zapisami aktualne</w:t>
            </w:r>
            <w:r w:rsidR="00674A65" w:rsidRPr="008E74DC">
              <w:rPr>
                <w:rFonts w:eastAsia="Calibri" w:cs="Times New Roman"/>
                <w:sz w:val="20"/>
                <w:szCs w:val="20"/>
              </w:rPr>
              <w:t xml:space="preserve">j </w:t>
            </w:r>
            <w:r w:rsidRPr="008E74DC">
              <w:rPr>
                <w:rFonts w:eastAsia="Calibri" w:cs="Times New Roman"/>
                <w:sz w:val="20"/>
                <w:szCs w:val="20"/>
              </w:rPr>
              <w:t>ChPL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4340F273" w14:textId="3CA2F03E" w:rsidR="002037FC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nieobecność istotnych schorzeń współistniejących stanowiących przeciwskazanie do terapii stwierdzonych przez lekarza prowadzącego w oparciu o aktualną ChPL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66C30937" w14:textId="7AD525ED" w:rsidR="002037FC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brak przeciwwskazań do stosowania określonej w aktualnej ChPL substancji czynnej ujętej w programie lekowym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.</w:t>
            </w:r>
          </w:p>
          <w:p w14:paraId="4BB5CC92" w14:textId="77777777" w:rsidR="00152D0A" w:rsidRPr="008E74DC" w:rsidRDefault="00152D0A" w:rsidP="009A209C">
            <w:pPr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</w:rPr>
            </w:pPr>
          </w:p>
          <w:p w14:paraId="07BF2AFB" w14:textId="35C5886F" w:rsidR="002037FC" w:rsidRPr="008E74DC" w:rsidRDefault="002037FC" w:rsidP="009A209C">
            <w:pPr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</w:rPr>
            </w:pPr>
            <w:r w:rsidRPr="008E74DC">
              <w:rPr>
                <w:rFonts w:eastAsia="Malgun Gothic" w:cs="Times New Roman"/>
                <w:sz w:val="20"/>
                <w:szCs w:val="20"/>
              </w:rPr>
              <w:t>Ponadto do programu lekowego kwalifikowani są</w:t>
            </w:r>
            <w:r w:rsidR="001D487D">
              <w:rPr>
                <w:rFonts w:eastAsia="Malgun Gothic" w:cs="Times New Roman"/>
                <w:sz w:val="20"/>
                <w:szCs w:val="20"/>
              </w:rPr>
              <w:t xml:space="preserve"> </w:t>
            </w:r>
            <w:r w:rsidRPr="008E74DC">
              <w:rPr>
                <w:rFonts w:eastAsia="Malgun Gothic" w:cs="Times New Roman"/>
                <w:sz w:val="20"/>
                <w:szCs w:val="20"/>
              </w:rPr>
              <w:t>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lekowego.</w:t>
            </w:r>
          </w:p>
          <w:p w14:paraId="6DCB7EA8" w14:textId="77777777" w:rsidR="00EE4F7A" w:rsidRPr="008E74DC" w:rsidRDefault="00EE4F7A" w:rsidP="009A209C">
            <w:pPr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</w:rPr>
            </w:pPr>
          </w:p>
          <w:p w14:paraId="789B2F81" w14:textId="10386D7A" w:rsidR="008A419D" w:rsidRPr="008E74DC" w:rsidRDefault="00EE4F7A" w:rsidP="009A209C">
            <w:pPr>
              <w:pStyle w:val="Akapitzlist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>d</w:t>
            </w:r>
            <w:r w:rsidR="008A419D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o leczenia rawulizumabem kwalifikowani są pacjenci leczeni wcześniej ekulizumabem i spełniający </w:t>
            </w:r>
            <w:r w:rsidR="00885205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łącznie </w:t>
            </w:r>
            <w:r w:rsidR="008A419D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poniższe warunki:</w:t>
            </w:r>
          </w:p>
          <w:p w14:paraId="705EABFE" w14:textId="1AB931C4" w:rsidR="00171180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a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>typowy zespół hemolityczno-mocznicowy rozpoznany u pacjenta</w:t>
            </w:r>
            <w:r w:rsidR="00171180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>dorosłego, młodzieży lub dziecka o masie</w:t>
            </w:r>
            <w:r w:rsidR="00EE4F7A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>ciała ≥ 10 kg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22B82B2C" w14:textId="7DCF2F70" w:rsidR="008A419D" w:rsidRPr="008E74DC" w:rsidRDefault="002037FC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s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>tosowanie ekulizumabu przez co najmniej 3 poprzednie miesiące, w trakcie których nastąpiła udokumentowana odpowiedź na stosowane leczenie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4FA45BAA" w14:textId="2D40C079" w:rsidR="008A419D" w:rsidRPr="008E74DC" w:rsidRDefault="00171180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 xml:space="preserve">w przypadku kobiet oraz poddanych leczeniu mężczyzn będących partnerami kobiet w wieku rozrodczym wymagana jest zgoda na świadomą kontrolę urodzeń, zgodnie z </w:t>
            </w:r>
            <w:r w:rsidR="00674A65" w:rsidRPr="008E74DC">
              <w:rPr>
                <w:rFonts w:eastAsia="Calibri" w:cs="Times New Roman"/>
                <w:sz w:val="20"/>
                <w:szCs w:val="20"/>
              </w:rPr>
              <w:t xml:space="preserve">aktualną </w:t>
            </w:r>
            <w:r w:rsidRPr="008E74DC">
              <w:rPr>
                <w:rFonts w:eastAsia="Calibri" w:cs="Times New Roman"/>
                <w:sz w:val="20"/>
                <w:szCs w:val="20"/>
              </w:rPr>
              <w:t xml:space="preserve">Charakterystyką Produktu Leczniczego </w:t>
            </w:r>
            <w:r w:rsidR="00674A65" w:rsidRPr="008E74DC">
              <w:rPr>
                <w:rFonts w:eastAsia="Calibri" w:cs="Times New Roman"/>
                <w:sz w:val="20"/>
                <w:szCs w:val="20"/>
              </w:rPr>
              <w:t xml:space="preserve">(zwanej dalej ChPL) </w:t>
            </w:r>
            <w:r w:rsidRPr="008E74DC">
              <w:rPr>
                <w:rFonts w:eastAsia="Calibri" w:cs="Times New Roman"/>
                <w:sz w:val="20"/>
                <w:szCs w:val="20"/>
              </w:rPr>
              <w:t>leku, którym odbywa się leczenie w programie lekowym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420DE203" w14:textId="4FB6F96D" w:rsidR="008A419D" w:rsidRPr="008E74DC" w:rsidRDefault="00171180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j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 xml:space="preserve">eśli u pacjenta dokonywana jest zamiana leczenia z </w:t>
            </w:r>
            <w:proofErr w:type="spellStart"/>
            <w:r w:rsidR="008A419D" w:rsidRPr="008E74DC">
              <w:rPr>
                <w:rFonts w:eastAsia="Calibri" w:cs="Times New Roman"/>
                <w:sz w:val="20"/>
                <w:szCs w:val="20"/>
              </w:rPr>
              <w:t>ekulizumabu</w:t>
            </w:r>
            <w:proofErr w:type="spellEnd"/>
            <w:r w:rsidR="00E70BA4">
              <w:rPr>
                <w:rFonts w:eastAsia="Calibri" w:cs="Times New Roman"/>
                <w:sz w:val="20"/>
                <w:szCs w:val="20"/>
              </w:rPr>
              <w:t>,</w:t>
            </w:r>
            <w:r w:rsidR="008A419D" w:rsidRPr="008E74DC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="00E70BA4" w:rsidRPr="00BE623F">
              <w:rPr>
                <w:rFonts w:eastAsia="Calibri" w:cs="Times New Roman"/>
                <w:sz w:val="20"/>
                <w:szCs w:val="20"/>
              </w:rPr>
              <w:t>lekarz powinien sprawdzić aktualność szczepienia przeciwko meningokokom według krajowych wytycznych w zakresie stosowania szczepionek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5A737007" w14:textId="55CB91E2" w:rsidR="00171180" w:rsidRPr="008E74DC" w:rsidRDefault="00171180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adekwatna wydolność narządowa określona na podstawie wyników badań laboratoryjnych krwi zgodnie z zapisami aktualnej ChPL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361BB166" w14:textId="41A252CC" w:rsidR="00171180" w:rsidRPr="008E74DC" w:rsidRDefault="00171180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nieobecność istotnych schorzeń współistniejących stanowiących przeciwskazanie do terapii stwierdzonych przez lekarza prowadzącego w oparciu o aktualną ChPL</w:t>
            </w:r>
            <w:r w:rsidR="001B41EC" w:rsidRPr="008E74DC">
              <w:rPr>
                <w:rFonts w:eastAsia="Calibri" w:cs="Times New Roman"/>
                <w:sz w:val="20"/>
                <w:szCs w:val="20"/>
              </w:rPr>
              <w:t>;</w:t>
            </w:r>
          </w:p>
          <w:p w14:paraId="4C6CC491" w14:textId="0F9083C4" w:rsidR="00171180" w:rsidRPr="008E74DC" w:rsidRDefault="00171180" w:rsidP="00084B49">
            <w:pPr>
              <w:pStyle w:val="Akapitzlist"/>
              <w:numPr>
                <w:ilvl w:val="3"/>
                <w:numId w:val="41"/>
              </w:num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454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8E74DC">
              <w:rPr>
                <w:rFonts w:eastAsia="Calibri" w:cs="Times New Roman"/>
                <w:sz w:val="20"/>
                <w:szCs w:val="20"/>
              </w:rPr>
              <w:t>brak przeciwwskazań do stosowania określonej w aktualnej ChPL substancji czynnej ujętej w programie lekowym.</w:t>
            </w:r>
          </w:p>
          <w:p w14:paraId="2E224DA1" w14:textId="77777777" w:rsidR="00361D71" w:rsidRPr="008E74DC" w:rsidRDefault="00361D71" w:rsidP="009A209C">
            <w:pPr>
              <w:tabs>
                <w:tab w:val="left" w:pos="596"/>
              </w:tabs>
              <w:suppressAutoHyphens/>
              <w:autoSpaceDN w:val="0"/>
              <w:spacing w:after="60" w:line="276" w:lineRule="auto"/>
              <w:ind w:left="227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</w:p>
          <w:p w14:paraId="7508E58A" w14:textId="77777777" w:rsidR="0005789F" w:rsidRPr="008E74DC" w:rsidRDefault="00BF6B81" w:rsidP="009A209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Określenie czasu leczenia w programi</w:t>
            </w:r>
            <w:r w:rsidR="0005789F"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e</w:t>
            </w:r>
          </w:p>
          <w:p w14:paraId="715AC6FB" w14:textId="3A3CB91D" w:rsidR="00104C6F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l</w:t>
            </w:r>
            <w:r w:rsidR="00171180" w:rsidRPr="008E74DC">
              <w:rPr>
                <w:rFonts w:cs="Times New Roman"/>
                <w:sz w:val="20"/>
                <w:szCs w:val="20"/>
                <w:lang w:eastAsia="pl-PL"/>
              </w:rPr>
              <w:t xml:space="preserve">eczenie trwa do czasu podjęcia przez Zespół Koordynacyjny lub lekarza prowadzącego decyzji o wyłączeniu </w:t>
            </w:r>
            <w:r w:rsidR="00171180" w:rsidRPr="008E74DC">
              <w:rPr>
                <w:rFonts w:cs="Times New Roman"/>
                <w:sz w:val="20"/>
                <w:szCs w:val="20"/>
                <w:lang w:eastAsia="pl-PL"/>
              </w:rPr>
              <w:lastRenderedPageBreak/>
              <w:t>świadczeniobiorcy z programu, zgodnie z kryteriami wyłączenia;</w:t>
            </w:r>
          </w:p>
          <w:p w14:paraId="42908218" w14:textId="5EE7F474" w:rsidR="00104C6F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w</w:t>
            </w:r>
            <w:r w:rsidR="00320869" w:rsidRPr="008E74DC">
              <w:rPr>
                <w:rFonts w:cs="Times New Roman"/>
                <w:sz w:val="20"/>
                <w:szCs w:val="20"/>
                <w:lang w:eastAsia="pl-PL"/>
              </w:rPr>
              <w:t xml:space="preserve"> pierwszym roku </w:t>
            </w:r>
            <w:r w:rsidR="00620D2D" w:rsidRPr="008E74DC">
              <w:rPr>
                <w:rFonts w:cs="Times New Roman"/>
                <w:sz w:val="20"/>
                <w:szCs w:val="20"/>
                <w:lang w:eastAsia="pl-PL"/>
              </w:rPr>
              <w:t>leczenia o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środek </w:t>
            </w:r>
            <w:r w:rsidR="00685AF6" w:rsidRPr="008E74DC">
              <w:rPr>
                <w:rFonts w:cs="Times New Roman"/>
                <w:sz w:val="20"/>
                <w:szCs w:val="20"/>
                <w:lang w:eastAsia="pl-PL"/>
              </w:rPr>
              <w:t xml:space="preserve">prowadzący występuje do Zespołu Koordynacyjnego z wnioskiem o kontynuację lub 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>czasowe przerwanie leczenia</w:t>
            </w:r>
            <w:r w:rsidR="00685AF6" w:rsidRPr="008E74DC">
              <w:rPr>
                <w:rFonts w:cs="Times New Roman"/>
                <w:sz w:val="20"/>
                <w:szCs w:val="20"/>
                <w:lang w:eastAsia="pl-PL"/>
              </w:rPr>
              <w:t xml:space="preserve"> z uzupełni</w:t>
            </w:r>
            <w:r w:rsidR="00567DC2" w:rsidRPr="008E74DC">
              <w:rPr>
                <w:rFonts w:cs="Times New Roman"/>
                <w:sz w:val="20"/>
                <w:szCs w:val="20"/>
                <w:lang w:eastAsia="pl-PL"/>
              </w:rPr>
              <w:t xml:space="preserve">eniem </w:t>
            </w:r>
            <w:r w:rsidR="00685AF6" w:rsidRPr="008E74DC">
              <w:rPr>
                <w:rFonts w:cs="Times New Roman"/>
                <w:sz w:val="20"/>
                <w:szCs w:val="20"/>
                <w:lang w:eastAsia="pl-PL"/>
              </w:rPr>
              <w:t>wynik</w:t>
            </w:r>
            <w:r w:rsidR="00567DC2" w:rsidRPr="008E74DC">
              <w:rPr>
                <w:rFonts w:cs="Times New Roman"/>
                <w:sz w:val="20"/>
                <w:szCs w:val="20"/>
                <w:lang w:eastAsia="pl-PL"/>
              </w:rPr>
              <w:t>ów</w:t>
            </w:r>
            <w:r w:rsidR="00685AF6" w:rsidRPr="008E74DC">
              <w:rPr>
                <w:rFonts w:cs="Times New Roman"/>
                <w:sz w:val="20"/>
                <w:szCs w:val="20"/>
                <w:lang w:eastAsia="pl-PL"/>
              </w:rPr>
              <w:t xml:space="preserve"> badań układu d</w:t>
            </w:r>
            <w:r w:rsidR="00063F95" w:rsidRPr="008E74DC">
              <w:rPr>
                <w:rFonts w:cs="Times New Roman"/>
                <w:sz w:val="20"/>
                <w:szCs w:val="20"/>
                <w:lang w:eastAsia="pl-PL"/>
              </w:rPr>
              <w:t xml:space="preserve">opełniacza </w:t>
            </w:r>
            <w:r w:rsidR="00320869" w:rsidRPr="008E74DC">
              <w:rPr>
                <w:rFonts w:cs="Times New Roman"/>
                <w:sz w:val="20"/>
                <w:szCs w:val="20"/>
                <w:lang w:eastAsia="pl-PL"/>
              </w:rPr>
              <w:t xml:space="preserve">po </w:t>
            </w:r>
            <w:r w:rsidR="00BD061B" w:rsidRPr="00BA1C5D">
              <w:rPr>
                <w:rFonts w:cs="Times New Roman"/>
                <w:sz w:val="20"/>
                <w:szCs w:val="20"/>
                <w:lang w:eastAsia="pl-PL"/>
              </w:rPr>
              <w:t>3</w:t>
            </w:r>
            <w:r w:rsidR="00320869" w:rsidRPr="008E74DC">
              <w:rPr>
                <w:rFonts w:cs="Times New Roman"/>
                <w:sz w:val="20"/>
                <w:szCs w:val="20"/>
                <w:lang w:eastAsia="pl-PL"/>
              </w:rPr>
              <w:t xml:space="preserve"> miesiącach od rozpoczęcia terapii, a następnie po kolejnych 6 miesiącach</w:t>
            </w:r>
            <w:r w:rsidR="00BA1C5D">
              <w:rPr>
                <w:rFonts w:cs="Times New Roman"/>
                <w:sz w:val="20"/>
                <w:szCs w:val="20"/>
                <w:lang w:eastAsia="pl-PL"/>
              </w:rPr>
              <w:t xml:space="preserve"> z </w:t>
            </w:r>
            <w:r w:rsidR="00BA1C5D" w:rsidRPr="00BA1C5D">
              <w:rPr>
                <w:rFonts w:cs="Times New Roman"/>
                <w:sz w:val="20"/>
                <w:szCs w:val="20"/>
                <w:lang w:eastAsia="pl-PL"/>
              </w:rPr>
              <w:t>uzupełnieniem badań genetycznych</w:t>
            </w:r>
            <w:r w:rsidR="00320869" w:rsidRPr="008E74DC">
              <w:rPr>
                <w:rFonts w:cs="Times New Roman"/>
                <w:sz w:val="20"/>
                <w:szCs w:val="20"/>
                <w:lang w:eastAsia="pl-PL"/>
              </w:rPr>
              <w:t xml:space="preserve">, a w kolejnych latach </w:t>
            </w:r>
            <w:r w:rsidR="00574082" w:rsidRPr="008E74DC">
              <w:rPr>
                <w:rFonts w:cs="Times New Roman"/>
                <w:sz w:val="20"/>
                <w:szCs w:val="20"/>
                <w:lang w:eastAsia="pl-PL"/>
              </w:rPr>
              <w:t>co 12 miesięcy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;</w:t>
            </w:r>
          </w:p>
          <w:p w14:paraId="3CDBB6C0" w14:textId="67E985DC" w:rsidR="00104C6F" w:rsidRPr="008E74DC" w:rsidRDefault="00685AF6" w:rsidP="009A209C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 xml:space="preserve">Zespół </w:t>
            </w:r>
            <w:r w:rsidR="00620D2D" w:rsidRPr="008E74DC">
              <w:rPr>
                <w:rFonts w:cs="Times New Roman"/>
                <w:sz w:val="20"/>
                <w:szCs w:val="20"/>
                <w:lang w:eastAsia="pl-PL"/>
              </w:rPr>
              <w:t>K</w:t>
            </w:r>
            <w:r w:rsidRPr="008E74DC">
              <w:rPr>
                <w:rFonts w:cs="Times New Roman"/>
                <w:sz w:val="20"/>
                <w:szCs w:val="20"/>
                <w:lang w:eastAsia="pl-PL"/>
              </w:rPr>
              <w:t>oordynacyjny podejmuje decyzje o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> </w:t>
            </w:r>
            <w:r w:rsidRPr="008E74DC">
              <w:rPr>
                <w:rFonts w:cs="Times New Roman"/>
                <w:sz w:val="20"/>
                <w:szCs w:val="20"/>
                <w:lang w:eastAsia="pl-PL"/>
              </w:rPr>
              <w:t xml:space="preserve">kontynuacji leczenia ekulizumabem </w:t>
            </w:r>
            <w:r w:rsidR="004A06C6" w:rsidRPr="008E74DC">
              <w:rPr>
                <w:rFonts w:cs="Times New Roman"/>
                <w:sz w:val="20"/>
                <w:szCs w:val="20"/>
                <w:lang w:eastAsia="pl-PL"/>
              </w:rPr>
              <w:t xml:space="preserve">lub rawulizumabem </w:t>
            </w:r>
            <w:r w:rsidRPr="008E74DC">
              <w:rPr>
                <w:rFonts w:cs="Times New Roman"/>
                <w:sz w:val="20"/>
                <w:szCs w:val="20"/>
                <w:lang w:eastAsia="pl-PL"/>
              </w:rPr>
              <w:t>u chorych z wy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sokim ryzykiem nawrotu choroby</w:t>
            </w:r>
            <w:r w:rsidR="001B41EC" w:rsidRPr="008E74DC">
              <w:rPr>
                <w:rFonts w:cs="Times New Roman"/>
                <w:sz w:val="20"/>
                <w:szCs w:val="20"/>
                <w:lang w:eastAsia="pl-PL"/>
              </w:rPr>
              <w:t>,</w:t>
            </w:r>
          </w:p>
          <w:p w14:paraId="53FEAA08" w14:textId="6711F83B" w:rsidR="00104C6F" w:rsidRPr="008E74DC" w:rsidRDefault="00685AF6" w:rsidP="009A209C">
            <w:pPr>
              <w:pStyle w:val="Akapitzlist"/>
              <w:numPr>
                <w:ilvl w:val="4"/>
                <w:numId w:val="41"/>
              </w:numPr>
              <w:spacing w:after="60" w:line="276" w:lineRule="auto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Zespół Koordynacyjny podejmuje decyzję o możliwoś</w:t>
            </w:r>
            <w:r w:rsidR="00EC1C7A" w:rsidRPr="008E74DC">
              <w:rPr>
                <w:rFonts w:cs="Times New Roman"/>
                <w:sz w:val="20"/>
                <w:szCs w:val="20"/>
                <w:lang w:eastAsia="pl-PL"/>
              </w:rPr>
              <w:t>c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 xml:space="preserve">i </w:t>
            </w:r>
            <w:r w:rsidRPr="008E74DC">
              <w:rPr>
                <w:rFonts w:cs="Times New Roman"/>
                <w:sz w:val="20"/>
                <w:szCs w:val="20"/>
                <w:lang w:eastAsia="pl-PL"/>
              </w:rPr>
              <w:t xml:space="preserve">czasowego przerwania podawania 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>e</w:t>
            </w:r>
            <w:r w:rsidR="00361D71" w:rsidRPr="008E74DC">
              <w:rPr>
                <w:rFonts w:cs="Times New Roman"/>
                <w:sz w:val="20"/>
                <w:szCs w:val="20"/>
                <w:lang w:eastAsia="pl-PL"/>
              </w:rPr>
              <w:t>k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>ulizumabu</w:t>
            </w:r>
            <w:r w:rsidR="004A06C6" w:rsidRPr="008E74DC">
              <w:rPr>
                <w:rFonts w:cs="Times New Roman"/>
                <w:sz w:val="20"/>
                <w:szCs w:val="20"/>
                <w:lang w:eastAsia="pl-PL"/>
              </w:rPr>
              <w:t xml:space="preserve"> lub rawulizumabu</w:t>
            </w:r>
            <w:r w:rsidR="00F33533" w:rsidRPr="008E74DC">
              <w:rPr>
                <w:rFonts w:cs="Times New Roman"/>
                <w:sz w:val="20"/>
                <w:szCs w:val="20"/>
                <w:lang w:eastAsia="pl-PL"/>
              </w:rPr>
              <w:t xml:space="preserve"> u chorych z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> </w:t>
            </w:r>
            <w:r w:rsidR="00F33533" w:rsidRPr="008E74DC">
              <w:rPr>
                <w:rFonts w:cs="Times New Roman"/>
                <w:sz w:val="20"/>
                <w:szCs w:val="20"/>
                <w:lang w:eastAsia="pl-PL"/>
              </w:rPr>
              <w:t>ni</w:t>
            </w:r>
            <w:r w:rsidRPr="008E74DC">
              <w:rPr>
                <w:rFonts w:cs="Times New Roman"/>
                <w:sz w:val="20"/>
                <w:szCs w:val="20"/>
                <w:lang w:eastAsia="pl-PL"/>
              </w:rPr>
              <w:t>skim</w:t>
            </w:r>
            <w:r w:rsidR="00F33533" w:rsidRPr="008E74DC">
              <w:rPr>
                <w:rFonts w:cs="Times New Roman"/>
                <w:sz w:val="20"/>
                <w:szCs w:val="20"/>
                <w:lang w:eastAsia="pl-PL"/>
              </w:rPr>
              <w:t xml:space="preserve"> ryzykiem nawrotu choroby, u których uzyskano remisję objawów i powrót prawidłowe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j funkcji narządów wewnętrznych;</w:t>
            </w:r>
          </w:p>
          <w:p w14:paraId="6BCDDD47" w14:textId="3C1071FC" w:rsidR="00104C6F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l</w:t>
            </w:r>
            <w:r w:rsidR="00063F95" w:rsidRPr="008E74DC">
              <w:rPr>
                <w:rFonts w:cs="Times New Roman"/>
                <w:sz w:val="20"/>
                <w:szCs w:val="20"/>
                <w:lang w:eastAsia="pl-PL"/>
              </w:rPr>
              <w:t>ekarz</w:t>
            </w:r>
            <w:r w:rsidR="00772119" w:rsidRPr="008E74DC">
              <w:rPr>
                <w:rFonts w:cs="Times New Roman"/>
                <w:sz w:val="20"/>
                <w:szCs w:val="20"/>
                <w:lang w:eastAsia="pl-PL"/>
              </w:rPr>
              <w:t xml:space="preserve"> prowadzący może podjąć decyzję o czasowym zawieszeniu </w:t>
            </w:r>
            <w:r w:rsidR="00F31D2F" w:rsidRPr="008E74DC">
              <w:rPr>
                <w:rFonts w:cs="Times New Roman"/>
                <w:sz w:val="20"/>
                <w:szCs w:val="20"/>
                <w:lang w:eastAsia="pl-PL"/>
              </w:rPr>
              <w:t>w podawaniu leku</w:t>
            </w:r>
            <w:r w:rsidR="00772119" w:rsidRPr="008E74DC">
              <w:rPr>
                <w:rFonts w:cs="Times New Roman"/>
                <w:sz w:val="20"/>
                <w:szCs w:val="20"/>
                <w:lang w:eastAsia="pl-PL"/>
              </w:rPr>
              <w:t xml:space="preserve"> u kobiet ciężarnych lu</w:t>
            </w:r>
            <w:r w:rsidR="00F31D2F" w:rsidRPr="008E74DC">
              <w:rPr>
                <w:rFonts w:cs="Times New Roman"/>
                <w:sz w:val="20"/>
                <w:szCs w:val="20"/>
                <w:lang w:eastAsia="pl-PL"/>
              </w:rPr>
              <w:t>b karmiących piersią, zgodnie z </w:t>
            </w:r>
            <w:r w:rsidR="00772119" w:rsidRPr="008E74DC">
              <w:rPr>
                <w:rFonts w:cs="Times New Roman"/>
                <w:sz w:val="20"/>
                <w:szCs w:val="20"/>
                <w:lang w:eastAsia="pl-PL"/>
              </w:rPr>
              <w:t>ChPL</w:t>
            </w:r>
            <w:r w:rsidR="00F31D2F" w:rsidRPr="008E74DC">
              <w:rPr>
                <w:rFonts w:cs="Times New Roman"/>
                <w:sz w:val="20"/>
                <w:szCs w:val="20"/>
                <w:lang w:eastAsia="pl-PL"/>
              </w:rPr>
              <w:t>,</w:t>
            </w:r>
            <w:r w:rsidR="00772119" w:rsidRPr="008E74DC">
              <w:rPr>
                <w:rFonts w:cs="Times New Roman"/>
                <w:sz w:val="20"/>
                <w:szCs w:val="20"/>
                <w:lang w:eastAsia="pl-PL"/>
              </w:rPr>
              <w:t xml:space="preserve"> jeżeli dalsze leczenie n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ie jest bezwzględnie konieczne</w:t>
            </w:r>
            <w:r w:rsidR="00F31D2F" w:rsidRPr="008E74DC">
              <w:rPr>
                <w:rFonts w:cs="Times New Roman"/>
                <w:sz w:val="20"/>
                <w:szCs w:val="20"/>
                <w:lang w:eastAsia="pl-PL"/>
              </w:rPr>
              <w:t xml:space="preserve"> – lekarz prowadzący informuje Zespół Koordynacyjny o czasowym zawieszeniu oraz o ewentualnym wznowieniu leczenia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;</w:t>
            </w:r>
          </w:p>
          <w:p w14:paraId="53AEEDF8" w14:textId="1CBD7725" w:rsidR="00104C6F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c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horzy</w:t>
            </w:r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>, u któr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ych</w:t>
            </w:r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 xml:space="preserve"> czasowo przerwano leczenie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,</w:t>
            </w:r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 xml:space="preserve"> wymaga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ją</w:t>
            </w:r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 xml:space="preserve"> systematycznej oceny nawrotu </w:t>
            </w:r>
            <w:proofErr w:type="spellStart"/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>mikroangiopatii</w:t>
            </w:r>
            <w:proofErr w:type="spellEnd"/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 xml:space="preserve"> zakrzepowej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>;</w:t>
            </w:r>
          </w:p>
          <w:p w14:paraId="78EC22A0" w14:textId="71DDB6DE" w:rsidR="005E5B08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c</w:t>
            </w:r>
            <w:r w:rsidR="00F33533" w:rsidRPr="008E74DC">
              <w:rPr>
                <w:rFonts w:cs="Times New Roman"/>
                <w:sz w:val="20"/>
                <w:szCs w:val="20"/>
                <w:lang w:eastAsia="pl-PL"/>
              </w:rPr>
              <w:t xml:space="preserve">horzy, u których </w:t>
            </w:r>
            <w:r w:rsidR="00A65774" w:rsidRPr="008E74DC">
              <w:rPr>
                <w:rFonts w:cs="Times New Roman"/>
                <w:sz w:val="20"/>
                <w:szCs w:val="20"/>
                <w:lang w:eastAsia="pl-PL"/>
              </w:rPr>
              <w:t xml:space="preserve">wystąpi nawrót choroby </w:t>
            </w:r>
            <w:r w:rsidR="00620D2D" w:rsidRPr="008E74DC">
              <w:rPr>
                <w:rFonts w:cs="Times New Roman"/>
                <w:sz w:val="20"/>
                <w:szCs w:val="20"/>
                <w:lang w:eastAsia="pl-PL"/>
              </w:rPr>
              <w:t>(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>określony na podstawie</w:t>
            </w:r>
            <w:r w:rsidR="00104C6F" w:rsidRPr="008E74DC">
              <w:rPr>
                <w:rFonts w:cs="Times New Roman"/>
                <w:sz w:val="20"/>
                <w:szCs w:val="20"/>
                <w:lang w:eastAsia="pl-PL"/>
              </w:rPr>
              <w:t xml:space="preserve"> 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kryteriów </w:t>
            </w:r>
            <w:r w:rsidR="005F7453" w:rsidRPr="008E74DC">
              <w:rPr>
                <w:rFonts w:cs="Times New Roman"/>
                <w:sz w:val="20"/>
                <w:szCs w:val="20"/>
                <w:lang w:eastAsia="pl-PL"/>
              </w:rPr>
              <w:t>kwalifikacji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 punkt 1.1</w:t>
            </w:r>
            <w:r w:rsidR="00620D2D" w:rsidRPr="008E74DC">
              <w:rPr>
                <w:rFonts w:cs="Times New Roman"/>
                <w:sz w:val="20"/>
                <w:szCs w:val="20"/>
                <w:lang w:eastAsia="pl-PL"/>
              </w:rPr>
              <w:t>)</w:t>
            </w:r>
            <w:r w:rsidR="00CB4ED1" w:rsidRPr="008E74DC">
              <w:rPr>
                <w:rFonts w:cs="Times New Roman"/>
                <w:sz w:val="20"/>
                <w:szCs w:val="20"/>
                <w:lang w:eastAsia="pl-PL"/>
              </w:rPr>
              <w:t xml:space="preserve">, będą ponownie włączani do podawania ekulizumabu </w:t>
            </w:r>
            <w:r w:rsidR="002D0753" w:rsidRPr="008E74DC">
              <w:rPr>
                <w:rFonts w:cs="Times New Roman"/>
                <w:sz w:val="20"/>
                <w:szCs w:val="20"/>
                <w:lang w:eastAsia="pl-PL"/>
              </w:rPr>
              <w:t xml:space="preserve">lub rawulizumabu 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na podstawie zgłoszenia lekarza prowadzącego do </w:t>
            </w:r>
            <w:r w:rsidR="00104C6F" w:rsidRPr="008E74DC">
              <w:rPr>
                <w:rFonts w:cs="Times New Roman"/>
                <w:sz w:val="20"/>
                <w:szCs w:val="20"/>
                <w:lang w:eastAsia="pl-PL"/>
              </w:rPr>
              <w:t>SMPT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 </w:t>
            </w:r>
            <w:r w:rsidR="00104C6F" w:rsidRPr="008E74DC">
              <w:rPr>
                <w:rFonts w:cs="Times New Roman"/>
                <w:sz w:val="20"/>
                <w:szCs w:val="20"/>
                <w:lang w:eastAsia="pl-PL"/>
              </w:rPr>
              <w:t xml:space="preserve">bez konieczności ponownej </w:t>
            </w:r>
            <w:r w:rsidR="00F33533" w:rsidRPr="008E74DC">
              <w:rPr>
                <w:rFonts w:cs="Times New Roman"/>
                <w:sz w:val="20"/>
                <w:szCs w:val="20"/>
                <w:lang w:eastAsia="pl-PL"/>
              </w:rPr>
              <w:t>kwalifikacji</w:t>
            </w:r>
            <w:r w:rsidR="005E5B08" w:rsidRPr="008E74DC">
              <w:rPr>
                <w:rFonts w:cs="Times New Roman"/>
                <w:sz w:val="20"/>
                <w:szCs w:val="20"/>
                <w:lang w:eastAsia="pl-PL"/>
              </w:rPr>
              <w:t xml:space="preserve"> przez Zespół Koordynujący</w:t>
            </w:r>
            <w:r w:rsidR="00620D2D" w:rsidRPr="008E74DC">
              <w:rPr>
                <w:rFonts w:cs="Times New Roman"/>
                <w:sz w:val="20"/>
                <w:szCs w:val="20"/>
                <w:lang w:eastAsia="pl-PL"/>
              </w:rPr>
              <w:t>.</w:t>
            </w:r>
          </w:p>
          <w:p w14:paraId="15F944AC" w14:textId="77777777" w:rsidR="00361D71" w:rsidRPr="008E74DC" w:rsidRDefault="00361D71" w:rsidP="009A209C">
            <w:pPr>
              <w:pStyle w:val="Akapitzlist"/>
              <w:spacing w:after="60" w:line="276" w:lineRule="auto"/>
              <w:ind w:left="227" w:hanging="227"/>
              <w:contextualSpacing w:val="0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</w:p>
          <w:p w14:paraId="16CC275F" w14:textId="77777777" w:rsidR="0005789F" w:rsidRPr="008E74DC" w:rsidRDefault="00893878" w:rsidP="009A209C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 wyłączenia</w:t>
            </w:r>
          </w:p>
          <w:p w14:paraId="310F136C" w14:textId="32A0C647" w:rsidR="007F3672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b</w:t>
            </w:r>
            <w:r w:rsidR="007F3672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rak efektu</w:t>
            </w:r>
            <w:r w:rsidR="00CB4ED1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 leczenia ekulizumabem</w:t>
            </w:r>
            <w:r w:rsidR="002D0753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 lub rawulizumabem</w:t>
            </w:r>
            <w:r w:rsidR="00CB4ED1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="00E97CE8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poprzez utrzymywanie się objawów klinicznych lub laboratoryjnych będących podstawą zakwalifikowania pacjenta do leczenia </w:t>
            </w:r>
            <w:r w:rsidR="00CB4ED1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(</w:t>
            </w:r>
            <w:r w:rsidR="007F3672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utrzymywani</w:t>
            </w:r>
            <w:r w:rsidR="00CB4ED1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e się aktywnej mikroangiopatii </w:t>
            </w:r>
            <w:r w:rsidR="007F3672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zakrzepow</w:t>
            </w:r>
            <w:r w:rsidR="00CB4ED1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ej mimo 3 miesięcznego leczenia</w:t>
            </w:r>
            <w:r w:rsidR="007F3672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)</w:t>
            </w:r>
            <w:r w:rsidR="00104C6F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6629C355" w14:textId="1C994C88" w:rsidR="002D0753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w</w:t>
            </w:r>
            <w:r w:rsidR="002D0753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 xml:space="preserve"> przypadku leczenia rawulizumabem pacjenci o masie ciała &lt; 10 kg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08451D77" w14:textId="39918700" w:rsidR="000B3516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w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ystąpienie chorób lub stanów, które w opinii Zespołu Koordynacyjnego lub lekarza prowadzącego uniemożliwiają dalsze prowadzenie leczenia;</w:t>
            </w:r>
          </w:p>
          <w:p w14:paraId="5E8804D1" w14:textId="3301C908" w:rsidR="000B3516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w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ystąpienie objawów nadwrażliwości na którąkolwiek substancję czynną lub substancję pomocniczą;</w:t>
            </w:r>
          </w:p>
          <w:p w14:paraId="232DB4AC" w14:textId="56036A28" w:rsidR="000B3516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w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ystąpienie toksyczności wymagającej zakończenia leczenia w opinii Zespołu Koordynacyjnego lub lekarza prowadzącego zgodnie z aktualną ChPL;</w:t>
            </w:r>
          </w:p>
          <w:p w14:paraId="2B78EFCB" w14:textId="6482F72F" w:rsidR="000B3516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p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ogorszenie jakości życia o istotnym znaczeniu według oceny lekarza;</w:t>
            </w:r>
          </w:p>
          <w:p w14:paraId="05FC7645" w14:textId="4ED187BB" w:rsidR="000B3516" w:rsidRPr="008E74DC" w:rsidRDefault="002F7E74" w:rsidP="00084B49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ind w:left="454"/>
              <w:contextualSpacing w:val="0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b</w:t>
            </w:r>
            <w:r w:rsidR="000B3516" w:rsidRPr="008E74DC">
              <w:rPr>
                <w:rFonts w:cs="Times New Roman"/>
                <w:noProof/>
                <w:sz w:val="20"/>
                <w:szCs w:val="20"/>
                <w:lang w:eastAsia="pl-PL"/>
              </w:rPr>
              <w:t>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64C757AD" w14:textId="284C1FF3" w:rsidR="008F0A58" w:rsidRPr="008E74DC" w:rsidRDefault="008F0A58" w:rsidP="008E74DC">
            <w:pPr>
              <w:spacing w:after="60" w:line="276" w:lineRule="auto"/>
              <w:jc w:val="both"/>
              <w:rPr>
                <w:rFonts w:cs="Times New Roman"/>
                <w:noProof/>
                <w:sz w:val="20"/>
                <w:szCs w:val="20"/>
                <w:lang w:eastAsia="pl-PL"/>
              </w:rPr>
            </w:pPr>
          </w:p>
        </w:tc>
        <w:tc>
          <w:tcPr>
            <w:tcW w:w="1335" w:type="pct"/>
          </w:tcPr>
          <w:p w14:paraId="4E7B6B5A" w14:textId="77777777" w:rsidR="00144AA9" w:rsidRPr="008E74DC" w:rsidRDefault="00141398" w:rsidP="008E74DC">
            <w:pPr>
              <w:pStyle w:val="Akapitzlist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58543A67" w14:textId="6EE4CCEF" w:rsidR="00184E27" w:rsidRPr="008E74DC" w:rsidRDefault="00184E27" w:rsidP="008E74DC">
            <w:pPr>
              <w:autoSpaceDE w:val="0"/>
              <w:autoSpaceDN w:val="0"/>
              <w:adjustRightInd w:val="0"/>
              <w:spacing w:after="60" w:line="276" w:lineRule="auto"/>
              <w:jc w:val="both"/>
              <w:outlineLvl w:val="2"/>
              <w:rPr>
                <w:rFonts w:eastAsia="Malgun Gothic" w:cs="Times New Roman"/>
                <w:sz w:val="20"/>
                <w:szCs w:val="20"/>
              </w:rPr>
            </w:pPr>
            <w:r w:rsidRPr="008E74DC">
              <w:rPr>
                <w:rFonts w:eastAsia="Malgun Gothic" w:cs="Times New Roman"/>
                <w:sz w:val="20"/>
                <w:szCs w:val="20"/>
              </w:rPr>
              <w:t>Dawkowanie ekulizumabu i</w:t>
            </w:r>
            <w:r w:rsidR="0006011E" w:rsidRPr="008E74DC">
              <w:rPr>
                <w:rFonts w:eastAsia="Malgun Gothic" w:cs="Times New Roman"/>
                <w:sz w:val="20"/>
                <w:szCs w:val="20"/>
              </w:rPr>
              <w:t xml:space="preserve"> </w:t>
            </w:r>
            <w:r w:rsidRPr="008E74DC">
              <w:rPr>
                <w:rFonts w:eastAsia="Malgun Gothic" w:cs="Times New Roman"/>
                <w:sz w:val="20"/>
                <w:szCs w:val="20"/>
              </w:rPr>
              <w:t>rawulizumabu zgodnie z aktualną na dzień wydania decyzji Charakterystyką Produktu Leczniczego.</w:t>
            </w:r>
          </w:p>
          <w:p w14:paraId="042B1E25" w14:textId="6818A14C" w:rsidR="009A7C5F" w:rsidRPr="008E74DC" w:rsidRDefault="00D8313D" w:rsidP="008E74DC">
            <w:pPr>
              <w:pStyle w:val="Akapitzlist"/>
              <w:numPr>
                <w:ilvl w:val="3"/>
                <w:numId w:val="42"/>
              </w:numPr>
              <w:spacing w:after="60" w:line="276" w:lineRule="auto"/>
              <w:contextualSpacing w:val="0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e</w:t>
            </w:r>
            <w:r w:rsidR="009A7C5F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kulizumab</w:t>
            </w:r>
            <w:r w:rsidR="0020112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- podawane dawki należy określić w oparciu o masę ciała pacjenta</w:t>
            </w:r>
          </w:p>
          <w:p w14:paraId="01F49D3F" w14:textId="28E79908" w:rsidR="009A7C5F" w:rsidRPr="008E74DC" w:rsidRDefault="009A7C5F" w:rsidP="008E74DC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dawka 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początkowa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maksymalna to podanie 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9</w:t>
            </w:r>
            <w:r w:rsidR="00184E27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00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mg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, co tydzień przez pierwsze 4 tygodnie</w:t>
            </w:r>
            <w:r w:rsidR="00152D0A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,</w:t>
            </w:r>
          </w:p>
          <w:p w14:paraId="20413CBA" w14:textId="1AF25E2F" w:rsidR="009A7C5F" w:rsidRPr="008E74DC" w:rsidRDefault="009A7C5F" w:rsidP="008E74DC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dawka podtrzymująca maksymalna</w:t>
            </w:r>
            <w:r w:rsidR="00184E27" w:rsidRPr="008E74DC">
              <w:rPr>
                <w:rFonts w:cs="Times New Roman"/>
                <w:sz w:val="20"/>
                <w:szCs w:val="20"/>
              </w:rPr>
              <w:t xml:space="preserve"> 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to podanie 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12</w:t>
            </w:r>
            <w:r w:rsidR="00184E27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00 mg</w:t>
            </w:r>
            <w:r w:rsidR="001D1603" w:rsidRPr="008E74DC">
              <w:rPr>
                <w:rFonts w:cs="Times New Roman"/>
                <w:sz w:val="20"/>
                <w:szCs w:val="20"/>
              </w:rPr>
              <w:t xml:space="preserve"> 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w piątym tygodniu, a następnie dawka 1200 mg</w:t>
            </w:r>
            <w:r w:rsidR="001D1603" w:rsidRPr="008E74DC">
              <w:rPr>
                <w:rFonts w:cs="Times New Roman"/>
                <w:sz w:val="20"/>
                <w:szCs w:val="20"/>
              </w:rPr>
              <w:t xml:space="preserve"> </w:t>
            </w:r>
            <w:r w:rsidR="001D1603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co 14 ± 2 dni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.</w:t>
            </w:r>
          </w:p>
          <w:p w14:paraId="256681A1" w14:textId="2720E496" w:rsidR="009A7C5F" w:rsidRPr="008E74DC" w:rsidRDefault="00184E27" w:rsidP="008E74DC">
            <w:pPr>
              <w:numPr>
                <w:ilvl w:val="3"/>
                <w:numId w:val="42"/>
              </w:numPr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r</w:t>
            </w:r>
            <w:r w:rsidR="009A7C5F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awulizumab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- podawane dawki należy określić w oparciu o masę ciała pacjenta</w:t>
            </w:r>
          </w:p>
          <w:p w14:paraId="5FC3C3C9" w14:textId="0406C6B7" w:rsidR="00184E27" w:rsidRPr="008E74DC" w:rsidRDefault="00184E27" w:rsidP="008E74DC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dawka nasycająca maksymalna to podanie 3000 mg</w:t>
            </w:r>
            <w:r w:rsidR="00152D0A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,</w:t>
            </w:r>
          </w:p>
          <w:p w14:paraId="743AE50F" w14:textId="32D7D791" w:rsidR="00184E27" w:rsidRPr="008E74DC" w:rsidRDefault="00184E27" w:rsidP="008E74DC">
            <w:pPr>
              <w:numPr>
                <w:ilvl w:val="4"/>
                <w:numId w:val="42"/>
              </w:numPr>
              <w:spacing w:after="60" w:line="276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dawka podtrzymująca maksymalna </w:t>
            </w:r>
            <w:r w:rsidR="00CC106B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podana 2 tygodnie po dawce nasycającej 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to podanie 3600 mg</w:t>
            </w:r>
            <w:r w:rsidR="00CC106B"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co 8 tygodni</w:t>
            </w:r>
            <w:r w:rsidRPr="008E74DC">
              <w:rPr>
                <w:rFonts w:eastAsia="Times New Roman" w:cs="Times New Roman"/>
                <w:sz w:val="20"/>
                <w:szCs w:val="20"/>
                <w:lang w:eastAsia="pl-PL"/>
              </w:rPr>
              <w:t>.</w:t>
            </w:r>
          </w:p>
          <w:p w14:paraId="7365ED43" w14:textId="77777777" w:rsidR="00AF67D4" w:rsidRPr="008E74DC" w:rsidRDefault="00AF67D4" w:rsidP="008E74DC">
            <w:pPr>
              <w:spacing w:after="60" w:line="276" w:lineRule="auto"/>
              <w:jc w:val="both"/>
              <w:rPr>
                <w:rFonts w:eastAsia="Malgun Gothic" w:cs="Times New Roman"/>
                <w:bCs/>
                <w:sz w:val="20"/>
                <w:szCs w:val="20"/>
              </w:rPr>
            </w:pPr>
          </w:p>
          <w:p w14:paraId="6FD23DEC" w14:textId="46AF4AFC" w:rsidR="006C5FF7" w:rsidRPr="008E74DC" w:rsidRDefault="006C5FF7" w:rsidP="008E74DC">
            <w:pPr>
              <w:spacing w:after="60" w:line="276" w:lineRule="auto"/>
              <w:jc w:val="both"/>
              <w:rPr>
                <w:rFonts w:eastAsia="Malgun Gothic" w:cs="Times New Roman"/>
                <w:bCs/>
                <w:sz w:val="20"/>
                <w:szCs w:val="20"/>
              </w:rPr>
            </w:pPr>
            <w:r w:rsidRPr="008E74DC">
              <w:rPr>
                <w:rFonts w:eastAsia="Malgun Gothic" w:cs="Times New Roman"/>
                <w:bCs/>
                <w:sz w:val="20"/>
                <w:szCs w:val="20"/>
              </w:rPr>
              <w:t>Wydłużenie czasu między dawkami  możliw</w:t>
            </w:r>
            <w:r w:rsidR="00093CD3" w:rsidRPr="008E74DC">
              <w:rPr>
                <w:rFonts w:eastAsia="Malgun Gothic" w:cs="Times New Roman"/>
                <w:bCs/>
                <w:sz w:val="20"/>
                <w:szCs w:val="20"/>
              </w:rPr>
              <w:t>e</w:t>
            </w:r>
            <w:r w:rsidRPr="008E74DC">
              <w:rPr>
                <w:rFonts w:eastAsia="Malgun Gothic" w:cs="Times New Roman"/>
                <w:bCs/>
                <w:color w:val="FF0000"/>
                <w:sz w:val="20"/>
                <w:szCs w:val="20"/>
              </w:rPr>
              <w:t xml:space="preserve"> </w:t>
            </w:r>
            <w:r w:rsidRPr="008E74DC">
              <w:rPr>
                <w:rFonts w:eastAsia="Malgun Gothic" w:cs="Times New Roman"/>
                <w:bCs/>
                <w:sz w:val="20"/>
                <w:szCs w:val="20"/>
              </w:rPr>
              <w:t xml:space="preserve">na podstawie uchwały Zespołu Koordynacyjnego </w:t>
            </w:r>
            <w:r w:rsidRPr="008E74DC">
              <w:rPr>
                <w:rFonts w:eastAsia="Malgun Gothic" w:cs="Times New Roman"/>
                <w:bCs/>
                <w:sz w:val="20"/>
                <w:szCs w:val="20"/>
              </w:rPr>
              <w:lastRenderedPageBreak/>
              <w:t>pod warunkiem monitorowania skuteczności leczenia przy pomocy oznaczenia CH50.</w:t>
            </w:r>
          </w:p>
        </w:tc>
        <w:tc>
          <w:tcPr>
            <w:tcW w:w="1823" w:type="pct"/>
          </w:tcPr>
          <w:p w14:paraId="6F9E8BF4" w14:textId="77C16719" w:rsidR="007A1100" w:rsidRPr="008E74DC" w:rsidRDefault="00953B68" w:rsidP="008E74DC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Badania przy kwalifikacji</w:t>
            </w:r>
          </w:p>
          <w:p w14:paraId="1C2206E0" w14:textId="0CF432FD" w:rsidR="00EA6CF9" w:rsidRPr="008E74DC" w:rsidRDefault="002F7E74" w:rsidP="008E74DC">
            <w:pPr>
              <w:pStyle w:val="Akapitzlist"/>
              <w:numPr>
                <w:ilvl w:val="1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E</w:t>
            </w:r>
            <w:r w:rsidR="00EA6CF9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kulizumabem lub rawulizumabem u chorych nie leczonych</w:t>
            </w:r>
            <w:r w:rsidR="0006011E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A6CF9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wcześniej ekulizumabem</w:t>
            </w:r>
          </w:p>
          <w:p w14:paraId="306C0E58" w14:textId="53E519EC" w:rsidR="007A1100" w:rsidRPr="008E74DC" w:rsidRDefault="006F24D2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a</w:t>
            </w:r>
            <w:r w:rsidR="00F50204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ktywność ADAMTS13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  <w:r w:rsidR="00C04EE6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u dzieci z obniżonym eGFR</w:t>
            </w:r>
            <w:r w:rsidR="007325D8" w:rsidRPr="00D02DB4">
              <w:rPr>
                <w:rFonts w:eastAsia="Malgun Gothic" w:cs="Times New Roman"/>
                <w:noProof/>
                <w:color w:val="FF0000"/>
                <w:sz w:val="20"/>
                <w:szCs w:val="20"/>
                <w:lang w:eastAsia="pl-PL"/>
              </w:rPr>
              <w:t xml:space="preserve"> </w:t>
            </w:r>
            <w:r w:rsidR="00A56D09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 xml:space="preserve">oraz u dorosłych z </w:t>
            </w:r>
            <w:r w:rsidR="00971C29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>PLASMIC Score≤5 (</w:t>
            </w:r>
            <w:r w:rsidR="00A56D09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>P</w:t>
            </w:r>
            <w:r w:rsidR="00210A0C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>S</w:t>
            </w:r>
            <w:r w:rsidR="00A56D09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>≤5</w:t>
            </w:r>
            <w:r w:rsidR="00971C29" w:rsidRPr="00BE623F">
              <w:rPr>
                <w:rFonts w:eastAsia="Malgun Gothic" w:cs="Times New Roman"/>
                <w:noProof/>
                <w:color w:val="000000" w:themeColor="text1"/>
                <w:sz w:val="20"/>
                <w:szCs w:val="20"/>
                <w:lang w:eastAsia="pl-PL"/>
              </w:rPr>
              <w:t>)</w:t>
            </w:r>
            <w:r w:rsidR="00A56D09" w:rsidRPr="00D02DB4">
              <w:rPr>
                <w:rFonts w:eastAsia="Malgun Gothic" w:cs="Times New Roman"/>
                <w:noProof/>
                <w:color w:val="FF0000"/>
                <w:sz w:val="20"/>
                <w:szCs w:val="20"/>
                <w:lang w:eastAsia="pl-PL"/>
              </w:rPr>
              <w:t xml:space="preserve"> 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można wdro</w:t>
            </w:r>
            <w:r w:rsidR="0025226F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ż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yć leczenie w oczekiwaniu na wynik badania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3C6F25CD" w14:textId="77777777" w:rsidR="007A1100" w:rsidRPr="008E74DC" w:rsidRDefault="006F24D2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</w:t>
            </w:r>
            <w:r w:rsidR="00AF49C5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adanie </w:t>
            </w:r>
            <w:r w:rsidR="007A1100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STEC </w:t>
            </w:r>
            <w:r w:rsidR="00AF49C5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(PCR lub hodowla bakteryjna</w:t>
            </w:r>
            <w:r w:rsidR="007A1100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)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w pierwszym rzucie choroby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0F0A0F87" w14:textId="03A3AD19" w:rsidR="00C168E5" w:rsidRPr="008E74DC" w:rsidRDefault="00A21C87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wykonanie badani</w:t>
            </w:r>
            <w:r w:rsidR="006668C4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a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potwierdzającego lub wykluczającego </w:t>
            </w:r>
            <w:r w:rsidR="00C168E5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ciąż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ę (</w:t>
            </w:r>
            <w:r w:rsidR="00C168E5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u kobiet w wieku rozrodczym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)</w:t>
            </w:r>
            <w:r w:rsidR="00C168E5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100270A8" w14:textId="77777777" w:rsidR="00132003" w:rsidRPr="008E74DC" w:rsidRDefault="00132003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</w:rPr>
              <w:t>dehydrogenaza mleczanowa całkowita (LDH);</w:t>
            </w:r>
          </w:p>
          <w:p w14:paraId="48A8A2DD" w14:textId="77777777" w:rsidR="007A1100" w:rsidRPr="008E74DC" w:rsidRDefault="0050762D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stężenie h</w:t>
            </w:r>
            <w:r w:rsidR="00132003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aptoglobin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y</w:t>
            </w:r>
            <w:r w:rsidR="00132003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(Hp)</w:t>
            </w:r>
            <w:r w:rsidR="00132003" w:rsidRPr="008E74DC" w:rsidDel="00720802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="00216EE9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lub</w:t>
            </w:r>
            <w:r w:rsidR="00CB6289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schistocyty</w:t>
            </w:r>
            <w:r w:rsidR="0057414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087CDD38" w14:textId="77777777" w:rsidR="007A1100" w:rsidRPr="008E74DC" w:rsidRDefault="00720802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m</w:t>
            </w:r>
            <w:r w:rsidR="008D5A67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orfologia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krwi </w:t>
            </w:r>
            <w:r w:rsidR="008D5A67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z rozmazem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393F5428" w14:textId="77777777" w:rsidR="00E318C0" w:rsidRPr="008E74DC" w:rsidRDefault="00E318C0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badanie ogólne moczu;</w:t>
            </w:r>
          </w:p>
          <w:p w14:paraId="4D8C5FD1" w14:textId="77777777" w:rsidR="00E318C0" w:rsidRPr="008E74DC" w:rsidRDefault="00E318C0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stężenie kreatyniny</w:t>
            </w:r>
            <w:r w:rsidR="0065000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i wyliczony eGFR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1D44B43D" w14:textId="39343C7F" w:rsidR="00104C6F" w:rsidRPr="008E74DC" w:rsidRDefault="00720802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aminotransferaza asparaginowa (</w:t>
            </w:r>
            <w:r w:rsidR="00A92572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AspAT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)</w:t>
            </w:r>
            <w:r w:rsidR="006668C4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="0065000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i alaninowa (AlAT)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6FC33D6E" w14:textId="77777777" w:rsidR="00104C6F" w:rsidRPr="008E74DC" w:rsidRDefault="00FC3640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badania układu dopełniacza C3, CH50</w:t>
            </w:r>
            <w:r w:rsidR="00CF0B3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 leczenie można wdrożyć w oczekiwaniu na wynik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3018AAC9" w14:textId="77777777" w:rsidR="00104C6F" w:rsidRPr="008E74DC" w:rsidRDefault="00CF0B3F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badania genetyczne w kierunku przyczyn genetycznych a</w:t>
            </w:r>
            <w:r w:rsidR="00056459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HUS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;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leczenie mozna wdrożyć w oczekiwaniu na wynik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3D5CA461" w14:textId="77777777" w:rsidR="00104C6F" w:rsidRPr="008E74DC" w:rsidRDefault="00CF0B3F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lastRenderedPageBreak/>
              <w:t xml:space="preserve">przeciwciała anty H; leczenie można wdrożyć w oczekiwaniu 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na wynik;</w:t>
            </w:r>
          </w:p>
          <w:p w14:paraId="261B0265" w14:textId="77777777" w:rsidR="00104C6F" w:rsidRPr="008E74DC" w:rsidRDefault="00104C6F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t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est Coombsa;</w:t>
            </w:r>
            <w:r w:rsidR="00CE0612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leczenie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można wdrożyć leczenie w oczekiwaniu</w:t>
            </w:r>
            <w:r w:rsidR="00CE0612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="007325D8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na wynik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;</w:t>
            </w:r>
          </w:p>
          <w:p w14:paraId="75379868" w14:textId="77777777" w:rsidR="00270696" w:rsidRPr="008E74DC" w:rsidRDefault="00270696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w przypadk</w:t>
            </w:r>
            <w:r w:rsidR="00E00A76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u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występowania</w:t>
            </w:r>
            <w:r w:rsidR="00C63FED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u pacjentów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:</w:t>
            </w:r>
          </w:p>
          <w:p w14:paraId="70DEC510" w14:textId="77777777" w:rsidR="00270696" w:rsidRPr="008E74DC" w:rsidRDefault="00270696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neurologicznych</w:t>
            </w:r>
          </w:p>
          <w:p w14:paraId="2D3AFD9C" w14:textId="1667510E" w:rsidR="00270696" w:rsidRPr="00084B49" w:rsidRDefault="00270696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rezonans magnetyczny z angiografią</w:t>
            </w:r>
            <w:r w:rsidR="002F7E74" w:rsidRPr="00084B49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0AD6EEC2" w14:textId="77777777" w:rsidR="00152D0A" w:rsidRPr="008E74DC" w:rsidRDefault="00CE0612" w:rsidP="008E74D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lub</w:t>
            </w:r>
          </w:p>
          <w:p w14:paraId="4B201AD2" w14:textId="7D218ACE" w:rsidR="00270696" w:rsidRPr="008E74DC" w:rsidRDefault="00270696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tomografia</w:t>
            </w:r>
            <w:r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komputerowa ośrodkowego układu nerwowego</w:t>
            </w:r>
            <w:r w:rsidR="002F7E74" w:rsidRPr="008E74DC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29B1B944" w14:textId="77777777" w:rsidR="00270696" w:rsidRPr="008E74DC" w:rsidRDefault="00E9629A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ze strony układu pokarmowego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:</w:t>
            </w:r>
          </w:p>
          <w:p w14:paraId="221D2A6A" w14:textId="71C4B246" w:rsidR="00E9629A" w:rsidRPr="00084B49" w:rsidRDefault="00E9629A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amylaza, lipaza</w:t>
            </w:r>
            <w:r w:rsidR="00CE0612" w:rsidRPr="00084B49">
              <w:rPr>
                <w:rFonts w:eastAsia="Calibri" w:cs="Times New Roman"/>
                <w:sz w:val="20"/>
                <w:szCs w:val="20"/>
              </w:rPr>
              <w:t xml:space="preserve"> oraz</w:t>
            </w:r>
            <w:r w:rsidR="00361D71" w:rsidRPr="00084B49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084B49">
              <w:rPr>
                <w:rFonts w:eastAsia="Calibri" w:cs="Times New Roman"/>
                <w:sz w:val="20"/>
                <w:szCs w:val="20"/>
              </w:rPr>
              <w:t>usg jamy brzusznej</w:t>
            </w:r>
            <w:r w:rsidR="002F7E74" w:rsidRPr="00084B49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53F0EDA3" w14:textId="77777777" w:rsidR="00E9629A" w:rsidRPr="008E74DC" w:rsidRDefault="00EB0AA1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ze strony układu sercowo-naczyniowego</w:t>
            </w:r>
            <w:r w:rsidR="00C63FED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:</w:t>
            </w:r>
          </w:p>
          <w:p w14:paraId="5CD96AD8" w14:textId="29D53833" w:rsidR="00EB0AA1" w:rsidRPr="00084B49" w:rsidRDefault="00EB0AA1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084B49">
              <w:rPr>
                <w:rFonts w:eastAsia="Calibri" w:cs="Times New Roman"/>
                <w:sz w:val="20"/>
                <w:szCs w:val="20"/>
              </w:rPr>
              <w:t>troponina</w:t>
            </w:r>
            <w:proofErr w:type="spellEnd"/>
            <w:r w:rsidRPr="00084B49">
              <w:rPr>
                <w:rFonts w:eastAsia="Calibri" w:cs="Times New Roman"/>
                <w:sz w:val="20"/>
                <w:szCs w:val="20"/>
              </w:rPr>
              <w:t xml:space="preserve"> T lub </w:t>
            </w:r>
            <w:proofErr w:type="spellStart"/>
            <w:r w:rsidRPr="00084B49">
              <w:rPr>
                <w:rFonts w:eastAsia="Calibri" w:cs="Times New Roman"/>
                <w:sz w:val="20"/>
                <w:szCs w:val="20"/>
              </w:rPr>
              <w:t>troponina</w:t>
            </w:r>
            <w:proofErr w:type="spellEnd"/>
            <w:r w:rsidRPr="00084B49">
              <w:rPr>
                <w:rFonts w:eastAsia="Calibri" w:cs="Times New Roman"/>
                <w:sz w:val="20"/>
                <w:szCs w:val="20"/>
              </w:rPr>
              <w:t xml:space="preserve"> I,</w:t>
            </w:r>
            <w:r w:rsidR="00CE0612" w:rsidRPr="00084B49">
              <w:rPr>
                <w:rFonts w:eastAsia="Calibri" w:cs="Times New Roman"/>
                <w:sz w:val="20"/>
                <w:szCs w:val="20"/>
              </w:rPr>
              <w:t xml:space="preserve"> lub</w:t>
            </w:r>
            <w:r w:rsidRPr="00084B49">
              <w:rPr>
                <w:rFonts w:eastAsia="Calibri" w:cs="Times New Roman"/>
                <w:sz w:val="20"/>
                <w:szCs w:val="20"/>
              </w:rPr>
              <w:t xml:space="preserve"> EKG</w:t>
            </w:r>
            <w:r w:rsidR="00CE0612" w:rsidRPr="00084B49">
              <w:rPr>
                <w:rFonts w:eastAsia="Calibri" w:cs="Times New Roman"/>
                <w:sz w:val="20"/>
                <w:szCs w:val="20"/>
              </w:rPr>
              <w:t xml:space="preserve">, </w:t>
            </w:r>
            <w:r w:rsidRPr="00084B49">
              <w:rPr>
                <w:rFonts w:eastAsia="Calibri" w:cs="Times New Roman"/>
                <w:sz w:val="20"/>
                <w:szCs w:val="20"/>
              </w:rPr>
              <w:t>lub</w:t>
            </w:r>
            <w:r w:rsidR="00CE0612" w:rsidRPr="00084B49">
              <w:rPr>
                <w:rFonts w:eastAsia="Calibri" w:cs="Times New Roman"/>
                <w:sz w:val="20"/>
                <w:szCs w:val="20"/>
              </w:rPr>
              <w:t xml:space="preserve"> ECHO serca</w:t>
            </w:r>
            <w:r w:rsidR="002F7E74" w:rsidRPr="00084B49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438BF7D9" w14:textId="6BB0091C" w:rsidR="00152D0A" w:rsidRPr="00084B49" w:rsidRDefault="00EB0AA1" w:rsidP="00084B49">
            <w:pPr>
              <w:tabs>
                <w:tab w:val="left" w:pos="746"/>
              </w:tabs>
              <w:suppressAutoHyphens/>
              <w:autoSpaceDN w:val="0"/>
              <w:spacing w:after="60"/>
              <w:ind w:left="68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lub</w:t>
            </w:r>
          </w:p>
          <w:p w14:paraId="1BE4B823" w14:textId="21F8095D" w:rsidR="00C168E5" w:rsidRPr="00084B49" w:rsidRDefault="00CE0612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c</w:t>
            </w:r>
            <w:r w:rsidR="00EB0AA1" w:rsidRPr="00084B49">
              <w:rPr>
                <w:rFonts w:eastAsia="Calibri" w:cs="Times New Roman"/>
                <w:sz w:val="20"/>
                <w:szCs w:val="20"/>
              </w:rPr>
              <w:t>ewnikowanie serca</w:t>
            </w:r>
            <w:r w:rsidR="00F964B4" w:rsidRPr="00084B49">
              <w:rPr>
                <w:rFonts w:eastAsia="Calibri" w:cs="Times New Roman"/>
                <w:sz w:val="20"/>
                <w:szCs w:val="20"/>
              </w:rPr>
              <w:t>.</w:t>
            </w:r>
          </w:p>
          <w:p w14:paraId="19326258" w14:textId="77777777" w:rsidR="00840823" w:rsidRPr="008E74DC" w:rsidRDefault="00840823" w:rsidP="008E74DC">
            <w:pPr>
              <w:spacing w:after="60" w:line="276" w:lineRule="auto"/>
              <w:ind w:left="895" w:hanging="142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</w:p>
          <w:p w14:paraId="666C04D4" w14:textId="37ECB81F" w:rsidR="00F964B4" w:rsidRPr="008E74DC" w:rsidRDefault="008E74DC" w:rsidP="008E74DC">
            <w:pPr>
              <w:pStyle w:val="Akapitzlist"/>
              <w:numPr>
                <w:ilvl w:val="1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R</w:t>
            </w:r>
            <w:r w:rsidR="00F964B4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awulizumabem u chorych leczonych uprzednio ekulizumabem</w:t>
            </w:r>
          </w:p>
          <w:p w14:paraId="429C8A92" w14:textId="401A9568" w:rsidR="00F964B4" w:rsidRPr="008E74DC" w:rsidRDefault="00F964B4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wykonanie badania potwierdzającego lub wykluczającego ciążę (u kobiet w wieku rozrodczym);</w:t>
            </w:r>
          </w:p>
          <w:p w14:paraId="0A7CE486" w14:textId="4A261998" w:rsidR="00F964B4" w:rsidRPr="008E74DC" w:rsidRDefault="00F964B4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dehydrogenaza mleczanowa całkowita (LDH);</w:t>
            </w:r>
          </w:p>
          <w:p w14:paraId="7457A837" w14:textId="77D89056" w:rsidR="00F964B4" w:rsidRPr="008E74DC" w:rsidRDefault="00F964B4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stężenie kreatyniny i wyliczony eGFR;</w:t>
            </w:r>
          </w:p>
          <w:p w14:paraId="010848C2" w14:textId="10457F01" w:rsidR="00F964B4" w:rsidRPr="008E74DC" w:rsidRDefault="00F964B4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badania układu dopełniacza C3, CH50; leczenie można wdrożyć</w:t>
            </w:r>
            <w:r w:rsidR="00840823"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w oczekiwaniu na wynik;</w:t>
            </w:r>
          </w:p>
          <w:p w14:paraId="35DBD8E6" w14:textId="3ADDA3EC" w:rsidR="00F964B4" w:rsidRPr="008E74DC" w:rsidRDefault="00F964B4" w:rsidP="008E74DC">
            <w:pPr>
              <w:numPr>
                <w:ilvl w:val="3"/>
                <w:numId w:val="43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w przypadku występowania u pacjentów:</w:t>
            </w:r>
          </w:p>
          <w:p w14:paraId="4E1CBFA7" w14:textId="12E17DDF" w:rsidR="00F964B4" w:rsidRPr="008E74DC" w:rsidRDefault="00F964B4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neurologicznych</w:t>
            </w:r>
          </w:p>
          <w:p w14:paraId="3FF155A4" w14:textId="0551FADF" w:rsidR="00F964B4" w:rsidRPr="00084B49" w:rsidRDefault="00F964B4" w:rsidP="00084B49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084B49">
              <w:rPr>
                <w:rFonts w:eastAsia="Calibri" w:cs="Times New Roman"/>
                <w:sz w:val="20"/>
                <w:szCs w:val="20"/>
              </w:rPr>
              <w:t>rezonans magnetyczny z angiografią</w:t>
            </w:r>
            <w:r w:rsidR="002F7E74" w:rsidRPr="00084B49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055D44D9" w14:textId="77777777" w:rsidR="00F964B4" w:rsidRPr="008E74DC" w:rsidRDefault="00F964B4" w:rsidP="008E74D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lastRenderedPageBreak/>
              <w:t xml:space="preserve">lub </w:t>
            </w:r>
          </w:p>
          <w:p w14:paraId="4FA7A17C" w14:textId="26B88D36" w:rsidR="00F964B4" w:rsidRPr="00B962E4" w:rsidRDefault="00F964B4" w:rsidP="00B962E4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962E4">
              <w:rPr>
                <w:rFonts w:eastAsia="Calibri" w:cs="Times New Roman"/>
                <w:sz w:val="20"/>
                <w:szCs w:val="20"/>
              </w:rPr>
              <w:t>tomografia komputerowa ośrodkowego układu nerwowego;</w:t>
            </w:r>
          </w:p>
          <w:p w14:paraId="6CEAEE35" w14:textId="21C30EB7" w:rsidR="00F964B4" w:rsidRPr="008E74DC" w:rsidRDefault="00F964B4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ze strony układu pokarmowego:</w:t>
            </w:r>
          </w:p>
          <w:p w14:paraId="0BC15122" w14:textId="75E75BAC" w:rsidR="00F964B4" w:rsidRPr="00B962E4" w:rsidRDefault="00F964B4" w:rsidP="00B962E4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962E4">
              <w:rPr>
                <w:rFonts w:eastAsia="Calibri" w:cs="Times New Roman"/>
                <w:sz w:val="20"/>
                <w:szCs w:val="20"/>
              </w:rPr>
              <w:t>amylaza, lipaza oraz usg jamy brzusznej</w:t>
            </w:r>
            <w:r w:rsidR="002F7E74" w:rsidRPr="00B962E4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12522BCB" w14:textId="1B73CB2E" w:rsidR="00F964B4" w:rsidRPr="008E74DC" w:rsidRDefault="00F964B4" w:rsidP="008E74DC">
            <w:pPr>
              <w:pStyle w:val="Akapitzlist"/>
              <w:numPr>
                <w:ilvl w:val="4"/>
                <w:numId w:val="43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objawów ze strony układu sercowo-naczyniowego:</w:t>
            </w:r>
          </w:p>
          <w:p w14:paraId="7566C530" w14:textId="3B46084A" w:rsidR="00F964B4" w:rsidRPr="00B962E4" w:rsidRDefault="00F964B4" w:rsidP="00B962E4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B962E4">
              <w:rPr>
                <w:rFonts w:eastAsia="Calibri" w:cs="Times New Roman"/>
                <w:sz w:val="20"/>
                <w:szCs w:val="20"/>
              </w:rPr>
              <w:t>troponina</w:t>
            </w:r>
            <w:proofErr w:type="spellEnd"/>
            <w:r w:rsidRPr="00B962E4">
              <w:rPr>
                <w:rFonts w:eastAsia="Calibri" w:cs="Times New Roman"/>
                <w:sz w:val="20"/>
                <w:szCs w:val="20"/>
              </w:rPr>
              <w:t xml:space="preserve"> T lub </w:t>
            </w:r>
            <w:proofErr w:type="spellStart"/>
            <w:r w:rsidRPr="00B962E4">
              <w:rPr>
                <w:rFonts w:eastAsia="Calibri" w:cs="Times New Roman"/>
                <w:sz w:val="20"/>
                <w:szCs w:val="20"/>
              </w:rPr>
              <w:t>troponina</w:t>
            </w:r>
            <w:proofErr w:type="spellEnd"/>
            <w:r w:rsidRPr="00B962E4">
              <w:rPr>
                <w:rFonts w:eastAsia="Calibri" w:cs="Times New Roman"/>
                <w:sz w:val="20"/>
                <w:szCs w:val="20"/>
              </w:rPr>
              <w:t xml:space="preserve"> I, lub EKG, lub ECHO serca</w:t>
            </w:r>
            <w:r w:rsidR="002F7E74" w:rsidRPr="00B962E4">
              <w:rPr>
                <w:rFonts w:eastAsia="Calibri" w:cs="Times New Roman"/>
                <w:sz w:val="20"/>
                <w:szCs w:val="20"/>
              </w:rPr>
              <w:t>,</w:t>
            </w:r>
          </w:p>
          <w:p w14:paraId="2F0F8ABC" w14:textId="77777777" w:rsidR="00F964B4" w:rsidRPr="008E74DC" w:rsidRDefault="00F964B4" w:rsidP="008E74DC">
            <w:pPr>
              <w:pStyle w:val="Akapitzlist"/>
              <w:spacing w:after="60" w:line="276" w:lineRule="auto"/>
              <w:ind w:left="680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 xml:space="preserve">lub </w:t>
            </w:r>
          </w:p>
          <w:p w14:paraId="61E685F9" w14:textId="66EBE3F6" w:rsidR="00F964B4" w:rsidRPr="00B962E4" w:rsidRDefault="00F964B4" w:rsidP="00B962E4">
            <w:pPr>
              <w:pStyle w:val="Akapitzlist"/>
              <w:numPr>
                <w:ilvl w:val="5"/>
                <w:numId w:val="41"/>
              </w:numPr>
              <w:tabs>
                <w:tab w:val="left" w:pos="746"/>
              </w:tabs>
              <w:suppressAutoHyphens/>
              <w:autoSpaceDN w:val="0"/>
              <w:spacing w:after="60" w:line="276" w:lineRule="auto"/>
              <w:ind w:left="850" w:hanging="170"/>
              <w:contextualSpacing w:val="0"/>
              <w:jc w:val="both"/>
              <w:textAlignment w:val="baseline"/>
              <w:rPr>
                <w:rFonts w:eastAsia="Calibri" w:cs="Times New Roman"/>
                <w:sz w:val="20"/>
                <w:szCs w:val="20"/>
              </w:rPr>
            </w:pPr>
            <w:r w:rsidRPr="00B962E4">
              <w:rPr>
                <w:rFonts w:eastAsia="Calibri" w:cs="Times New Roman"/>
                <w:sz w:val="20"/>
                <w:szCs w:val="20"/>
              </w:rPr>
              <w:t>cewnikowanie serca.</w:t>
            </w:r>
          </w:p>
          <w:p w14:paraId="3078DE1F" w14:textId="77777777" w:rsidR="00361D71" w:rsidRPr="008E74DC" w:rsidRDefault="00361D71" w:rsidP="008E74DC">
            <w:pPr>
              <w:spacing w:after="60" w:line="276" w:lineRule="auto"/>
              <w:ind w:left="1080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</w:p>
          <w:p w14:paraId="5F7CA7C3" w14:textId="7CA46DAD" w:rsidR="008E74DC" w:rsidRPr="00B962E4" w:rsidRDefault="00840823" w:rsidP="00B962E4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vanish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Monitorowanie leczenia</w:t>
            </w:r>
          </w:p>
          <w:p w14:paraId="60C7600D" w14:textId="7E1430F3" w:rsidR="00FA1167" w:rsidRPr="008E74DC" w:rsidRDefault="008E74DC" w:rsidP="008E74DC">
            <w:pPr>
              <w:pStyle w:val="Akapitzlist"/>
              <w:numPr>
                <w:ilvl w:val="1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</w:t>
            </w:r>
            <w:r w:rsidR="00507539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onitorowanie terapii ekulizumabem</w:t>
            </w:r>
          </w:p>
          <w:p w14:paraId="76AA8143" w14:textId="0814AFB1" w:rsidR="007A1100" w:rsidRPr="008E74DC" w:rsidRDefault="00840823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w</w:t>
            </w:r>
            <w:r w:rsidR="00F54649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czasie leczenia poc</w:t>
            </w:r>
            <w:r w:rsidR="000C53B5" w:rsidRPr="008E74DC">
              <w:rPr>
                <w:rFonts w:eastAsia="Malgun Gothic" w:cs="Times New Roman"/>
                <w:noProof/>
                <w:sz w:val="20"/>
                <w:szCs w:val="20"/>
              </w:rPr>
              <w:t>zątkowego (tj. przez pierwsze 4 </w:t>
            </w:r>
            <w:r w:rsidR="00F54649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tygodnie) </w:t>
            </w:r>
            <w:r w:rsidR="00FC03CC" w:rsidRPr="008E74DC">
              <w:rPr>
                <w:rFonts w:eastAsia="Malgun Gothic" w:cs="Times New Roman"/>
                <w:noProof/>
                <w:sz w:val="20"/>
                <w:szCs w:val="20"/>
              </w:rPr>
              <w:t>monitorowanie</w:t>
            </w:r>
            <w:r w:rsidR="00F54649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942FC6" w:rsidRPr="008E74DC">
              <w:rPr>
                <w:rFonts w:eastAsia="Malgun Gothic" w:cs="Times New Roman"/>
                <w:noProof/>
                <w:sz w:val="20"/>
                <w:szCs w:val="20"/>
              </w:rPr>
              <w:t>leczenia obejmuje w</w:t>
            </w:r>
            <w:r w:rsidR="007D3478" w:rsidRPr="008E74DC">
              <w:rPr>
                <w:rFonts w:eastAsia="Malgun Gothic" w:cs="Times New Roman"/>
                <w:noProof/>
                <w:sz w:val="20"/>
                <w:szCs w:val="20"/>
              </w:rPr>
              <w:t>y</w:t>
            </w:r>
            <w:r w:rsidR="00942FC6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konywanie badań wyszczególnionych jako 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pozycje </w:t>
            </w:r>
            <w:r w:rsidR="00854EFF" w:rsidRPr="008E74DC">
              <w:rPr>
                <w:rFonts w:eastAsia="Malgun Gothic" w:cs="Times New Roman"/>
                <w:noProof/>
                <w:sz w:val="20"/>
                <w:szCs w:val="20"/>
              </w:rPr>
              <w:t>4</w:t>
            </w:r>
            <w:r w:rsidR="00E318C0" w:rsidRPr="008E74DC">
              <w:rPr>
                <w:rFonts w:eastAsia="Malgun Gothic" w:cs="Times New Roman"/>
                <w:noProof/>
                <w:sz w:val="20"/>
                <w:szCs w:val="20"/>
              </w:rPr>
              <w:t>-8</w:t>
            </w:r>
            <w:r w:rsidR="00942FC6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w </w:t>
            </w:r>
            <w:r w:rsidR="00507539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>pkt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1</w:t>
            </w:r>
            <w:r w:rsidR="00507539" w:rsidRPr="008E74DC">
              <w:rPr>
                <w:rFonts w:eastAsia="Malgun Gothic" w:cs="Times New Roman"/>
                <w:noProof/>
                <w:sz w:val="20"/>
                <w:szCs w:val="20"/>
              </w:rPr>
              <w:t>.1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CF0B3F" w:rsidRPr="008E74DC">
              <w:rPr>
                <w:rFonts w:eastAsia="Malgun Gothic" w:cs="Times New Roman"/>
                <w:noProof/>
                <w:sz w:val="20"/>
                <w:szCs w:val="20"/>
              </w:rPr>
              <w:t>oraz CH50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>, przed każdą infuzją (</w:t>
            </w:r>
            <w:r w:rsidR="007D3478" w:rsidRPr="008E74DC">
              <w:rPr>
                <w:rFonts w:eastAsia="Malgun Gothic" w:cs="Times New Roman"/>
                <w:noProof/>
                <w:sz w:val="20"/>
                <w:szCs w:val="20"/>
              </w:rPr>
              <w:t>u osób &gt; 40kg raz w tygodniu, u dzieci zgodnie z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> </w:t>
            </w:r>
            <w:r w:rsidR="007D3478" w:rsidRPr="008E74DC">
              <w:rPr>
                <w:rFonts w:eastAsia="Malgun Gothic" w:cs="Times New Roman"/>
                <w:noProof/>
                <w:sz w:val="20"/>
                <w:szCs w:val="20"/>
              </w:rPr>
              <w:t>dawkowaniem preparatu w ChPL)</w:t>
            </w:r>
            <w:r w:rsidR="00CC599B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062DCC7F" w14:textId="0FC008D3" w:rsidR="007A1100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7021EA" w:rsidRPr="008E74DC">
              <w:rPr>
                <w:rFonts w:eastAsia="Malgun Gothic" w:cs="Times New Roman"/>
                <w:noProof/>
                <w:sz w:val="20"/>
                <w:szCs w:val="20"/>
              </w:rPr>
              <w:t>ocząwszy od 5 tygodnia monitorowanie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leczenia </w:t>
            </w:r>
            <w:r w:rsidR="00CB2B20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obejmuje wykonywanie badań wyszczególnionych jako 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pozycje </w:t>
            </w:r>
            <w:r w:rsidR="00CB2B20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4-8 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>w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> 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>pkt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>. 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>1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.1.</w:t>
            </w:r>
            <w:r w:rsidR="007021EA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7D3478" w:rsidRPr="008E74DC">
              <w:rPr>
                <w:rFonts w:eastAsia="Malgun Gothic" w:cs="Times New Roman"/>
                <w:noProof/>
                <w:sz w:val="20"/>
                <w:szCs w:val="20"/>
              </w:rPr>
              <w:t>przed każd</w:t>
            </w:r>
            <w:r w:rsidR="00F35249" w:rsidRPr="008E74DC">
              <w:rPr>
                <w:rFonts w:eastAsia="Malgun Gothic" w:cs="Times New Roman"/>
                <w:noProof/>
                <w:sz w:val="20"/>
                <w:szCs w:val="20"/>
              </w:rPr>
              <w:t>ą</w:t>
            </w:r>
            <w:r w:rsidR="00104C6F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infuzją (</w:t>
            </w:r>
            <w:r w:rsidR="007021EA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co 2 </w:t>
            </w:r>
            <w:r w:rsidR="00C948B1" w:rsidRPr="008E74DC">
              <w:rPr>
                <w:rFonts w:eastAsia="Malgun Gothic" w:cs="Times New Roman"/>
                <w:noProof/>
                <w:sz w:val="20"/>
                <w:szCs w:val="20"/>
              </w:rPr>
              <w:t>tygodnie</w:t>
            </w:r>
            <w:r w:rsidR="00806AC4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, a u dzieci </w:t>
            </w:r>
            <w:r w:rsidR="0042380B" w:rsidRPr="008E74DC">
              <w:rPr>
                <w:rFonts w:eastAsia="Malgun Gothic" w:cs="Times New Roman"/>
                <w:noProof/>
                <w:sz w:val="20"/>
                <w:szCs w:val="20"/>
              </w:rPr>
              <w:t>&lt;10kg co 3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> </w:t>
            </w:r>
            <w:r w:rsidR="0042380B" w:rsidRPr="008E74DC">
              <w:rPr>
                <w:rFonts w:eastAsia="Malgun Gothic" w:cs="Times New Roman"/>
                <w:noProof/>
                <w:sz w:val="20"/>
                <w:szCs w:val="20"/>
              </w:rPr>
              <w:t>tygodnie</w:t>
            </w:r>
            <w:r w:rsidR="005952EB" w:rsidRPr="008E74DC">
              <w:rPr>
                <w:rFonts w:eastAsia="Malgun Gothic" w:cs="Times New Roman"/>
                <w:noProof/>
                <w:sz w:val="20"/>
                <w:szCs w:val="20"/>
              </w:rPr>
              <w:t>) oraz badanie CH50 (co miesiąc</w:t>
            </w:r>
            <w:r w:rsidR="0042380B" w:rsidRPr="008E74DC">
              <w:rPr>
                <w:rFonts w:eastAsia="Malgun Gothic" w:cs="Times New Roman"/>
                <w:noProof/>
                <w:sz w:val="20"/>
                <w:szCs w:val="20"/>
              </w:rPr>
              <w:t>, a u dzieci &lt; 10kg, co 6 tygodni</w:t>
            </w:r>
            <w:r w:rsidR="005952EB" w:rsidRPr="008E74DC">
              <w:rPr>
                <w:rFonts w:eastAsia="Malgun Gothic" w:cs="Times New Roman"/>
                <w:noProof/>
                <w:sz w:val="20"/>
                <w:szCs w:val="20"/>
              </w:rPr>
              <w:t>)</w:t>
            </w:r>
            <w:r w:rsidR="00CC599B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260AE002" w14:textId="2D500FC5" w:rsidR="007A1100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122B2" w:rsidRPr="008E74DC">
              <w:rPr>
                <w:rFonts w:eastAsia="Malgun Gothic" w:cs="Times New Roman"/>
                <w:noProof/>
                <w:sz w:val="20"/>
                <w:szCs w:val="20"/>
              </w:rPr>
              <w:t>o upływie 3 miesięcy</w:t>
            </w:r>
            <w:r w:rsidR="00AB789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monitorowanie 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leczenia opisane w 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>pkt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1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.1.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AB789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odbywa się raz </w:t>
            </w:r>
            <w:r w:rsidR="00A122B2" w:rsidRPr="008E74DC">
              <w:rPr>
                <w:rFonts w:eastAsia="Malgun Gothic" w:cs="Times New Roman"/>
                <w:noProof/>
                <w:sz w:val="20"/>
                <w:szCs w:val="20"/>
              </w:rPr>
              <w:t>w</w:t>
            </w:r>
            <w:r w:rsidR="00AB789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="00A122B2" w:rsidRPr="008E74DC">
              <w:rPr>
                <w:rFonts w:eastAsia="Malgun Gothic" w:cs="Times New Roman"/>
                <w:noProof/>
                <w:sz w:val="20"/>
                <w:szCs w:val="20"/>
              </w:rPr>
              <w:t>miesiącu</w:t>
            </w:r>
            <w:r w:rsidR="00310614" w:rsidRPr="008E74DC">
              <w:rPr>
                <w:rFonts w:eastAsia="Malgun Gothic" w:cs="Times New Roman"/>
                <w:noProof/>
                <w:sz w:val="20"/>
                <w:szCs w:val="20"/>
              </w:rPr>
              <w:t>, a u dzieci &lt; 10kg raz na 6 tygodni</w:t>
            </w:r>
            <w:r w:rsidR="00CC599B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0A40653A" w14:textId="20BDF1A8" w:rsidR="007A1100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824F8A" w:rsidRPr="008E74DC">
              <w:rPr>
                <w:rFonts w:eastAsia="Malgun Gothic" w:cs="Times New Roman"/>
                <w:noProof/>
                <w:sz w:val="20"/>
                <w:szCs w:val="20"/>
              </w:rPr>
              <w:t>o upływie 1 roku leczenia monitorowanie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leczenia opisane w</w:t>
            </w:r>
            <w:r w:rsidR="00CB4ED1" w:rsidRPr="008E74DC">
              <w:rPr>
                <w:rFonts w:eastAsia="Malgun Gothic" w:cs="Times New Roman"/>
                <w:noProof/>
                <w:sz w:val="20"/>
                <w:szCs w:val="20"/>
              </w:rPr>
              <w:t> 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>pkt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  <w:r w:rsidR="0079655D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1</w:t>
            </w:r>
            <w:r w:rsidR="00986EAC" w:rsidRPr="008E74DC">
              <w:rPr>
                <w:rFonts w:eastAsia="Malgun Gothic" w:cs="Times New Roman"/>
                <w:noProof/>
                <w:sz w:val="20"/>
                <w:szCs w:val="20"/>
              </w:rPr>
              <w:t>.1.</w:t>
            </w:r>
            <w:r w:rsidR="00824F8A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odbywa się raz na 3 miesiące</w:t>
            </w:r>
            <w:r w:rsidR="00CC599B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637813E5" w14:textId="5A707503" w:rsidR="00CB2B20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u</w:t>
            </w:r>
            <w:r w:rsidR="00CB2B20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chorych z wyjściowymi dodatnimi p-ciałami antyH monitorowanie stężenia p-ciał odbywa się raz </w:t>
            </w:r>
            <w:r w:rsidR="00310614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na </w:t>
            </w:r>
            <w:r w:rsidR="003A7ED8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3 </w:t>
            </w:r>
            <w:r w:rsidR="00CB2B20" w:rsidRPr="008E74DC">
              <w:rPr>
                <w:rFonts w:eastAsia="Malgun Gothic" w:cs="Times New Roman"/>
                <w:noProof/>
                <w:sz w:val="20"/>
                <w:szCs w:val="20"/>
              </w:rPr>
              <w:t>miesiąc</w:t>
            </w:r>
            <w:r w:rsidR="00310614" w:rsidRPr="008E74DC">
              <w:rPr>
                <w:rFonts w:eastAsia="Malgun Gothic" w:cs="Times New Roman"/>
                <w:noProof/>
                <w:sz w:val="20"/>
                <w:szCs w:val="20"/>
              </w:rPr>
              <w:t>e</w:t>
            </w:r>
            <w:r w:rsidR="00882607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3882E4C9" w14:textId="7C5A7FAA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lastRenderedPageBreak/>
              <w:t xml:space="preserve">oraz </w:t>
            </w:r>
            <w:r w:rsidR="005F7453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należy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dokonać oceny skuteczności zastosowanej terapii po </w:t>
            </w:r>
            <w:r w:rsidR="002476FA" w:rsidRPr="008E74DC">
              <w:rPr>
                <w:rFonts w:eastAsia="Malgun Gothic" w:cs="Times New Roman"/>
                <w:noProof/>
                <w:sz w:val="20"/>
                <w:szCs w:val="20"/>
              </w:rPr>
              <w:t>3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miesiącach (±1 miesiąc) wg wskaźników zgodnych z pkt 1) kryteriów wyłączenia.</w:t>
            </w:r>
          </w:p>
          <w:p w14:paraId="0F2A79C6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7717AC93" w14:textId="6AD233E1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Jeżeli terapia jest kontynuowana powyższe badania wraz</w:t>
            </w:r>
            <w:r w:rsidR="006F55B5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z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oceną skuteczności leczenia należy powtarzać po każdych kolejnych </w:t>
            </w:r>
            <w:r w:rsidR="002476FA" w:rsidRPr="008E74DC">
              <w:rPr>
                <w:rFonts w:eastAsia="Malgun Gothic" w:cs="Times New Roman"/>
                <w:noProof/>
                <w:sz w:val="20"/>
                <w:szCs w:val="20"/>
              </w:rPr>
              <w:t>3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miesiącach (±1 miesiąc).</w:t>
            </w:r>
          </w:p>
          <w:p w14:paraId="62447B83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3143999F" w14:textId="78433105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Zespół Koordynacyjny w celu monitorowania adekwatnej odpowiedzi na leczenie, na podstawie danych gromadzonych w elektronicznym systemie monitorowania programów lekowych podsumowuje wyniki leczenia w programie lekowym na koniec każdego roku.</w:t>
            </w:r>
          </w:p>
          <w:p w14:paraId="4DD310C1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4A57B359" w14:textId="07381116" w:rsidR="00A72DE2" w:rsidRPr="008E74DC" w:rsidRDefault="008E74DC" w:rsidP="008E74DC">
            <w:pPr>
              <w:pStyle w:val="Akapitzlist"/>
              <w:numPr>
                <w:ilvl w:val="1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bCs/>
                <w:noProof/>
                <w:sz w:val="20"/>
                <w:szCs w:val="20"/>
              </w:rPr>
            </w:pPr>
            <w:r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M</w:t>
            </w:r>
            <w:r w:rsidR="00A72DE2" w:rsidRPr="008E74D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onitorowanie terapii rawulizumabem</w:t>
            </w:r>
          </w:p>
          <w:p w14:paraId="1650E908" w14:textId="3E2D5BC9" w:rsidR="00A72DE2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ierwsze 2 tygodnie leczenia – tj. podanie dawki nasycającej i pierwsze podanie dawki podtrzymującej monitorowanie leczenia obejmuje wykonywanie badań wyszczególnionych jako pozycje 4-10 w </w:t>
            </w:r>
            <w:r w:rsidR="002F58C3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pkt. 1.1., przed każdą infuzją;</w:t>
            </w:r>
          </w:p>
          <w:p w14:paraId="041EF639" w14:textId="0D0398FF" w:rsidR="00A72DE2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ocząwszy od 10 tygodnia – tj. podania drugiej dawki leczenia podtrzymujacego monitorowanie leczenia obejmuje wykonywanie badań wyszczególnionych jako pozycje 4-10 w </w:t>
            </w:r>
            <w:r w:rsidR="002F58C3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pkt. 1.1 przed każdą infuzją (co 8 tygodni). W przypadku dzieci z masą ciała pomiędzy 10 kg a 20 kg, począwszy od 6 tygodnia, wykonanie badań wyszczególnionych jako pozycje 4-10 w </w:t>
            </w:r>
            <w:r w:rsidR="002F58C3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pkt. 1.1. przed każdą infuzją tj. co 4 tygodnie;</w:t>
            </w:r>
          </w:p>
          <w:p w14:paraId="277E0291" w14:textId="50459C01" w:rsidR="00A72DE2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o upływie 26 tygodni od rozpoczęcia terapii monitorowanie leczenia opisane jako pozycje 4-10 w </w:t>
            </w:r>
            <w:r w:rsidR="002F58C3" w:rsidRPr="008E74DC">
              <w:rPr>
                <w:rFonts w:eastAsia="Malgun Gothic" w:cs="Times New Roman"/>
                <w:noProof/>
                <w:sz w:val="20"/>
                <w:szCs w:val="20"/>
              </w:rPr>
              <w:t>p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>pkt. 1.1. odbywa się raz na 24 tygodnie;</w:t>
            </w:r>
          </w:p>
          <w:p w14:paraId="470125A2" w14:textId="2A36E8DC" w:rsidR="00A72DE2" w:rsidRPr="008E74DC" w:rsidRDefault="002F7E74" w:rsidP="008E74DC">
            <w:pPr>
              <w:numPr>
                <w:ilvl w:val="3"/>
                <w:numId w:val="44"/>
              </w:num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u</w:t>
            </w:r>
            <w:r w:rsidR="00A72DE2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chorych z wyjściowymi dodatnimi p-ciałami antyH monitorowanie stężenia p-ciał odbywa się raz na 24 tygodnie</w:t>
            </w:r>
            <w:r w:rsidR="00882607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3CEACED5" w14:textId="0C425323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lastRenderedPageBreak/>
              <w:t>oraz</w:t>
            </w:r>
            <w:r w:rsidR="005F7453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należy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dokonać oceny skuteczności zastosowanej terapii po 3 miesiącach wg wskaźników zgodnych z pkt 1)  kryteriów wyłączenia.</w:t>
            </w:r>
          </w:p>
          <w:p w14:paraId="170D86B1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7CF4E873" w14:textId="7D7BCAFC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Jeżeli terapia jest kontynuowana powyższe badania wraz</w:t>
            </w:r>
            <w:r w:rsidR="006F55B5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z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oceną skuteczności leczenia należy powtarzać po każdych kolejnych </w:t>
            </w:r>
            <w:r w:rsidR="00C755E0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6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miesiącach .</w:t>
            </w:r>
          </w:p>
          <w:p w14:paraId="5A866DCD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10A03061" w14:textId="67C86F30" w:rsidR="00361D71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Zespół Koordynacyjny w celu monitorowania skuteczności leczenia, na podstawie danych gromadzonych w elektronicznym systemie monitorowania programów lekowych podsumowuje wyniki leczenia w programie lekowym na koniec każdego roku.</w:t>
            </w:r>
          </w:p>
          <w:p w14:paraId="115AC739" w14:textId="77777777" w:rsidR="00882607" w:rsidRPr="008E74DC" w:rsidRDefault="00882607" w:rsidP="008E74DC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  <w:p w14:paraId="6C6CBA33" w14:textId="4C4BCFF9" w:rsidR="00CC599B" w:rsidRPr="008E74DC" w:rsidRDefault="00CC599B" w:rsidP="008E74DC">
            <w:pPr>
              <w:pStyle w:val="Akapitzlist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 xml:space="preserve">Monitorowanie </w:t>
            </w:r>
            <w:r w:rsidR="00860884"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w trakcie</w:t>
            </w: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 xml:space="preserve"> czasowego przerwania leczenia</w:t>
            </w:r>
          </w:p>
          <w:p w14:paraId="223022E0" w14:textId="77777777" w:rsidR="00CC599B" w:rsidRPr="008E74DC" w:rsidRDefault="00CB4ED1" w:rsidP="008E74DC">
            <w:pPr>
              <w:spacing w:after="60" w:line="276" w:lineRule="auto"/>
              <w:jc w:val="both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W</w:t>
            </w:r>
            <w:r w:rsidR="00CC599B" w:rsidRPr="008E74DC">
              <w:rPr>
                <w:rFonts w:cs="Times New Roman"/>
                <w:sz w:val="20"/>
                <w:szCs w:val="20"/>
                <w:lang w:eastAsia="pl-PL"/>
              </w:rPr>
              <w:t xml:space="preserve"> pierwszym roku co miesiąc oraz przy każdej infekcji, a w kolejnych latach co najmniej raz na 3 miesiące (u kobiet w ciąży oraz połogu co miesiąc):</w:t>
            </w:r>
          </w:p>
          <w:p w14:paraId="40968580" w14:textId="77777777" w:rsidR="007B5EFD" w:rsidRPr="007B5EFD" w:rsidRDefault="00CC599B" w:rsidP="007B5EFD">
            <w:pPr>
              <w:pStyle w:val="Akapitzlist"/>
              <w:numPr>
                <w:ilvl w:val="3"/>
                <w:numId w:val="44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8E74DC">
              <w:rPr>
                <w:rFonts w:cs="Times New Roman"/>
                <w:sz w:val="20"/>
                <w:szCs w:val="20"/>
                <w:lang w:eastAsia="pl-PL"/>
              </w:rPr>
              <w:t>badanie mo</w:t>
            </w:r>
            <w:r w:rsidR="00361D71" w:rsidRPr="008E74DC">
              <w:rPr>
                <w:rFonts w:cs="Times New Roman"/>
                <w:sz w:val="20"/>
                <w:szCs w:val="20"/>
                <w:lang w:eastAsia="pl-PL"/>
              </w:rPr>
              <w:t xml:space="preserve">czu (białkomocz, </w:t>
            </w:r>
            <w:proofErr w:type="spellStart"/>
            <w:r w:rsidR="00361D71" w:rsidRPr="008E74DC">
              <w:rPr>
                <w:rFonts w:cs="Times New Roman"/>
                <w:sz w:val="20"/>
                <w:szCs w:val="20"/>
                <w:lang w:eastAsia="pl-PL"/>
              </w:rPr>
              <w:t>erytrocyturia</w:t>
            </w:r>
            <w:proofErr w:type="spellEnd"/>
            <w:r w:rsidR="00361D71" w:rsidRPr="008E74DC">
              <w:rPr>
                <w:rFonts w:cs="Times New Roman"/>
                <w:sz w:val="20"/>
                <w:szCs w:val="20"/>
                <w:lang w:eastAsia="pl-PL"/>
              </w:rPr>
              <w:t>);</w:t>
            </w:r>
          </w:p>
          <w:p w14:paraId="7E8F334C" w14:textId="09E21043" w:rsidR="00361D71" w:rsidRPr="00B962E4" w:rsidRDefault="007B5EFD" w:rsidP="007B5EFD">
            <w:pPr>
              <w:pStyle w:val="Akapitzlist"/>
              <w:numPr>
                <w:ilvl w:val="3"/>
                <w:numId w:val="44"/>
              </w:numPr>
              <w:spacing w:after="60" w:line="276" w:lineRule="auto"/>
              <w:contextualSpacing w:val="0"/>
              <w:jc w:val="both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BE623F">
              <w:rPr>
                <w:rFonts w:cs="Times New Roman"/>
                <w:sz w:val="20"/>
                <w:szCs w:val="20"/>
                <w:lang w:eastAsia="pl-PL"/>
              </w:rPr>
              <w:t>oznaczenie stężenia hemoglobiny i liczby płytek krwi.</w:t>
            </w:r>
          </w:p>
          <w:p w14:paraId="7F3E951C" w14:textId="77777777" w:rsidR="00B962E4" w:rsidRPr="00B962E4" w:rsidRDefault="00B962E4" w:rsidP="00B962E4">
            <w:pPr>
              <w:spacing w:after="60"/>
              <w:ind w:left="227"/>
              <w:jc w:val="both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</w:p>
          <w:p w14:paraId="56AFE9FD" w14:textId="77777777" w:rsidR="007A1100" w:rsidRPr="008E74DC" w:rsidRDefault="005857E6" w:rsidP="008E74DC">
            <w:pPr>
              <w:pStyle w:val="Akapitzlist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8E74DC">
              <w:rPr>
                <w:rFonts w:eastAsia="Times New Roman" w:cs="Times New Roman"/>
                <w:b/>
                <w:bCs/>
                <w:sz w:val="20"/>
                <w:szCs w:val="20"/>
                <w:lang w:eastAsia="pl-PL"/>
              </w:rPr>
              <w:t>Monitorowanie programu</w:t>
            </w:r>
          </w:p>
          <w:p w14:paraId="35B060A8" w14:textId="255BBF9B" w:rsidR="007A1100" w:rsidRPr="008E74DC" w:rsidRDefault="00610056" w:rsidP="008E74DC">
            <w:pPr>
              <w:pStyle w:val="Akapitzlist"/>
              <w:widowControl w:val="0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gromadzenie w dokumentacji medycznej pacjenta danych dotyczących monitorowania leczenia i każdorazowe ich przed</w:t>
            </w:r>
            <w:r w:rsidR="00023ACA" w:rsidRPr="008E74DC">
              <w:rPr>
                <w:rFonts w:eastAsia="Malgun Gothic" w:cs="Times New Roman"/>
                <w:noProof/>
                <w:sz w:val="20"/>
                <w:szCs w:val="20"/>
              </w:rPr>
              <w:t>stawianie na żądanie kontrolera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Narodowego Funduszu Zdrowia</w:t>
            </w:r>
            <w:r w:rsidR="00865E96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4A78ED64" w14:textId="13F7439B" w:rsidR="00432E39" w:rsidRPr="008E74DC" w:rsidRDefault="009F6FCD" w:rsidP="008E74DC">
            <w:pPr>
              <w:pStyle w:val="Akapitzlist"/>
              <w:widowControl w:val="0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outlineLvl w:val="2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uzupełnienie danych </w:t>
            </w:r>
            <w:r w:rsidR="005B4114" w:rsidRPr="008E74DC">
              <w:rPr>
                <w:rFonts w:eastAsia="Malgun Gothic" w:cs="Times New Roman"/>
                <w:noProof/>
                <w:sz w:val="20"/>
                <w:szCs w:val="20"/>
              </w:rPr>
              <w:t>zawartych w elektronicznym systemie monitorowania programów lekowych</w:t>
            </w:r>
            <w:r w:rsidR="00530566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dostępnym za pomocą aplikacji internetowej udostępnionej przez OW </w:t>
            </w:r>
            <w:r w:rsidR="000C53B5" w:rsidRPr="008E74DC">
              <w:rPr>
                <w:rFonts w:eastAsia="Malgun Gothic" w:cs="Times New Roman"/>
                <w:noProof/>
                <w:sz w:val="20"/>
                <w:szCs w:val="20"/>
              </w:rPr>
              <w:t>NFZ,</w:t>
            </w:r>
            <w:r w:rsidR="003A17E3" w:rsidRPr="008E74DC">
              <w:rPr>
                <w:rFonts w:cs="Times New Roman"/>
                <w:sz w:val="20"/>
                <w:szCs w:val="20"/>
              </w:rPr>
              <w:t xml:space="preserve"> </w:t>
            </w:r>
            <w:r w:rsidR="003A17E3" w:rsidRPr="008E74DC">
              <w:rPr>
                <w:rFonts w:eastAsia="Malgun Gothic" w:cs="Times New Roman"/>
                <w:noProof/>
                <w:sz w:val="20"/>
                <w:szCs w:val="20"/>
              </w:rPr>
              <w:t>w tym wskaźników skuteczności leczenia</w:t>
            </w:r>
            <w:r w:rsidR="000C53B5" w:rsidRPr="008E74DC">
              <w:rPr>
                <w:rFonts w:eastAsia="Malgun Gothic" w:cs="Times New Roman"/>
                <w:noProof/>
                <w:sz w:val="20"/>
                <w:szCs w:val="20"/>
              </w:rPr>
              <w:t xml:space="preserve"> z częstotliwością zgodną z </w:t>
            </w: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t>opisem programu oraz na zakończenie leczenia</w:t>
            </w:r>
            <w:r w:rsidR="007A1100" w:rsidRPr="008E74DC">
              <w:rPr>
                <w:rFonts w:eastAsia="Malgun Gothic" w:cs="Times New Roman"/>
                <w:noProof/>
                <w:sz w:val="20"/>
                <w:szCs w:val="20"/>
              </w:rPr>
              <w:t>;</w:t>
            </w:r>
          </w:p>
          <w:p w14:paraId="1C37DF6F" w14:textId="77777777" w:rsidR="001B1B22" w:rsidRPr="008E74DC" w:rsidRDefault="000D3EF1" w:rsidP="008E74DC">
            <w:pPr>
              <w:pStyle w:val="Akapitzlist"/>
              <w:widowControl w:val="0"/>
              <w:numPr>
                <w:ilvl w:val="3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outlineLvl w:val="2"/>
              <w:rPr>
                <w:rFonts w:eastAsia="Malgun Gothic" w:cs="Times New Roman"/>
                <w:noProof/>
                <w:sz w:val="20"/>
                <w:szCs w:val="20"/>
              </w:rPr>
            </w:pPr>
            <w:r w:rsidRPr="008E74DC">
              <w:rPr>
                <w:rFonts w:eastAsia="Malgun Gothic" w:cs="Times New Roman"/>
                <w:noProof/>
                <w:sz w:val="20"/>
                <w:szCs w:val="20"/>
              </w:rPr>
              <w:lastRenderedPageBreak/>
              <w:t>przekazywanie informacji sprawozdawczo-rozliczeniowych do NFZ: informacje przekazuje się do NFZ w formie papierowej lub w formie elektronicznej, zgodnie z wymaganiami opublikowanymi przez Narodowy Fundusz Zdrowia</w:t>
            </w:r>
            <w:r w:rsidR="007A1100" w:rsidRPr="008E74DC">
              <w:rPr>
                <w:rFonts w:eastAsia="Malgun Gothic" w:cs="Times New Roman"/>
                <w:noProof/>
                <w:sz w:val="20"/>
                <w:szCs w:val="20"/>
              </w:rPr>
              <w:t>.</w:t>
            </w:r>
          </w:p>
        </w:tc>
      </w:tr>
    </w:tbl>
    <w:p w14:paraId="1BA43799" w14:textId="77777777" w:rsidR="00097CEA" w:rsidRPr="00CB4ED1" w:rsidRDefault="00097CEA" w:rsidP="000C53B5">
      <w:pPr>
        <w:spacing w:after="0"/>
        <w:rPr>
          <w:rFonts w:cs="Times New Roman"/>
          <w:noProof/>
          <w:sz w:val="4"/>
          <w:szCs w:val="20"/>
        </w:rPr>
      </w:pPr>
    </w:p>
    <w:sectPr w:rsidR="00097CEA" w:rsidRPr="00CB4ED1" w:rsidSect="00C66DE3">
      <w:footerReference w:type="default" r:id="rId8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D18B" w14:textId="77777777" w:rsidR="00407D85" w:rsidRDefault="00407D85" w:rsidP="00EA1DA5">
      <w:pPr>
        <w:spacing w:after="0" w:line="240" w:lineRule="auto"/>
      </w:pPr>
      <w:r>
        <w:separator/>
      </w:r>
    </w:p>
  </w:endnote>
  <w:endnote w:type="continuationSeparator" w:id="0">
    <w:p w14:paraId="06350101" w14:textId="77777777" w:rsidR="00407D85" w:rsidRDefault="00407D85" w:rsidP="00EA1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516C" w14:textId="77777777" w:rsidR="00151148" w:rsidRPr="001B56AA" w:rsidRDefault="00151148" w:rsidP="001B56AA">
    <w:pPr>
      <w:spacing w:after="0" w:line="240" w:lineRule="auto"/>
      <w:jc w:val="center"/>
      <w:rPr>
        <w:rFonts w:eastAsia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7153" w14:textId="77777777" w:rsidR="00407D85" w:rsidRDefault="00407D85" w:rsidP="00EA1DA5">
      <w:pPr>
        <w:spacing w:after="0" w:line="240" w:lineRule="auto"/>
      </w:pPr>
      <w:r>
        <w:separator/>
      </w:r>
    </w:p>
  </w:footnote>
  <w:footnote w:type="continuationSeparator" w:id="0">
    <w:p w14:paraId="6947FCA7" w14:textId="77777777" w:rsidR="00407D85" w:rsidRDefault="00407D85" w:rsidP="00EA1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D52"/>
    <w:multiLevelType w:val="hybridMultilevel"/>
    <w:tmpl w:val="5650BC64"/>
    <w:lvl w:ilvl="0" w:tplc="D01E9E78">
      <w:start w:val="1"/>
      <w:numFmt w:val="decimal"/>
      <w:lvlText w:val="%1)"/>
      <w:lvlJc w:val="left"/>
      <w:pPr>
        <w:ind w:left="880" w:hanging="360"/>
      </w:pPr>
      <w:rPr>
        <w:rFonts w:ascii="Times New Roman" w:eastAsiaTheme="minorHAnsi" w:hAnsi="Times New Roman"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600" w:hanging="360"/>
      </w:pPr>
    </w:lvl>
    <w:lvl w:ilvl="2" w:tplc="0415001B" w:tentative="1">
      <w:start w:val="1"/>
      <w:numFmt w:val="lowerRoman"/>
      <w:lvlText w:val="%3."/>
      <w:lvlJc w:val="right"/>
      <w:pPr>
        <w:ind w:left="2320" w:hanging="180"/>
      </w:pPr>
    </w:lvl>
    <w:lvl w:ilvl="3" w:tplc="0415000F" w:tentative="1">
      <w:start w:val="1"/>
      <w:numFmt w:val="decimal"/>
      <w:lvlText w:val="%4."/>
      <w:lvlJc w:val="left"/>
      <w:pPr>
        <w:ind w:left="3040" w:hanging="360"/>
      </w:pPr>
    </w:lvl>
    <w:lvl w:ilvl="4" w:tplc="04150019" w:tentative="1">
      <w:start w:val="1"/>
      <w:numFmt w:val="lowerLetter"/>
      <w:lvlText w:val="%5."/>
      <w:lvlJc w:val="left"/>
      <w:pPr>
        <w:ind w:left="3760" w:hanging="360"/>
      </w:pPr>
    </w:lvl>
    <w:lvl w:ilvl="5" w:tplc="0415001B" w:tentative="1">
      <w:start w:val="1"/>
      <w:numFmt w:val="lowerRoman"/>
      <w:lvlText w:val="%6."/>
      <w:lvlJc w:val="right"/>
      <w:pPr>
        <w:ind w:left="4480" w:hanging="180"/>
      </w:pPr>
    </w:lvl>
    <w:lvl w:ilvl="6" w:tplc="0415000F" w:tentative="1">
      <w:start w:val="1"/>
      <w:numFmt w:val="decimal"/>
      <w:lvlText w:val="%7."/>
      <w:lvlJc w:val="left"/>
      <w:pPr>
        <w:ind w:left="5200" w:hanging="360"/>
      </w:pPr>
    </w:lvl>
    <w:lvl w:ilvl="7" w:tplc="04150019" w:tentative="1">
      <w:start w:val="1"/>
      <w:numFmt w:val="lowerLetter"/>
      <w:lvlText w:val="%8."/>
      <w:lvlJc w:val="left"/>
      <w:pPr>
        <w:ind w:left="5920" w:hanging="360"/>
      </w:pPr>
    </w:lvl>
    <w:lvl w:ilvl="8" w:tplc="0415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02634C43"/>
    <w:multiLevelType w:val="hybridMultilevel"/>
    <w:tmpl w:val="08202884"/>
    <w:lvl w:ilvl="0" w:tplc="0415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02B4"/>
    <w:multiLevelType w:val="hybridMultilevel"/>
    <w:tmpl w:val="4CD88C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1781"/>
    <w:multiLevelType w:val="multilevel"/>
    <w:tmpl w:val="82D6E40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80A20AA"/>
    <w:multiLevelType w:val="multilevel"/>
    <w:tmpl w:val="D56A0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8851A30"/>
    <w:multiLevelType w:val="hybridMultilevel"/>
    <w:tmpl w:val="BCA807AE"/>
    <w:lvl w:ilvl="0" w:tplc="F33A91E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6B43"/>
    <w:multiLevelType w:val="hybridMultilevel"/>
    <w:tmpl w:val="AAB0A2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57AAF"/>
    <w:multiLevelType w:val="multilevel"/>
    <w:tmpl w:val="331403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FB07841"/>
    <w:multiLevelType w:val="hybridMultilevel"/>
    <w:tmpl w:val="F6FCBB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772998"/>
    <w:multiLevelType w:val="hybridMultilevel"/>
    <w:tmpl w:val="14624084"/>
    <w:lvl w:ilvl="0" w:tplc="FFFFFFFF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E6A4A"/>
    <w:multiLevelType w:val="hybridMultilevel"/>
    <w:tmpl w:val="D06AEA04"/>
    <w:lvl w:ilvl="0" w:tplc="18D85DF0">
      <w:start w:val="1"/>
      <w:numFmt w:val="decimal"/>
      <w:lvlText w:val="%1)"/>
      <w:lvlJc w:val="left"/>
      <w:pPr>
        <w:ind w:left="5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40" w:hanging="360"/>
      </w:pPr>
    </w:lvl>
    <w:lvl w:ilvl="2" w:tplc="0415001B" w:tentative="1">
      <w:start w:val="1"/>
      <w:numFmt w:val="lowerRoman"/>
      <w:lvlText w:val="%3."/>
      <w:lvlJc w:val="right"/>
      <w:pPr>
        <w:ind w:left="1960" w:hanging="180"/>
      </w:pPr>
    </w:lvl>
    <w:lvl w:ilvl="3" w:tplc="0415000F" w:tentative="1">
      <w:start w:val="1"/>
      <w:numFmt w:val="decimal"/>
      <w:lvlText w:val="%4."/>
      <w:lvlJc w:val="left"/>
      <w:pPr>
        <w:ind w:left="2680" w:hanging="360"/>
      </w:pPr>
    </w:lvl>
    <w:lvl w:ilvl="4" w:tplc="04150019" w:tentative="1">
      <w:start w:val="1"/>
      <w:numFmt w:val="lowerLetter"/>
      <w:lvlText w:val="%5."/>
      <w:lvlJc w:val="left"/>
      <w:pPr>
        <w:ind w:left="3400" w:hanging="360"/>
      </w:pPr>
    </w:lvl>
    <w:lvl w:ilvl="5" w:tplc="0415001B" w:tentative="1">
      <w:start w:val="1"/>
      <w:numFmt w:val="lowerRoman"/>
      <w:lvlText w:val="%6."/>
      <w:lvlJc w:val="right"/>
      <w:pPr>
        <w:ind w:left="4120" w:hanging="180"/>
      </w:pPr>
    </w:lvl>
    <w:lvl w:ilvl="6" w:tplc="0415000F" w:tentative="1">
      <w:start w:val="1"/>
      <w:numFmt w:val="decimal"/>
      <w:lvlText w:val="%7."/>
      <w:lvlJc w:val="left"/>
      <w:pPr>
        <w:ind w:left="4840" w:hanging="360"/>
      </w:pPr>
    </w:lvl>
    <w:lvl w:ilvl="7" w:tplc="04150019" w:tentative="1">
      <w:start w:val="1"/>
      <w:numFmt w:val="lowerLetter"/>
      <w:lvlText w:val="%8."/>
      <w:lvlJc w:val="left"/>
      <w:pPr>
        <w:ind w:left="5560" w:hanging="360"/>
      </w:pPr>
    </w:lvl>
    <w:lvl w:ilvl="8" w:tplc="0415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1" w15:restartNumberingAfterBreak="0">
    <w:nsid w:val="13BB190D"/>
    <w:multiLevelType w:val="hybridMultilevel"/>
    <w:tmpl w:val="A64096A4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796189"/>
    <w:multiLevelType w:val="hybridMultilevel"/>
    <w:tmpl w:val="CE62062E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C09D5"/>
    <w:multiLevelType w:val="multilevel"/>
    <w:tmpl w:val="39D4E946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1A85C40"/>
    <w:multiLevelType w:val="hybridMultilevel"/>
    <w:tmpl w:val="4CD882A6"/>
    <w:lvl w:ilvl="0" w:tplc="04150017">
      <w:start w:val="1"/>
      <w:numFmt w:val="lowerLetter"/>
      <w:lvlText w:val="%1)"/>
      <w:lvlJc w:val="left"/>
      <w:pPr>
        <w:ind w:left="1174" w:hanging="360"/>
      </w:pPr>
    </w:lvl>
    <w:lvl w:ilvl="1" w:tplc="04150019" w:tentative="1">
      <w:start w:val="1"/>
      <w:numFmt w:val="lowerLetter"/>
      <w:lvlText w:val="%2."/>
      <w:lvlJc w:val="left"/>
      <w:pPr>
        <w:ind w:left="1894" w:hanging="360"/>
      </w:pPr>
    </w:lvl>
    <w:lvl w:ilvl="2" w:tplc="0415001B" w:tentative="1">
      <w:start w:val="1"/>
      <w:numFmt w:val="lowerRoman"/>
      <w:lvlText w:val="%3."/>
      <w:lvlJc w:val="right"/>
      <w:pPr>
        <w:ind w:left="2614" w:hanging="180"/>
      </w:pPr>
    </w:lvl>
    <w:lvl w:ilvl="3" w:tplc="0415000F" w:tentative="1">
      <w:start w:val="1"/>
      <w:numFmt w:val="decimal"/>
      <w:lvlText w:val="%4."/>
      <w:lvlJc w:val="left"/>
      <w:pPr>
        <w:ind w:left="3334" w:hanging="360"/>
      </w:pPr>
    </w:lvl>
    <w:lvl w:ilvl="4" w:tplc="04150017">
      <w:start w:val="1"/>
      <w:numFmt w:val="lowerLetter"/>
      <w:lvlText w:val="%5)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22C93678"/>
    <w:multiLevelType w:val="hybridMultilevel"/>
    <w:tmpl w:val="CE62062E"/>
    <w:lvl w:ilvl="0" w:tplc="FFFFFFFF">
      <w:start w:val="1"/>
      <w:numFmt w:val="decimal"/>
      <w:lvlText w:val="%1)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76CD0"/>
    <w:multiLevelType w:val="hybridMultilevel"/>
    <w:tmpl w:val="F33CEADE"/>
    <w:lvl w:ilvl="0" w:tplc="01266D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12DE8"/>
    <w:multiLevelType w:val="multilevel"/>
    <w:tmpl w:val="D56A0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9BA7CD9"/>
    <w:multiLevelType w:val="multilevel"/>
    <w:tmpl w:val="A9B62F8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29258EB"/>
    <w:multiLevelType w:val="hybridMultilevel"/>
    <w:tmpl w:val="4238C74C"/>
    <w:lvl w:ilvl="0" w:tplc="457C05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E7A99"/>
    <w:multiLevelType w:val="multilevel"/>
    <w:tmpl w:val="A9B62F8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FA14311"/>
    <w:multiLevelType w:val="multilevel"/>
    <w:tmpl w:val="A9B62F8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43CD42C8"/>
    <w:multiLevelType w:val="hybridMultilevel"/>
    <w:tmpl w:val="4CD88C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1463"/>
    <w:multiLevelType w:val="multilevel"/>
    <w:tmpl w:val="331403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0D7B24"/>
    <w:multiLevelType w:val="hybridMultilevel"/>
    <w:tmpl w:val="F2FA2116"/>
    <w:lvl w:ilvl="0" w:tplc="CCB4D2E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61921"/>
    <w:multiLevelType w:val="multilevel"/>
    <w:tmpl w:val="D56A0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A1834FC"/>
    <w:multiLevelType w:val="multilevel"/>
    <w:tmpl w:val="C32C11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AC06D11"/>
    <w:multiLevelType w:val="multilevel"/>
    <w:tmpl w:val="1464A0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509E05A4"/>
    <w:multiLevelType w:val="multilevel"/>
    <w:tmpl w:val="82D6E40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51197345"/>
    <w:multiLevelType w:val="multilevel"/>
    <w:tmpl w:val="D56A0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2681443"/>
    <w:multiLevelType w:val="hybridMultilevel"/>
    <w:tmpl w:val="B332F2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90066"/>
    <w:multiLevelType w:val="multilevel"/>
    <w:tmpl w:val="1464A0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 w15:restartNumberingAfterBreak="0">
    <w:nsid w:val="5F3830A9"/>
    <w:multiLevelType w:val="hybridMultilevel"/>
    <w:tmpl w:val="FF2828D8"/>
    <w:lvl w:ilvl="0" w:tplc="0A2230B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A62B4"/>
    <w:multiLevelType w:val="hybridMultilevel"/>
    <w:tmpl w:val="A3683AA0"/>
    <w:lvl w:ilvl="0" w:tplc="A0CAD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F7A0B"/>
    <w:multiLevelType w:val="multilevel"/>
    <w:tmpl w:val="D56A022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FF7F72"/>
    <w:multiLevelType w:val="hybridMultilevel"/>
    <w:tmpl w:val="857EB3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A6FA3"/>
    <w:multiLevelType w:val="multilevel"/>
    <w:tmpl w:val="CDEA1FB2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357" w:hanging="357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6C5E268B"/>
    <w:multiLevelType w:val="hybridMultilevel"/>
    <w:tmpl w:val="2A74F788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7B01A8"/>
    <w:multiLevelType w:val="multilevel"/>
    <w:tmpl w:val="1464A0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9" w15:restartNumberingAfterBreak="0">
    <w:nsid w:val="6CE31631"/>
    <w:multiLevelType w:val="hybridMultilevel"/>
    <w:tmpl w:val="14624084"/>
    <w:lvl w:ilvl="0" w:tplc="1898DB0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56DF6"/>
    <w:multiLevelType w:val="multilevel"/>
    <w:tmpl w:val="20D6F6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227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1" w15:restartNumberingAfterBreak="0">
    <w:nsid w:val="735854A6"/>
    <w:multiLevelType w:val="hybridMultilevel"/>
    <w:tmpl w:val="6FB86A1A"/>
    <w:lvl w:ilvl="0" w:tplc="D1D208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00534"/>
    <w:multiLevelType w:val="hybridMultilevel"/>
    <w:tmpl w:val="75D29920"/>
    <w:lvl w:ilvl="0" w:tplc="0AA83F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3424C"/>
    <w:multiLevelType w:val="hybridMultilevel"/>
    <w:tmpl w:val="5650CF56"/>
    <w:lvl w:ilvl="0" w:tplc="1B40CCA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935790">
    <w:abstractNumId w:val="25"/>
  </w:num>
  <w:num w:numId="2" w16cid:durableId="599486542">
    <w:abstractNumId w:val="37"/>
  </w:num>
  <w:num w:numId="3" w16cid:durableId="116603723">
    <w:abstractNumId w:val="33"/>
  </w:num>
  <w:num w:numId="4" w16cid:durableId="642738613">
    <w:abstractNumId w:val="27"/>
  </w:num>
  <w:num w:numId="5" w16cid:durableId="124398802">
    <w:abstractNumId w:val="26"/>
  </w:num>
  <w:num w:numId="6" w16cid:durableId="1697459127">
    <w:abstractNumId w:val="8"/>
  </w:num>
  <w:num w:numId="7" w16cid:durableId="1233662787">
    <w:abstractNumId w:val="12"/>
  </w:num>
  <w:num w:numId="8" w16cid:durableId="1124032574">
    <w:abstractNumId w:val="19"/>
  </w:num>
  <w:num w:numId="9" w16cid:durableId="1477454928">
    <w:abstractNumId w:val="22"/>
  </w:num>
  <w:num w:numId="10" w16cid:durableId="1677266769">
    <w:abstractNumId w:val="41"/>
  </w:num>
  <w:num w:numId="11" w16cid:durableId="232785580">
    <w:abstractNumId w:val="32"/>
  </w:num>
  <w:num w:numId="12" w16cid:durableId="921842329">
    <w:abstractNumId w:val="39"/>
  </w:num>
  <w:num w:numId="13" w16cid:durableId="663702384">
    <w:abstractNumId w:val="11"/>
  </w:num>
  <w:num w:numId="14" w16cid:durableId="1770268887">
    <w:abstractNumId w:val="16"/>
  </w:num>
  <w:num w:numId="15" w16cid:durableId="480193108">
    <w:abstractNumId w:val="5"/>
  </w:num>
  <w:num w:numId="16" w16cid:durableId="1839078829">
    <w:abstractNumId w:val="23"/>
  </w:num>
  <w:num w:numId="17" w16cid:durableId="662779276">
    <w:abstractNumId w:val="24"/>
  </w:num>
  <w:num w:numId="18" w16cid:durableId="511841289">
    <w:abstractNumId w:val="1"/>
  </w:num>
  <w:num w:numId="19" w16cid:durableId="1581404914">
    <w:abstractNumId w:val="6"/>
  </w:num>
  <w:num w:numId="20" w16cid:durableId="107551976">
    <w:abstractNumId w:val="10"/>
  </w:num>
  <w:num w:numId="21" w16cid:durableId="417868535">
    <w:abstractNumId w:val="42"/>
  </w:num>
  <w:num w:numId="22" w16cid:durableId="1810240188">
    <w:abstractNumId w:val="0"/>
  </w:num>
  <w:num w:numId="23" w16cid:durableId="1538354407">
    <w:abstractNumId w:val="7"/>
  </w:num>
  <w:num w:numId="24" w16cid:durableId="597829252">
    <w:abstractNumId w:val="35"/>
  </w:num>
  <w:num w:numId="25" w16cid:durableId="864514397">
    <w:abstractNumId w:val="30"/>
  </w:num>
  <w:num w:numId="26" w16cid:durableId="1929078391">
    <w:abstractNumId w:val="36"/>
  </w:num>
  <w:num w:numId="27" w16cid:durableId="809516738">
    <w:abstractNumId w:val="28"/>
  </w:num>
  <w:num w:numId="28" w16cid:durableId="1401749753">
    <w:abstractNumId w:val="34"/>
  </w:num>
  <w:num w:numId="29" w16cid:durableId="1981424378">
    <w:abstractNumId w:val="29"/>
  </w:num>
  <w:num w:numId="30" w16cid:durableId="1594976765">
    <w:abstractNumId w:val="4"/>
  </w:num>
  <w:num w:numId="31" w16cid:durableId="1517384850">
    <w:abstractNumId w:val="17"/>
  </w:num>
  <w:num w:numId="32" w16cid:durableId="634606324">
    <w:abstractNumId w:val="14"/>
  </w:num>
  <w:num w:numId="33" w16cid:durableId="704868769">
    <w:abstractNumId w:val="38"/>
  </w:num>
  <w:num w:numId="34" w16cid:durableId="1902254618">
    <w:abstractNumId w:val="31"/>
  </w:num>
  <w:num w:numId="35" w16cid:durableId="1742292232">
    <w:abstractNumId w:val="3"/>
  </w:num>
  <w:num w:numId="36" w16cid:durableId="1185360410">
    <w:abstractNumId w:val="15"/>
  </w:num>
  <w:num w:numId="37" w16cid:durableId="1790782297">
    <w:abstractNumId w:val="9"/>
  </w:num>
  <w:num w:numId="38" w16cid:durableId="363138992">
    <w:abstractNumId w:val="43"/>
  </w:num>
  <w:num w:numId="39" w16cid:durableId="1936136426">
    <w:abstractNumId w:val="2"/>
  </w:num>
  <w:num w:numId="40" w16cid:durableId="1056782777">
    <w:abstractNumId w:val="18"/>
  </w:num>
  <w:num w:numId="41" w16cid:durableId="1072195535">
    <w:abstractNumId w:val="40"/>
  </w:num>
  <w:num w:numId="42" w16cid:durableId="312490962">
    <w:abstractNumId w:val="20"/>
  </w:num>
  <w:num w:numId="43" w16cid:durableId="730692001">
    <w:abstractNumId w:val="21"/>
  </w:num>
  <w:num w:numId="44" w16cid:durableId="1397703404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13EC"/>
    <w:rsid w:val="00002A2B"/>
    <w:rsid w:val="00006DF5"/>
    <w:rsid w:val="0000721A"/>
    <w:rsid w:val="0001743B"/>
    <w:rsid w:val="00023ACA"/>
    <w:rsid w:val="00025164"/>
    <w:rsid w:val="00026323"/>
    <w:rsid w:val="0002646B"/>
    <w:rsid w:val="0003497C"/>
    <w:rsid w:val="00036BCB"/>
    <w:rsid w:val="000373F3"/>
    <w:rsid w:val="00041166"/>
    <w:rsid w:val="0004348E"/>
    <w:rsid w:val="000456A0"/>
    <w:rsid w:val="00047DC9"/>
    <w:rsid w:val="00056459"/>
    <w:rsid w:val="0005789F"/>
    <w:rsid w:val="0006011E"/>
    <w:rsid w:val="00063F95"/>
    <w:rsid w:val="0006711D"/>
    <w:rsid w:val="0007539B"/>
    <w:rsid w:val="000754AD"/>
    <w:rsid w:val="00077BB5"/>
    <w:rsid w:val="0008481F"/>
    <w:rsid w:val="00084B49"/>
    <w:rsid w:val="00090758"/>
    <w:rsid w:val="00091A0D"/>
    <w:rsid w:val="00093CD3"/>
    <w:rsid w:val="00095ECA"/>
    <w:rsid w:val="00097CEA"/>
    <w:rsid w:val="000A3BBD"/>
    <w:rsid w:val="000A4EC2"/>
    <w:rsid w:val="000B069C"/>
    <w:rsid w:val="000B3516"/>
    <w:rsid w:val="000C1AD2"/>
    <w:rsid w:val="000C40F2"/>
    <w:rsid w:val="000C494E"/>
    <w:rsid w:val="000C4A9C"/>
    <w:rsid w:val="000C53B5"/>
    <w:rsid w:val="000D15D3"/>
    <w:rsid w:val="000D1E01"/>
    <w:rsid w:val="000D2D31"/>
    <w:rsid w:val="000D3EF1"/>
    <w:rsid w:val="000D545D"/>
    <w:rsid w:val="000E07F9"/>
    <w:rsid w:val="000E1CAA"/>
    <w:rsid w:val="000E2DC9"/>
    <w:rsid w:val="000E71D9"/>
    <w:rsid w:val="000F128E"/>
    <w:rsid w:val="000F21B8"/>
    <w:rsid w:val="000F2C53"/>
    <w:rsid w:val="000F483F"/>
    <w:rsid w:val="00101A8D"/>
    <w:rsid w:val="00102D95"/>
    <w:rsid w:val="00103F7C"/>
    <w:rsid w:val="00104C6F"/>
    <w:rsid w:val="001253D4"/>
    <w:rsid w:val="00132003"/>
    <w:rsid w:val="00132D85"/>
    <w:rsid w:val="001336E6"/>
    <w:rsid w:val="001370BE"/>
    <w:rsid w:val="001378E5"/>
    <w:rsid w:val="00141398"/>
    <w:rsid w:val="0014492F"/>
    <w:rsid w:val="00144AA9"/>
    <w:rsid w:val="00146EA1"/>
    <w:rsid w:val="00147030"/>
    <w:rsid w:val="00151148"/>
    <w:rsid w:val="00151CE5"/>
    <w:rsid w:val="00152D0A"/>
    <w:rsid w:val="00160BD6"/>
    <w:rsid w:val="00167FA4"/>
    <w:rsid w:val="00170FF1"/>
    <w:rsid w:val="00171180"/>
    <w:rsid w:val="00171A23"/>
    <w:rsid w:val="00177B7B"/>
    <w:rsid w:val="001807E9"/>
    <w:rsid w:val="00180DA8"/>
    <w:rsid w:val="0018114E"/>
    <w:rsid w:val="00184E27"/>
    <w:rsid w:val="001A05E1"/>
    <w:rsid w:val="001B0D94"/>
    <w:rsid w:val="001B1381"/>
    <w:rsid w:val="001B1B22"/>
    <w:rsid w:val="001B41EC"/>
    <w:rsid w:val="001B56AA"/>
    <w:rsid w:val="001C1439"/>
    <w:rsid w:val="001C448F"/>
    <w:rsid w:val="001C7F49"/>
    <w:rsid w:val="001D1603"/>
    <w:rsid w:val="001D45E9"/>
    <w:rsid w:val="001D487D"/>
    <w:rsid w:val="001E60E0"/>
    <w:rsid w:val="001E7B2B"/>
    <w:rsid w:val="001F196D"/>
    <w:rsid w:val="001F2645"/>
    <w:rsid w:val="00201123"/>
    <w:rsid w:val="002037FC"/>
    <w:rsid w:val="00204A2A"/>
    <w:rsid w:val="00206A72"/>
    <w:rsid w:val="00206BF3"/>
    <w:rsid w:val="00210A0C"/>
    <w:rsid w:val="00216EE9"/>
    <w:rsid w:val="00221E99"/>
    <w:rsid w:val="0023426C"/>
    <w:rsid w:val="002415C2"/>
    <w:rsid w:val="002476FA"/>
    <w:rsid w:val="0025226F"/>
    <w:rsid w:val="00254C0A"/>
    <w:rsid w:val="002556A9"/>
    <w:rsid w:val="0025589F"/>
    <w:rsid w:val="00270696"/>
    <w:rsid w:val="00273018"/>
    <w:rsid w:val="0027338A"/>
    <w:rsid w:val="00273568"/>
    <w:rsid w:val="00273A80"/>
    <w:rsid w:val="002750D5"/>
    <w:rsid w:val="00281FF1"/>
    <w:rsid w:val="00283543"/>
    <w:rsid w:val="00283A86"/>
    <w:rsid w:val="0028520C"/>
    <w:rsid w:val="0028550B"/>
    <w:rsid w:val="0028718E"/>
    <w:rsid w:val="00294644"/>
    <w:rsid w:val="002A10E7"/>
    <w:rsid w:val="002A1B8B"/>
    <w:rsid w:val="002A26D3"/>
    <w:rsid w:val="002A77FC"/>
    <w:rsid w:val="002B2CFE"/>
    <w:rsid w:val="002B42E6"/>
    <w:rsid w:val="002B61AF"/>
    <w:rsid w:val="002B7BEC"/>
    <w:rsid w:val="002C26E0"/>
    <w:rsid w:val="002D0753"/>
    <w:rsid w:val="002D1885"/>
    <w:rsid w:val="002D5C19"/>
    <w:rsid w:val="002E22A3"/>
    <w:rsid w:val="002E4BF7"/>
    <w:rsid w:val="002E6717"/>
    <w:rsid w:val="002E7D10"/>
    <w:rsid w:val="002F0864"/>
    <w:rsid w:val="002F15EF"/>
    <w:rsid w:val="002F58C3"/>
    <w:rsid w:val="002F7162"/>
    <w:rsid w:val="002F7E74"/>
    <w:rsid w:val="00300CB3"/>
    <w:rsid w:val="00310614"/>
    <w:rsid w:val="00312192"/>
    <w:rsid w:val="003127A4"/>
    <w:rsid w:val="003134D7"/>
    <w:rsid w:val="003166E8"/>
    <w:rsid w:val="00317542"/>
    <w:rsid w:val="00320869"/>
    <w:rsid w:val="0033173E"/>
    <w:rsid w:val="00333F0F"/>
    <w:rsid w:val="0033779D"/>
    <w:rsid w:val="00341D28"/>
    <w:rsid w:val="00343151"/>
    <w:rsid w:val="003441DD"/>
    <w:rsid w:val="00350068"/>
    <w:rsid w:val="003520BD"/>
    <w:rsid w:val="0035396C"/>
    <w:rsid w:val="00354FDB"/>
    <w:rsid w:val="003563E9"/>
    <w:rsid w:val="003612E3"/>
    <w:rsid w:val="00361D71"/>
    <w:rsid w:val="00362906"/>
    <w:rsid w:val="00362EB6"/>
    <w:rsid w:val="003754D2"/>
    <w:rsid w:val="003768BD"/>
    <w:rsid w:val="00376A3E"/>
    <w:rsid w:val="00383B8B"/>
    <w:rsid w:val="00392D9A"/>
    <w:rsid w:val="0039404A"/>
    <w:rsid w:val="003A17E3"/>
    <w:rsid w:val="003A23D4"/>
    <w:rsid w:val="003A7ED8"/>
    <w:rsid w:val="003B1B40"/>
    <w:rsid w:val="003B5DCA"/>
    <w:rsid w:val="003C5076"/>
    <w:rsid w:val="003C53D3"/>
    <w:rsid w:val="003C684B"/>
    <w:rsid w:val="003C7D46"/>
    <w:rsid w:val="003D49A0"/>
    <w:rsid w:val="003E4868"/>
    <w:rsid w:val="003F0397"/>
    <w:rsid w:val="004015B5"/>
    <w:rsid w:val="00403769"/>
    <w:rsid w:val="00407D85"/>
    <w:rsid w:val="00407EC7"/>
    <w:rsid w:val="00417E60"/>
    <w:rsid w:val="00422BFD"/>
    <w:rsid w:val="0042380B"/>
    <w:rsid w:val="00424DF0"/>
    <w:rsid w:val="00425F95"/>
    <w:rsid w:val="00432E39"/>
    <w:rsid w:val="00433221"/>
    <w:rsid w:val="00435817"/>
    <w:rsid w:val="00440105"/>
    <w:rsid w:val="00452571"/>
    <w:rsid w:val="00471375"/>
    <w:rsid w:val="00476338"/>
    <w:rsid w:val="00477856"/>
    <w:rsid w:val="00486DC5"/>
    <w:rsid w:val="00486F85"/>
    <w:rsid w:val="004A02DE"/>
    <w:rsid w:val="004A06C6"/>
    <w:rsid w:val="004A5E63"/>
    <w:rsid w:val="004B3CF1"/>
    <w:rsid w:val="004B50EF"/>
    <w:rsid w:val="004B541C"/>
    <w:rsid w:val="004C782F"/>
    <w:rsid w:val="004E3D3B"/>
    <w:rsid w:val="004E554D"/>
    <w:rsid w:val="004E6CE9"/>
    <w:rsid w:val="004F02FF"/>
    <w:rsid w:val="004F73CE"/>
    <w:rsid w:val="00502DAD"/>
    <w:rsid w:val="005039C1"/>
    <w:rsid w:val="00504605"/>
    <w:rsid w:val="00506821"/>
    <w:rsid w:val="00507539"/>
    <w:rsid w:val="0050762D"/>
    <w:rsid w:val="005077F5"/>
    <w:rsid w:val="00520887"/>
    <w:rsid w:val="0052217A"/>
    <w:rsid w:val="00526A07"/>
    <w:rsid w:val="00530566"/>
    <w:rsid w:val="00535296"/>
    <w:rsid w:val="0053615E"/>
    <w:rsid w:val="00545BA6"/>
    <w:rsid w:val="005534C3"/>
    <w:rsid w:val="00553F95"/>
    <w:rsid w:val="00556544"/>
    <w:rsid w:val="00561055"/>
    <w:rsid w:val="0056135E"/>
    <w:rsid w:val="00561E8D"/>
    <w:rsid w:val="00562F8D"/>
    <w:rsid w:val="005659B7"/>
    <w:rsid w:val="00566F29"/>
    <w:rsid w:val="00567DC2"/>
    <w:rsid w:val="00567F42"/>
    <w:rsid w:val="0057219F"/>
    <w:rsid w:val="00574082"/>
    <w:rsid w:val="00574148"/>
    <w:rsid w:val="0058135A"/>
    <w:rsid w:val="005857E6"/>
    <w:rsid w:val="0058618B"/>
    <w:rsid w:val="005952EB"/>
    <w:rsid w:val="005A1A30"/>
    <w:rsid w:val="005B4114"/>
    <w:rsid w:val="005B4DCB"/>
    <w:rsid w:val="005B5BA4"/>
    <w:rsid w:val="005B5E5B"/>
    <w:rsid w:val="005B5F3A"/>
    <w:rsid w:val="005B5FF5"/>
    <w:rsid w:val="005C018B"/>
    <w:rsid w:val="005C78BE"/>
    <w:rsid w:val="005D1081"/>
    <w:rsid w:val="005D1B1A"/>
    <w:rsid w:val="005D49B0"/>
    <w:rsid w:val="005E2987"/>
    <w:rsid w:val="005E530E"/>
    <w:rsid w:val="005E593A"/>
    <w:rsid w:val="005E5B08"/>
    <w:rsid w:val="005F194D"/>
    <w:rsid w:val="005F2D84"/>
    <w:rsid w:val="005F7453"/>
    <w:rsid w:val="00603693"/>
    <w:rsid w:val="00607828"/>
    <w:rsid w:val="00610056"/>
    <w:rsid w:val="006114D8"/>
    <w:rsid w:val="00611DD2"/>
    <w:rsid w:val="0061264C"/>
    <w:rsid w:val="006176A2"/>
    <w:rsid w:val="0061787D"/>
    <w:rsid w:val="00620D2D"/>
    <w:rsid w:val="006265EB"/>
    <w:rsid w:val="00626BA2"/>
    <w:rsid w:val="0062764A"/>
    <w:rsid w:val="006325B8"/>
    <w:rsid w:val="006325F6"/>
    <w:rsid w:val="00634A61"/>
    <w:rsid w:val="00640CEF"/>
    <w:rsid w:val="00645863"/>
    <w:rsid w:val="0064774D"/>
    <w:rsid w:val="00650008"/>
    <w:rsid w:val="006528AE"/>
    <w:rsid w:val="0065670F"/>
    <w:rsid w:val="00656D7D"/>
    <w:rsid w:val="00663BF9"/>
    <w:rsid w:val="006668C4"/>
    <w:rsid w:val="006729B0"/>
    <w:rsid w:val="00673048"/>
    <w:rsid w:val="00674201"/>
    <w:rsid w:val="00674A65"/>
    <w:rsid w:val="00677FE5"/>
    <w:rsid w:val="00680E82"/>
    <w:rsid w:val="006842F3"/>
    <w:rsid w:val="00685AF6"/>
    <w:rsid w:val="0068762D"/>
    <w:rsid w:val="0068794B"/>
    <w:rsid w:val="0069097B"/>
    <w:rsid w:val="0069259F"/>
    <w:rsid w:val="006926B1"/>
    <w:rsid w:val="00693834"/>
    <w:rsid w:val="006A11A3"/>
    <w:rsid w:val="006A6C32"/>
    <w:rsid w:val="006A73D3"/>
    <w:rsid w:val="006B28FB"/>
    <w:rsid w:val="006B7DCC"/>
    <w:rsid w:val="006C5FF7"/>
    <w:rsid w:val="006D45B2"/>
    <w:rsid w:val="006D6AD7"/>
    <w:rsid w:val="006E1D88"/>
    <w:rsid w:val="006F24D2"/>
    <w:rsid w:val="006F55B5"/>
    <w:rsid w:val="007021EA"/>
    <w:rsid w:val="0070786C"/>
    <w:rsid w:val="00710488"/>
    <w:rsid w:val="007177CF"/>
    <w:rsid w:val="00720802"/>
    <w:rsid w:val="007325D8"/>
    <w:rsid w:val="00734DE6"/>
    <w:rsid w:val="0074188D"/>
    <w:rsid w:val="00742BDE"/>
    <w:rsid w:val="0075084E"/>
    <w:rsid w:val="007509E8"/>
    <w:rsid w:val="00753276"/>
    <w:rsid w:val="00753748"/>
    <w:rsid w:val="00772119"/>
    <w:rsid w:val="00774521"/>
    <w:rsid w:val="00776914"/>
    <w:rsid w:val="00777801"/>
    <w:rsid w:val="007803EC"/>
    <w:rsid w:val="00793FEE"/>
    <w:rsid w:val="0079546E"/>
    <w:rsid w:val="0079655D"/>
    <w:rsid w:val="007A1100"/>
    <w:rsid w:val="007A359F"/>
    <w:rsid w:val="007A41E4"/>
    <w:rsid w:val="007A6817"/>
    <w:rsid w:val="007A7B0E"/>
    <w:rsid w:val="007B2B4F"/>
    <w:rsid w:val="007B5EFD"/>
    <w:rsid w:val="007B688C"/>
    <w:rsid w:val="007C1289"/>
    <w:rsid w:val="007C280C"/>
    <w:rsid w:val="007C6288"/>
    <w:rsid w:val="007D16EF"/>
    <w:rsid w:val="007D2199"/>
    <w:rsid w:val="007D3478"/>
    <w:rsid w:val="007D3E1E"/>
    <w:rsid w:val="007F1270"/>
    <w:rsid w:val="007F35A9"/>
    <w:rsid w:val="007F3672"/>
    <w:rsid w:val="007F3A71"/>
    <w:rsid w:val="007F495A"/>
    <w:rsid w:val="007F49B9"/>
    <w:rsid w:val="00804B1A"/>
    <w:rsid w:val="00806AC4"/>
    <w:rsid w:val="008070D1"/>
    <w:rsid w:val="00811FCB"/>
    <w:rsid w:val="00815B95"/>
    <w:rsid w:val="00820C5D"/>
    <w:rsid w:val="00821E0E"/>
    <w:rsid w:val="00824F8A"/>
    <w:rsid w:val="0082647C"/>
    <w:rsid w:val="008267FA"/>
    <w:rsid w:val="008319D0"/>
    <w:rsid w:val="00832450"/>
    <w:rsid w:val="00840823"/>
    <w:rsid w:val="00854EFF"/>
    <w:rsid w:val="008571E4"/>
    <w:rsid w:val="00860884"/>
    <w:rsid w:val="00861B2A"/>
    <w:rsid w:val="008640DC"/>
    <w:rsid w:val="00865E96"/>
    <w:rsid w:val="00866185"/>
    <w:rsid w:val="008674E5"/>
    <w:rsid w:val="0087188B"/>
    <w:rsid w:val="008718C2"/>
    <w:rsid w:val="00874E77"/>
    <w:rsid w:val="00876395"/>
    <w:rsid w:val="00877AE9"/>
    <w:rsid w:val="00881D15"/>
    <w:rsid w:val="00882607"/>
    <w:rsid w:val="008846FD"/>
    <w:rsid w:val="00885205"/>
    <w:rsid w:val="00893162"/>
    <w:rsid w:val="00893878"/>
    <w:rsid w:val="008A419D"/>
    <w:rsid w:val="008C1035"/>
    <w:rsid w:val="008C34FA"/>
    <w:rsid w:val="008C3F10"/>
    <w:rsid w:val="008D1F33"/>
    <w:rsid w:val="008D2948"/>
    <w:rsid w:val="008D3328"/>
    <w:rsid w:val="008D48AB"/>
    <w:rsid w:val="008D5A67"/>
    <w:rsid w:val="008E1537"/>
    <w:rsid w:val="008E5566"/>
    <w:rsid w:val="008E74DC"/>
    <w:rsid w:val="008E77C3"/>
    <w:rsid w:val="008E7D9A"/>
    <w:rsid w:val="008F0341"/>
    <w:rsid w:val="008F0A58"/>
    <w:rsid w:val="008F5E2D"/>
    <w:rsid w:val="008F62EB"/>
    <w:rsid w:val="009032E5"/>
    <w:rsid w:val="00914C9F"/>
    <w:rsid w:val="00922052"/>
    <w:rsid w:val="00924C14"/>
    <w:rsid w:val="00926197"/>
    <w:rsid w:val="009330C9"/>
    <w:rsid w:val="00934930"/>
    <w:rsid w:val="009416AA"/>
    <w:rsid w:val="00942FC6"/>
    <w:rsid w:val="009440F9"/>
    <w:rsid w:val="00953B68"/>
    <w:rsid w:val="00953D1E"/>
    <w:rsid w:val="00954469"/>
    <w:rsid w:val="0095558E"/>
    <w:rsid w:val="00962DD1"/>
    <w:rsid w:val="00971C29"/>
    <w:rsid w:val="00976AC8"/>
    <w:rsid w:val="00981304"/>
    <w:rsid w:val="009829F4"/>
    <w:rsid w:val="0098586D"/>
    <w:rsid w:val="00986EAC"/>
    <w:rsid w:val="00992ACD"/>
    <w:rsid w:val="00992CD3"/>
    <w:rsid w:val="00995849"/>
    <w:rsid w:val="00997C1B"/>
    <w:rsid w:val="009A209C"/>
    <w:rsid w:val="009A4CE1"/>
    <w:rsid w:val="009A747C"/>
    <w:rsid w:val="009A7C5F"/>
    <w:rsid w:val="009B024D"/>
    <w:rsid w:val="009B6E4C"/>
    <w:rsid w:val="009C3E5B"/>
    <w:rsid w:val="009D1230"/>
    <w:rsid w:val="009D69D4"/>
    <w:rsid w:val="009F6FCD"/>
    <w:rsid w:val="009F7A2F"/>
    <w:rsid w:val="009F7DF3"/>
    <w:rsid w:val="00A122B2"/>
    <w:rsid w:val="00A15938"/>
    <w:rsid w:val="00A15965"/>
    <w:rsid w:val="00A16F1C"/>
    <w:rsid w:val="00A21C87"/>
    <w:rsid w:val="00A26506"/>
    <w:rsid w:val="00A31E35"/>
    <w:rsid w:val="00A35D58"/>
    <w:rsid w:val="00A45C3A"/>
    <w:rsid w:val="00A50AEA"/>
    <w:rsid w:val="00A51289"/>
    <w:rsid w:val="00A56D09"/>
    <w:rsid w:val="00A63089"/>
    <w:rsid w:val="00A64093"/>
    <w:rsid w:val="00A6454B"/>
    <w:rsid w:val="00A65774"/>
    <w:rsid w:val="00A72DE2"/>
    <w:rsid w:val="00A7307B"/>
    <w:rsid w:val="00A774EE"/>
    <w:rsid w:val="00A92572"/>
    <w:rsid w:val="00A944FF"/>
    <w:rsid w:val="00AA1711"/>
    <w:rsid w:val="00AA73B1"/>
    <w:rsid w:val="00AB0FB9"/>
    <w:rsid w:val="00AB1246"/>
    <w:rsid w:val="00AB1BB1"/>
    <w:rsid w:val="00AB789D"/>
    <w:rsid w:val="00AC5E45"/>
    <w:rsid w:val="00AD4170"/>
    <w:rsid w:val="00AE0C1D"/>
    <w:rsid w:val="00AE3821"/>
    <w:rsid w:val="00AE7662"/>
    <w:rsid w:val="00AF04B0"/>
    <w:rsid w:val="00AF0983"/>
    <w:rsid w:val="00AF268E"/>
    <w:rsid w:val="00AF49C5"/>
    <w:rsid w:val="00AF67D4"/>
    <w:rsid w:val="00B009B3"/>
    <w:rsid w:val="00B13ADE"/>
    <w:rsid w:val="00B2148E"/>
    <w:rsid w:val="00B242C3"/>
    <w:rsid w:val="00B248D0"/>
    <w:rsid w:val="00B27C05"/>
    <w:rsid w:val="00B331F7"/>
    <w:rsid w:val="00B348AD"/>
    <w:rsid w:val="00B36B45"/>
    <w:rsid w:val="00B40407"/>
    <w:rsid w:val="00B450F3"/>
    <w:rsid w:val="00B45CC1"/>
    <w:rsid w:val="00B556A1"/>
    <w:rsid w:val="00B55851"/>
    <w:rsid w:val="00B61C4A"/>
    <w:rsid w:val="00B629FA"/>
    <w:rsid w:val="00B64201"/>
    <w:rsid w:val="00B660D9"/>
    <w:rsid w:val="00B72831"/>
    <w:rsid w:val="00B92F96"/>
    <w:rsid w:val="00B962E4"/>
    <w:rsid w:val="00BA1C5D"/>
    <w:rsid w:val="00BB2C29"/>
    <w:rsid w:val="00BB63C6"/>
    <w:rsid w:val="00BB74F1"/>
    <w:rsid w:val="00BC251E"/>
    <w:rsid w:val="00BC2DD4"/>
    <w:rsid w:val="00BD061B"/>
    <w:rsid w:val="00BD08B6"/>
    <w:rsid w:val="00BD1748"/>
    <w:rsid w:val="00BD4C28"/>
    <w:rsid w:val="00BE011E"/>
    <w:rsid w:val="00BE507A"/>
    <w:rsid w:val="00BE55C4"/>
    <w:rsid w:val="00BE61DA"/>
    <w:rsid w:val="00BE623F"/>
    <w:rsid w:val="00BF3C87"/>
    <w:rsid w:val="00BF657F"/>
    <w:rsid w:val="00BF6B81"/>
    <w:rsid w:val="00C02F14"/>
    <w:rsid w:val="00C04A17"/>
    <w:rsid w:val="00C04EE6"/>
    <w:rsid w:val="00C07354"/>
    <w:rsid w:val="00C12C2D"/>
    <w:rsid w:val="00C168E5"/>
    <w:rsid w:val="00C22A79"/>
    <w:rsid w:val="00C279AD"/>
    <w:rsid w:val="00C31E31"/>
    <w:rsid w:val="00C37181"/>
    <w:rsid w:val="00C404F6"/>
    <w:rsid w:val="00C41BBB"/>
    <w:rsid w:val="00C451D9"/>
    <w:rsid w:val="00C45D55"/>
    <w:rsid w:val="00C55DBD"/>
    <w:rsid w:val="00C56EF4"/>
    <w:rsid w:val="00C63358"/>
    <w:rsid w:val="00C63FED"/>
    <w:rsid w:val="00C65856"/>
    <w:rsid w:val="00C66DE3"/>
    <w:rsid w:val="00C755E0"/>
    <w:rsid w:val="00C7766E"/>
    <w:rsid w:val="00C82EA7"/>
    <w:rsid w:val="00C90EE2"/>
    <w:rsid w:val="00C92B6A"/>
    <w:rsid w:val="00C948B1"/>
    <w:rsid w:val="00C96566"/>
    <w:rsid w:val="00CA5B1F"/>
    <w:rsid w:val="00CB2B20"/>
    <w:rsid w:val="00CB4255"/>
    <w:rsid w:val="00CB4ED1"/>
    <w:rsid w:val="00CB6289"/>
    <w:rsid w:val="00CC106B"/>
    <w:rsid w:val="00CC599B"/>
    <w:rsid w:val="00CD3F29"/>
    <w:rsid w:val="00CD5BB3"/>
    <w:rsid w:val="00CE056C"/>
    <w:rsid w:val="00CE0612"/>
    <w:rsid w:val="00CE5375"/>
    <w:rsid w:val="00CF0B3F"/>
    <w:rsid w:val="00CF3014"/>
    <w:rsid w:val="00CF31DA"/>
    <w:rsid w:val="00CF5366"/>
    <w:rsid w:val="00D02DB4"/>
    <w:rsid w:val="00D038A3"/>
    <w:rsid w:val="00D05A7D"/>
    <w:rsid w:val="00D11FF5"/>
    <w:rsid w:val="00D13539"/>
    <w:rsid w:val="00D14628"/>
    <w:rsid w:val="00D15452"/>
    <w:rsid w:val="00D16309"/>
    <w:rsid w:val="00D179BB"/>
    <w:rsid w:val="00D215E2"/>
    <w:rsid w:val="00D2291F"/>
    <w:rsid w:val="00D25128"/>
    <w:rsid w:val="00D262D8"/>
    <w:rsid w:val="00D36DB7"/>
    <w:rsid w:val="00D411F2"/>
    <w:rsid w:val="00D41DF5"/>
    <w:rsid w:val="00D436D9"/>
    <w:rsid w:val="00D44B44"/>
    <w:rsid w:val="00D5065D"/>
    <w:rsid w:val="00D56802"/>
    <w:rsid w:val="00D610AA"/>
    <w:rsid w:val="00D71A54"/>
    <w:rsid w:val="00D77A41"/>
    <w:rsid w:val="00D8313D"/>
    <w:rsid w:val="00D84FB0"/>
    <w:rsid w:val="00D961EF"/>
    <w:rsid w:val="00DA42B6"/>
    <w:rsid w:val="00DA6529"/>
    <w:rsid w:val="00DA6E43"/>
    <w:rsid w:val="00DA7482"/>
    <w:rsid w:val="00DB11CC"/>
    <w:rsid w:val="00DB3215"/>
    <w:rsid w:val="00DC135D"/>
    <w:rsid w:val="00DC6857"/>
    <w:rsid w:val="00DC7F1B"/>
    <w:rsid w:val="00DD35F4"/>
    <w:rsid w:val="00DD5BEF"/>
    <w:rsid w:val="00DE0DCE"/>
    <w:rsid w:val="00DE3152"/>
    <w:rsid w:val="00DF0715"/>
    <w:rsid w:val="00E00A76"/>
    <w:rsid w:val="00E03C1D"/>
    <w:rsid w:val="00E05816"/>
    <w:rsid w:val="00E0619E"/>
    <w:rsid w:val="00E206D5"/>
    <w:rsid w:val="00E25BF2"/>
    <w:rsid w:val="00E26BD6"/>
    <w:rsid w:val="00E27171"/>
    <w:rsid w:val="00E318C0"/>
    <w:rsid w:val="00E33008"/>
    <w:rsid w:val="00E550AB"/>
    <w:rsid w:val="00E570C1"/>
    <w:rsid w:val="00E616D9"/>
    <w:rsid w:val="00E620FE"/>
    <w:rsid w:val="00E65E51"/>
    <w:rsid w:val="00E67B28"/>
    <w:rsid w:val="00E70753"/>
    <w:rsid w:val="00E70BA4"/>
    <w:rsid w:val="00E72F70"/>
    <w:rsid w:val="00E81959"/>
    <w:rsid w:val="00E82727"/>
    <w:rsid w:val="00E82F15"/>
    <w:rsid w:val="00E9629A"/>
    <w:rsid w:val="00E9658C"/>
    <w:rsid w:val="00E97CE8"/>
    <w:rsid w:val="00EA1DA5"/>
    <w:rsid w:val="00EA2602"/>
    <w:rsid w:val="00EA2FD4"/>
    <w:rsid w:val="00EA4787"/>
    <w:rsid w:val="00EA6CF9"/>
    <w:rsid w:val="00EA7180"/>
    <w:rsid w:val="00EB0AA1"/>
    <w:rsid w:val="00EB16A2"/>
    <w:rsid w:val="00EC1C7A"/>
    <w:rsid w:val="00ED0839"/>
    <w:rsid w:val="00ED5420"/>
    <w:rsid w:val="00EE1BEE"/>
    <w:rsid w:val="00EE22F3"/>
    <w:rsid w:val="00EE2B30"/>
    <w:rsid w:val="00EE33D7"/>
    <w:rsid w:val="00EE4F7A"/>
    <w:rsid w:val="00EE7FB1"/>
    <w:rsid w:val="00EF0477"/>
    <w:rsid w:val="00EF0EA9"/>
    <w:rsid w:val="00EF253C"/>
    <w:rsid w:val="00EF4902"/>
    <w:rsid w:val="00EF4B76"/>
    <w:rsid w:val="00F008F6"/>
    <w:rsid w:val="00F009E4"/>
    <w:rsid w:val="00F018A1"/>
    <w:rsid w:val="00F14796"/>
    <w:rsid w:val="00F1688B"/>
    <w:rsid w:val="00F23E89"/>
    <w:rsid w:val="00F25D1D"/>
    <w:rsid w:val="00F31D2F"/>
    <w:rsid w:val="00F31FBD"/>
    <w:rsid w:val="00F33533"/>
    <w:rsid w:val="00F35249"/>
    <w:rsid w:val="00F45AE5"/>
    <w:rsid w:val="00F47E53"/>
    <w:rsid w:val="00F50204"/>
    <w:rsid w:val="00F54649"/>
    <w:rsid w:val="00F55F2E"/>
    <w:rsid w:val="00F57FAD"/>
    <w:rsid w:val="00F61451"/>
    <w:rsid w:val="00F67E92"/>
    <w:rsid w:val="00F72927"/>
    <w:rsid w:val="00F72E4D"/>
    <w:rsid w:val="00F73BDD"/>
    <w:rsid w:val="00F77E4C"/>
    <w:rsid w:val="00F809D3"/>
    <w:rsid w:val="00F833FB"/>
    <w:rsid w:val="00F93591"/>
    <w:rsid w:val="00F95940"/>
    <w:rsid w:val="00F964B4"/>
    <w:rsid w:val="00FA1167"/>
    <w:rsid w:val="00FB23FF"/>
    <w:rsid w:val="00FC03CC"/>
    <w:rsid w:val="00FC08A4"/>
    <w:rsid w:val="00FC20AD"/>
    <w:rsid w:val="00FC3640"/>
    <w:rsid w:val="00FC3A64"/>
    <w:rsid w:val="00FC6B13"/>
    <w:rsid w:val="00FD2B5C"/>
    <w:rsid w:val="00FD2C2C"/>
    <w:rsid w:val="00FD49B7"/>
    <w:rsid w:val="00FD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39E86"/>
  <w15:docId w15:val="{C35A1939-3441-48E2-A96C-0112B32B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16EF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kapit z listą11,podpunkt ankietyy,Bullet List,Table Legend,List Paragraph1,Akapit z listą1,Bullets Points,Bullet1"/>
    <w:basedOn w:val="Normalny"/>
    <w:link w:val="AkapitzlistZnak"/>
    <w:uiPriority w:val="34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character" w:styleId="Odwoanieprzypisudolnego">
    <w:name w:val="footnote reference"/>
    <w:basedOn w:val="Domylnaczcionkaakapitu"/>
    <w:uiPriority w:val="99"/>
    <w:semiHidden/>
    <w:unhideWhenUsed/>
    <w:rsid w:val="008F0A58"/>
    <w:rPr>
      <w:vertAlign w:val="superscript"/>
    </w:rPr>
  </w:style>
  <w:style w:type="paragraph" w:styleId="Bezodstpw">
    <w:name w:val="No Spacing"/>
    <w:basedOn w:val="Normalny"/>
    <w:uiPriority w:val="1"/>
    <w:qFormat/>
    <w:rsid w:val="008F0A58"/>
    <w:pPr>
      <w:autoSpaceDE w:val="0"/>
      <w:autoSpaceDN w:val="0"/>
      <w:adjustRightInd w:val="0"/>
      <w:spacing w:before="60" w:after="0" w:line="240" w:lineRule="auto"/>
      <w:jc w:val="both"/>
    </w:pPr>
    <w:rPr>
      <w:rFonts w:eastAsia="Times New Roman" w:cs="Times New Roman"/>
      <w:sz w:val="20"/>
      <w:szCs w:val="20"/>
      <w:lang w:val="en-GB" w:eastAsia="pl-PL"/>
    </w:rPr>
  </w:style>
  <w:style w:type="table" w:customStyle="1" w:styleId="Jasnecieniowanie1">
    <w:name w:val="Jasne cieniowanie1"/>
    <w:basedOn w:val="Standardowy"/>
    <w:uiPriority w:val="60"/>
    <w:rsid w:val="008F0A58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CA5B1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CA5B1F"/>
    <w:pPr>
      <w:widowControl w:val="0"/>
      <w:spacing w:after="0" w:line="240" w:lineRule="auto"/>
    </w:pPr>
    <w:rPr>
      <w:rFonts w:asciiTheme="minorHAnsi" w:hAnsiTheme="minorHAnsi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5B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5B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5B1F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5B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5B1F"/>
    <w:rPr>
      <w:rFonts w:ascii="Times New Roman" w:hAnsi="Times New Roman"/>
      <w:b/>
      <w:bCs/>
      <w:sz w:val="20"/>
      <w:szCs w:val="20"/>
    </w:rPr>
  </w:style>
  <w:style w:type="paragraph" w:customStyle="1" w:styleId="Tabelka">
    <w:name w:val="Tabelka"/>
    <w:basedOn w:val="Normalny"/>
    <w:link w:val="TabelkaZnak"/>
    <w:qFormat/>
    <w:rsid w:val="00317542"/>
    <w:pPr>
      <w:widowControl w:val="0"/>
      <w:adjustRightInd w:val="0"/>
      <w:spacing w:before="60" w:after="60"/>
      <w:jc w:val="both"/>
      <w:textAlignment w:val="baseline"/>
    </w:pPr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TabelkaZnak">
    <w:name w:val="Tabelka Znak"/>
    <w:basedOn w:val="Domylnaczcionkaakapitu"/>
    <w:link w:val="Tabelka"/>
    <w:locked/>
    <w:rsid w:val="00317542"/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hps">
    <w:name w:val="hps"/>
    <w:basedOn w:val="Domylnaczcionkaakapitu"/>
    <w:rsid w:val="005534C3"/>
  </w:style>
  <w:style w:type="table" w:customStyle="1" w:styleId="Jasnecieniowanie2">
    <w:name w:val="Jasne cieniowanie2"/>
    <w:basedOn w:val="Standardowy"/>
    <w:uiPriority w:val="60"/>
    <w:rsid w:val="005039C1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oprawka">
    <w:name w:val="Revision"/>
    <w:hidden/>
    <w:uiPriority w:val="99"/>
    <w:semiHidden/>
    <w:rsid w:val="00663BF9"/>
    <w:pPr>
      <w:spacing w:after="0" w:line="240" w:lineRule="auto"/>
    </w:pPr>
    <w:rPr>
      <w:rFonts w:ascii="Times New Roman" w:hAnsi="Times New Roman"/>
    </w:rPr>
  </w:style>
  <w:style w:type="character" w:customStyle="1" w:styleId="AkapitzlistZnak">
    <w:name w:val="Akapit z listą Znak"/>
    <w:aliases w:val="Styl moj Znak,Akapit z listą11 Znak,podpunkt ankietyy Znak,Bullet List Znak,Table Legend Znak,List Paragraph1 Znak,Akapit z listą1 Znak,Bullets Points Znak,Bullet1 Znak"/>
    <w:link w:val="Akapitzlist"/>
    <w:uiPriority w:val="34"/>
    <w:qFormat/>
    <w:locked/>
    <w:rsid w:val="00C7766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AF572-CA12-476E-8B4C-A097BC79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2005</Words>
  <Characters>12035</Characters>
  <Application>Microsoft Office Word</Application>
  <DocSecurity>0</DocSecurity>
  <Lines>100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Nowak Magdalena</dc:creator>
  <cp:lastModifiedBy>Wilk Justyna</cp:lastModifiedBy>
  <cp:revision>7</cp:revision>
  <cp:lastPrinted>2019-11-18T12:31:00Z</cp:lastPrinted>
  <dcterms:created xsi:type="dcterms:W3CDTF">2024-03-12T08:43:00Z</dcterms:created>
  <dcterms:modified xsi:type="dcterms:W3CDTF">2024-03-12T12:58:00Z</dcterms:modified>
</cp:coreProperties>
</file>