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BF5F" w14:textId="2E2BFBAC" w:rsidR="006501FD" w:rsidRPr="00C66DA9" w:rsidRDefault="002A253A" w:rsidP="006501FD">
      <w:pPr>
        <w:tabs>
          <w:tab w:val="left" w:pos="5865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Załącznik</w:t>
      </w:r>
      <w:r w:rsidR="006501FD" w:rsidRPr="00C66DA9">
        <w:rPr>
          <w:rFonts w:ascii="Times New Roman" w:eastAsia="Times New Roman" w:hAnsi="Times New Roman" w:cs="Times New Roman"/>
          <w:lang w:eastAsia="pl-PL"/>
        </w:rPr>
        <w:t xml:space="preserve"> B.96.</w:t>
      </w:r>
    </w:p>
    <w:p w14:paraId="748F5EF9" w14:textId="77777777" w:rsidR="006501FD" w:rsidRPr="00C66DA9" w:rsidRDefault="006501FD" w:rsidP="006501FD">
      <w:pPr>
        <w:tabs>
          <w:tab w:val="left" w:pos="5865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14:paraId="3B3B70E4" w14:textId="183A3855" w:rsidR="009B6E4C" w:rsidRPr="00C66DA9" w:rsidRDefault="009B6E4C" w:rsidP="00C66DA9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LECZENIE </w:t>
      </w:r>
      <w:r w:rsidR="00FA6765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CHORYCH Z </w:t>
      </w:r>
      <w:r w:rsidR="008E3C9B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NOCN</w:t>
      </w:r>
      <w:r w:rsidR="00FA6765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Ą</w:t>
      </w:r>
      <w:r w:rsidR="008E3C9B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NAPADOW</w:t>
      </w:r>
      <w:r w:rsidR="00FA6765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Ą</w:t>
      </w:r>
      <w:r w:rsidR="008E3C9B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HEMOGLOBINURI</w:t>
      </w:r>
      <w:r w:rsidR="00FA6765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Ą</w:t>
      </w:r>
      <w:r w:rsidR="000B54B9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(PNH)</w:t>
      </w:r>
      <w:r w:rsidR="008E3C9B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(ICD-10</w:t>
      </w:r>
      <w:r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8E3C9B"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D59.5</w:t>
      </w:r>
      <w:r w:rsidRPr="00C66DA9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Style w:val="Tabela-Siatka"/>
        <w:tblW w:w="4974" w:type="pct"/>
        <w:tblLook w:val="04A0" w:firstRow="1" w:lastRow="0" w:firstColumn="1" w:lastColumn="0" w:noHBand="0" w:noVBand="1"/>
      </w:tblPr>
      <w:tblGrid>
        <w:gridCol w:w="5100"/>
        <w:gridCol w:w="5104"/>
        <w:gridCol w:w="5104"/>
      </w:tblGrid>
      <w:tr w:rsidR="00097CEA" w:rsidRPr="006977EB" w14:paraId="680E62B9" w14:textId="77777777" w:rsidTr="00C66DA9">
        <w:trPr>
          <w:trHeight w:val="567"/>
        </w:trPr>
        <w:tc>
          <w:tcPr>
            <w:tcW w:w="5000" w:type="pct"/>
            <w:gridSpan w:val="3"/>
            <w:vAlign w:val="center"/>
          </w:tcPr>
          <w:p w14:paraId="7266AD2C" w14:textId="77777777" w:rsidR="00097CEA" w:rsidRPr="00C66DA9" w:rsidRDefault="00097CEA" w:rsidP="00C66D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>ZAKRES ŚWIADCZENIA GWARANTOWANEGO</w:t>
            </w:r>
          </w:p>
        </w:tc>
      </w:tr>
      <w:tr w:rsidR="00097CEA" w:rsidRPr="006977EB" w14:paraId="28FF4927" w14:textId="77777777" w:rsidTr="00C66DA9">
        <w:tc>
          <w:tcPr>
            <w:tcW w:w="1666" w:type="pct"/>
            <w:vAlign w:val="center"/>
          </w:tcPr>
          <w:p w14:paraId="0AEE4939" w14:textId="77777777" w:rsidR="00097CEA" w:rsidRPr="00C66DA9" w:rsidRDefault="00097CEA" w:rsidP="00C66D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667" w:type="pct"/>
            <w:vAlign w:val="center"/>
          </w:tcPr>
          <w:p w14:paraId="727BC667" w14:textId="7676765C" w:rsidR="00097CEA" w:rsidRPr="00C66DA9" w:rsidRDefault="00097CEA" w:rsidP="00C66D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>SCHEMAT DAWKOWANIA LEK</w:t>
            </w:r>
            <w:r w:rsidR="00C66DA9">
              <w:rPr>
                <w:rFonts w:ascii="Times New Roman" w:hAnsi="Times New Roman" w:cs="Times New Roman"/>
                <w:b/>
                <w:sz w:val="20"/>
                <w:szCs w:val="20"/>
              </w:rPr>
              <w:t>ÓW</w:t>
            </w: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6DA9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>W PROGRAMIE</w:t>
            </w:r>
          </w:p>
        </w:tc>
        <w:tc>
          <w:tcPr>
            <w:tcW w:w="1667" w:type="pct"/>
            <w:vAlign w:val="center"/>
          </w:tcPr>
          <w:p w14:paraId="11774E30" w14:textId="155EF1FF" w:rsidR="00097CEA" w:rsidRPr="00C66DA9" w:rsidRDefault="00097CEA" w:rsidP="00C66DA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BADANIA DIAGNOSTYCZNE WYKONYWANE </w:t>
            </w:r>
            <w:r w:rsidR="00C66DA9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C66DA9">
              <w:rPr>
                <w:rFonts w:ascii="Times New Roman" w:hAnsi="Times New Roman" w:cs="Times New Roman"/>
                <w:b/>
                <w:sz w:val="20"/>
                <w:szCs w:val="20"/>
              </w:rPr>
              <w:t>W RAMACH PROGRAMU</w:t>
            </w:r>
          </w:p>
        </w:tc>
      </w:tr>
      <w:tr w:rsidR="00097CEA" w:rsidRPr="009440F9" w14:paraId="11D93CF6" w14:textId="77777777" w:rsidTr="00C66DA9">
        <w:tc>
          <w:tcPr>
            <w:tcW w:w="1666" w:type="pct"/>
          </w:tcPr>
          <w:p w14:paraId="308C7F32" w14:textId="77777777" w:rsidR="003359C3" w:rsidRPr="003359C3" w:rsidRDefault="003359C3" w:rsidP="001E7C9A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359C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 ramach programu lekowego udostępnia się terapie:</w:t>
            </w:r>
          </w:p>
          <w:p w14:paraId="18F86846" w14:textId="303DC548" w:rsidR="003359C3" w:rsidRPr="006E5693" w:rsidRDefault="003359C3" w:rsidP="00A72CE9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6E5693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ekulizumabem</w:t>
            </w:r>
            <w:proofErr w:type="spellEnd"/>
            <w:r w:rsidRPr="006E5693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7F9E4227" w14:textId="07CC3C34" w:rsidR="00164B87" w:rsidRDefault="003359C3" w:rsidP="00A72CE9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6E5693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rawulizumabem</w:t>
            </w:r>
            <w:proofErr w:type="spellEnd"/>
            <w:r w:rsidRPr="006E5693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0FFE827B" w14:textId="1B672D05" w:rsidR="001637F5" w:rsidRPr="006E5693" w:rsidRDefault="001637F5" w:rsidP="00A72CE9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1637F5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krowalimab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e</w:t>
            </w:r>
            <w:r w:rsidR="00165BB5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m</w:t>
            </w:r>
            <w:proofErr w:type="spellEnd"/>
            <w:r w:rsidR="00165BB5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4E5FB7A6" w14:textId="29CC8E6D" w:rsidR="00164B87" w:rsidRDefault="00164B87" w:rsidP="00A72CE9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6E5693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pegcetakoplanem</w:t>
            </w:r>
            <w:proofErr w:type="spellEnd"/>
            <w:r w:rsidRPr="006E5693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145B7BCB" w14:textId="77777777" w:rsidR="000919E3" w:rsidRPr="000246AF" w:rsidRDefault="000919E3" w:rsidP="000919E3">
            <w:pPr>
              <w:pStyle w:val="Akapitzlist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proofErr w:type="spellStart"/>
            <w:r w:rsidRPr="000246A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danikopanem</w:t>
            </w:r>
            <w:proofErr w:type="spellEnd"/>
            <w:r w:rsidRPr="000246A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Pr="000246A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rawulizumabem</w:t>
            </w:r>
            <w:proofErr w:type="spellEnd"/>
            <w:r w:rsidRPr="000246A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0246A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ekulizumabem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,</w:t>
            </w:r>
          </w:p>
          <w:p w14:paraId="7DB874FD" w14:textId="77777777" w:rsidR="003359C3" w:rsidRPr="003359C3" w:rsidRDefault="003359C3" w:rsidP="001E7C9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359C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zgodnie ze wskazanymi w opisie programu warunkami i kryteriami.</w:t>
            </w:r>
          </w:p>
          <w:p w14:paraId="286D17EE" w14:textId="77777777" w:rsidR="003359C3" w:rsidRPr="003359C3" w:rsidRDefault="003359C3" w:rsidP="001E7C9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346F63C8" w14:textId="50D16806" w:rsidR="003359C3" w:rsidRDefault="003359C3" w:rsidP="001E7C9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359C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Kwalifikacja świadczeniobiorców do programu przeprowadzana jest przez Zespół Koordynacyjny </w:t>
            </w:r>
            <w:r w:rsidR="00164B87" w:rsidRPr="00164B8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 Spraw Leczenia Nocnej Napadowej Hemoglobinurii</w:t>
            </w:r>
            <w:r w:rsidR="00A01EB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 dalej jako „Zespół Koordynacyjny”,</w:t>
            </w:r>
            <w:r w:rsidRPr="003359C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powoływany przez Prezesa Narodowego Funduszu Zdrowia.</w:t>
            </w:r>
          </w:p>
          <w:p w14:paraId="4E8FC99A" w14:textId="67B68DB3" w:rsidR="0006667C" w:rsidRDefault="00205A84" w:rsidP="001E7C9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Kwalifikacja do programu oraz weryfikacja skuteczności leczenia odbywa się w oparciu o ocenę stanu klinicznego świadczeniobiorcy oraz ocenę efektywności zastosowanej terapii.</w:t>
            </w:r>
          </w:p>
          <w:p w14:paraId="3309A699" w14:textId="77777777" w:rsidR="009352B8" w:rsidRPr="009E5589" w:rsidRDefault="009352B8" w:rsidP="001E7C9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020E6C41" w14:textId="77777777" w:rsidR="0006667C" w:rsidRDefault="0006667C" w:rsidP="00A72CE9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ekulizumabem</w:t>
            </w:r>
            <w:proofErr w:type="spellEnd"/>
          </w:p>
          <w:p w14:paraId="64A61C1B" w14:textId="5CD70941" w:rsidR="00097CEA" w:rsidRDefault="00097CEA" w:rsidP="00A72CE9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06667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 kwalifikacji</w:t>
            </w:r>
            <w:r w:rsidR="00AF2FCC" w:rsidRPr="0006667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0DFB22D1" w14:textId="4E684F9C" w:rsidR="00647A32" w:rsidRPr="00647A32" w:rsidRDefault="00647A32" w:rsidP="001E7C9A">
            <w:pPr>
              <w:autoSpaceDE w:val="0"/>
              <w:autoSpaceDN w:val="0"/>
              <w:adjustRightInd w:val="0"/>
              <w:spacing w:after="60" w:line="276" w:lineRule="auto"/>
              <w:ind w:left="-4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647A3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Do programu kwalifikowani są pacjenci spełniający łącznie następujące kryteria:</w:t>
            </w:r>
          </w:p>
          <w:p w14:paraId="02B1B8B3" w14:textId="69F6D039" w:rsidR="00097CEA" w:rsidRPr="00FB43FF" w:rsidRDefault="008E35C6" w:rsidP="00A72CE9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320E06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diagnozowana nocna napadowa hemoglobinuria z obecności</w:t>
            </w:r>
            <w:r w:rsidR="00B8422E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ą</w:t>
            </w:r>
            <w:r w:rsidR="00367687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klonu </w:t>
            </w:r>
            <w:r w:rsidR="0026595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61367F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NH &gt;1% oznaczon</w:t>
            </w:r>
            <w:r w:rsidR="00230B01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ego</w:t>
            </w:r>
            <w:r w:rsidR="00B8422E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</w:t>
            </w:r>
            <w:r w:rsidR="00242455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badani</w:t>
            </w:r>
            <w:r w:rsidR="00FA0578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B8422E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B8422E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cytometrii</w:t>
            </w:r>
            <w:proofErr w:type="spellEnd"/>
            <w:r w:rsidR="00B8422E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przepływowej</w:t>
            </w:r>
            <w:r w:rsidR="00367687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i</w:t>
            </w:r>
            <w:r w:rsidR="006103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="00367687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6103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="00367687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najmniej jeden z poniższych:</w:t>
            </w:r>
          </w:p>
          <w:p w14:paraId="770765D8" w14:textId="35461F86" w:rsidR="00367687" w:rsidRPr="00FB43FF" w:rsidRDefault="00367687" w:rsidP="00A72CE9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objawy hemolizy</w:t>
            </w:r>
            <w:r w:rsidR="00133F4C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54496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związane z </w:t>
            </w:r>
            <w:r w:rsidR="00105F8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E54496"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NH oraz (łącznie)</w:t>
            </w:r>
            <w:r w:rsidRPr="00FB4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1A473AAE" w14:textId="51D599CC" w:rsidR="00514AA5" w:rsidRDefault="00133F4C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aktywnością </w:t>
            </w:r>
            <w:r w:rsidR="00B7426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LDH</w:t>
            </w:r>
            <w:r w:rsidR="00B7426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≥1,5 </w:t>
            </w:r>
            <w:r w:rsidR="00230B0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przekraczająca górną granicę normy (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GGN</w:t>
            </w:r>
            <w:r w:rsidR="00230B0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E7C9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9969D85" w14:textId="04786855" w:rsidR="009434BE" w:rsidRPr="00514AA5" w:rsidRDefault="00133F4C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14AA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co najmniej jedno z powikłań związanych z hemolizą: </w:t>
            </w:r>
          </w:p>
          <w:p w14:paraId="2225E83C" w14:textId="1AE5D7EE" w:rsidR="009434BE" w:rsidRPr="00F45ED6" w:rsidRDefault="00133F4C" w:rsidP="00A72CE9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niewydolność nerek,</w:t>
            </w:r>
          </w:p>
          <w:p w14:paraId="234B1573" w14:textId="77777777" w:rsidR="009434BE" w:rsidRPr="00F45ED6" w:rsidRDefault="00133F4C" w:rsidP="00A72CE9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nadciśnienie płucne, </w:t>
            </w:r>
          </w:p>
          <w:p w14:paraId="1282937A" w14:textId="77777777" w:rsidR="00367687" w:rsidRPr="00F45ED6" w:rsidRDefault="00133F4C" w:rsidP="00A72CE9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znaczne </w:t>
            </w:r>
            <w:r w:rsidR="00E54496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zmęczenie ocenione wg FACIT upośledzające codzienną 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</w:t>
            </w:r>
            <w:r w:rsidR="00440404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66079BA" w14:textId="557EA0BF" w:rsidR="00966741" w:rsidRPr="00514AA5" w:rsidRDefault="00863FA2" w:rsidP="00A72CE9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14AA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133F4C" w:rsidRPr="00514AA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akrzepica lub poważne zdarzenie naczyniowe w tym</w:t>
            </w:r>
            <w:r w:rsidR="005733DB" w:rsidRPr="00514AA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2E2A9635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zakrzepowe zapalenie żył głębokich</w:t>
            </w:r>
            <w:r w:rsidR="001F319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/</w:t>
            </w:r>
            <w:r w:rsidR="002A4ECE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zakrzepica</w:t>
            </w:r>
            <w:r w:rsidR="00133F4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ż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ył głębokich, </w:t>
            </w:r>
          </w:p>
          <w:p w14:paraId="32D14D97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zator tętnicy płucnej, </w:t>
            </w:r>
          </w:p>
          <w:p w14:paraId="229A67A2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zdarzenia mózgowo-naczyniowe, </w:t>
            </w:r>
          </w:p>
          <w:p w14:paraId="18867A29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amputacj</w:t>
            </w:r>
            <w:r w:rsidR="005733DB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A09353B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zawał mięśnia sercowego</w:t>
            </w:r>
            <w:r w:rsidR="00133F4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4E4C1D6E" w14:textId="77777777" w:rsidR="005733DB" w:rsidRPr="00F45ED6" w:rsidRDefault="00230B01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napad </w:t>
            </w:r>
            <w:r w:rsidR="00863FA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przemijaj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ącego </w:t>
            </w:r>
            <w:r w:rsidR="005733DB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</w:t>
            </w:r>
            <w:r w:rsidR="00863FA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iedokrwien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ia</w:t>
            </w:r>
            <w:r w:rsidR="00863FA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5911EEAF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niestabilna dławica piersiowa, </w:t>
            </w:r>
          </w:p>
          <w:p w14:paraId="1FFE94BB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zakrzepica</w:t>
            </w:r>
            <w:r w:rsidR="00133F4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żyły nerkowej</w:t>
            </w:r>
            <w:r w:rsidR="002A4ECE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049C85A8" w14:textId="77777777" w:rsidR="005733DB" w:rsidRPr="00F45ED6" w:rsidRDefault="002A4ECE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zakrzepica</w:t>
            </w:r>
            <w:r w:rsidR="00133F4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żył </w:t>
            </w:r>
            <w:r w:rsidR="00863FA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krezkow</w:t>
            </w:r>
            <w:r w:rsidR="00230B0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ych</w:t>
            </w:r>
            <w:r w:rsidR="00863FA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03C02898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zakrzepica żyły wrotnej, </w:t>
            </w:r>
          </w:p>
          <w:p w14:paraId="7DE20949" w14:textId="77777777" w:rsidR="005733DB" w:rsidRPr="00F45ED6" w:rsidRDefault="00863FA2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zgorzel</w:t>
            </w:r>
            <w:r w:rsidR="00133F4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638B2CF4" w14:textId="77777777" w:rsidR="003D7CCF" w:rsidRPr="00F45ED6" w:rsidRDefault="00133F4C" w:rsidP="00A72CE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ostre zamknięcia naczyń</w:t>
            </w:r>
            <w:r w:rsidR="00863FA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obwodowych</w:t>
            </w:r>
            <w:r w:rsidR="003D7CC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0A9AAAA" w14:textId="5A829B48" w:rsidR="00C02F73" w:rsidRDefault="00BD08EF" w:rsidP="00A72CE9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wykonanie obowiązkowego szczepienia przeciw meningokokom, w</w:t>
            </w:r>
            <w:r w:rsidR="0006667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przypadku konieczności wdrożenia leczenia przed upływem 2</w:t>
            </w:r>
            <w:r w:rsidR="006103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tygodni po wykonaniu szczepienia przeciw </w:t>
            </w:r>
            <w:proofErr w:type="spellStart"/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menigokokom</w:t>
            </w:r>
            <w:proofErr w:type="spellEnd"/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- profilaktyka antybiotykowa</w:t>
            </w:r>
            <w:r w:rsidR="00164B8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E97B7FF" w14:textId="021F8A29" w:rsidR="00164B87" w:rsidRPr="00665AC7" w:rsidRDefault="00164B87" w:rsidP="00A72CE9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665AC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 przypadku kobiet wymagana jest zgoda na świadomą kontrolę urodzeń, zgodnie z aktualną Charakterystyką Produktu Leczniczego (zwanej dalej ChPL) leku, którym odbywa się leczenie w programie lekowym</w:t>
            </w:r>
            <w:r w:rsidR="00C36BE5" w:rsidRPr="00665AC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48FD31B" w14:textId="0F0404DD" w:rsidR="00164B87" w:rsidRPr="00665AC7" w:rsidRDefault="00164B87" w:rsidP="00A72CE9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665AC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nieobecność istotnych schorzeń współistniejących stanowiących przeciwskazanie do terapii stwierdzonych przez lekarza prowadzącego w oparciu o aktualną ChPL</w:t>
            </w:r>
            <w:r w:rsidR="00C36BE5" w:rsidRPr="00665AC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CA253A1" w14:textId="77777777" w:rsidR="00164B87" w:rsidRPr="00665AC7" w:rsidRDefault="00164B87" w:rsidP="00A72CE9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665AC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przeciwwskazań do stosowania określonej w aktualnej ChPL substancji czynnej ujętej w programie lekowym.</w:t>
            </w:r>
          </w:p>
          <w:p w14:paraId="1903FAA5" w14:textId="3B9ABDDC" w:rsidR="00164B87" w:rsidRDefault="00164B87" w:rsidP="001E7C9A">
            <w:pPr>
              <w:spacing w:after="60" w:line="276" w:lineRule="auto"/>
              <w:jc w:val="both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164B87">
              <w:rPr>
                <w:rFonts w:ascii="Times New Roman" w:eastAsia="Malgun Gothic" w:hAnsi="Times New Roman" w:cs="Times New Roman"/>
                <w:sz w:val="20"/>
                <w:szCs w:val="20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43C12CA3" w14:textId="77777777" w:rsidR="00665AC7" w:rsidRPr="00164B87" w:rsidRDefault="00665AC7" w:rsidP="001E7C9A">
            <w:pPr>
              <w:spacing w:after="60" w:line="276" w:lineRule="auto"/>
              <w:jc w:val="both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  <w:p w14:paraId="5804FC6B" w14:textId="305C84B8" w:rsidR="00097CEA" w:rsidRPr="00514AA5" w:rsidRDefault="00097CEA" w:rsidP="00A72CE9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7" w:hanging="35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14AA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programie</w:t>
            </w:r>
          </w:p>
          <w:p w14:paraId="52548BB5" w14:textId="090CB337" w:rsidR="00D40121" w:rsidRPr="00F45ED6" w:rsidRDefault="001E7C9A" w:rsidP="00A72CE9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AD07CA" w:rsidRPr="00AD07C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eczenie trwa do czasu podjęcia przez Zespół Koordynacyjny lub lekarza prowadzącego decyzji o </w:t>
            </w:r>
            <w:r w:rsidR="00AD07CA" w:rsidRPr="00AD07C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wyłączeniu świadczeniobiorcy z programu, zgodnie z kryteriami wyłączenia</w:t>
            </w:r>
            <w:r w:rsidR="00514AA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0807BBE" w14:textId="7FD92E04" w:rsidR="00D40121" w:rsidRPr="00F45ED6" w:rsidRDefault="00FF3C6D" w:rsidP="00A72CE9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D4012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espół </w:t>
            </w:r>
            <w:r w:rsidR="00885A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D4012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oordynacyjny ds. Leczenia Nocnej Napadowej Hemoglobinurii podejmuje decyzje o możliwości czasowego przerwania profilaktycznego leczenia </w:t>
            </w:r>
            <w:proofErr w:type="spellStart"/>
            <w:r w:rsidR="00D4012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ekulizumabem</w:t>
            </w:r>
            <w:proofErr w:type="spellEnd"/>
            <w:r w:rsidR="00D4012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 6 miesiącach leczenia u chorych z niższym ryzykiem nawrotu choroby, u których uzyskano remisję objawów i powrót prawidłowej funkcji narządów wewnętrznych</w:t>
            </w:r>
            <w:r w:rsidR="00130D1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 Z</w:t>
            </w:r>
            <w:r w:rsidR="00130D12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awieszenie leczenia w każdym czasie wymaga zgłoszenia przez ośrodek leczący i akceptacji przez Zespół</w:t>
            </w:r>
            <w:r w:rsidR="00130D1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85A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130D1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 ds. Leczenia Nocnej Napadowej Hemoglobinurii</w:t>
            </w:r>
            <w:r w:rsid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C17EB76" w14:textId="49C73AFA" w:rsidR="00C166A1" w:rsidRDefault="001E7C9A" w:rsidP="00A72CE9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</w:t>
            </w:r>
            <w:r w:rsidR="00D4012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horzy, u których konieczne jest ponowne włączenie leczenia po decyzji Zespołu </w:t>
            </w:r>
            <w:r w:rsidR="00885A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D4012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oordynacyjnego ds. Nocnej Napadowej Hemoglobinurii </w:t>
            </w:r>
            <w:r w:rsidR="00130D1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będą </w:t>
            </w:r>
            <w:r w:rsidR="00130D12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ponownie </w:t>
            </w:r>
            <w:r w:rsidR="0012196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włączani</w:t>
            </w:r>
            <w:r w:rsidR="00130D12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do podawania </w:t>
            </w:r>
            <w:proofErr w:type="spellStart"/>
            <w:r w:rsidR="00130D12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ekulizumabu</w:t>
            </w:r>
            <w:proofErr w:type="spellEnd"/>
            <w:r w:rsidR="00130D12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 podstawie zgłoszenia lekarza prowadzącego do </w:t>
            </w:r>
            <w:r w:rsidR="00735EC9" w:rsidRP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elektronicz</w:t>
            </w:r>
            <w:r w:rsid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nego</w:t>
            </w:r>
            <w:r w:rsidR="00735EC9" w:rsidRP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system</w:t>
            </w:r>
            <w:r w:rsid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735EC9" w:rsidRP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monitorowania programów lekowych</w:t>
            </w:r>
            <w:r w:rsidR="00130D1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130D1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C755926" w14:textId="77777777" w:rsidR="00665AC7" w:rsidRPr="00665AC7" w:rsidRDefault="00665AC7" w:rsidP="001E7C9A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CB0D3A0" w14:textId="7F68A4E0" w:rsidR="00097CEA" w:rsidRPr="00514AA5" w:rsidRDefault="00097CEA" w:rsidP="00A72CE9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14AA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</w:t>
            </w:r>
          </w:p>
          <w:p w14:paraId="625D6737" w14:textId="44032205" w:rsidR="00B47F02" w:rsidRDefault="00B47F02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brak efektu leczenia 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weryfikowanego </w:t>
            </w:r>
            <w:r w:rsidR="001D297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 3 miesiącach od rozpoczęcia terapii, a następnie po każdych kolejnych 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 miesi</w:t>
            </w:r>
            <w:r w:rsidR="001D297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ącach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oparciu o ocenę stanu klinicznego świadczeniobiorcy</w:t>
            </w:r>
            <w:r w:rsidR="00EA62A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r w:rsidR="002D485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np. </w:t>
            </w:r>
            <w:r w:rsidR="00EA62A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utrzymywanie się objawów </w:t>
            </w:r>
            <w:r w:rsidR="00733B5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aktywnej </w:t>
            </w:r>
            <w:r w:rsidR="00EA62A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hemolizy, brak stabilizacji stężenia hemoglobiny, utrzymywanie się</w:t>
            </w:r>
            <w:r w:rsidR="006D432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E0DC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znacznego zmęczenia i brak</w:t>
            </w:r>
            <w:r w:rsidR="00EA62A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poprawy jakości życia</w:t>
            </w:r>
            <w:r w:rsidR="009D37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6B37F17" w14:textId="7B2E5578" w:rsidR="00DA42F4" w:rsidRPr="00F45ED6" w:rsidRDefault="00F20A3A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ciąża – jeśli leczenie nie jest bezwzględnie konieczne</w:t>
            </w:r>
            <w:r w:rsidR="006540FB" w:rsidRPr="006540FB">
              <w:t xml:space="preserve"> </w:t>
            </w:r>
            <w:r w:rsidR="006540FB" w:rsidRPr="006540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(wymaga zgłoszenia przez lekarza prowadzącego i akceptacji przez Zespół </w:t>
            </w:r>
            <w:r w:rsid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6540FB" w:rsidRPr="006540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oordynacyjny)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F1F4049" w14:textId="0E124102" w:rsidR="003D7CCF" w:rsidRDefault="00CA0A0C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karmienie piersią</w:t>
            </w:r>
            <w:r w:rsidR="006540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6540FB" w:rsidRPr="006540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– jeśli leczenie nie jest bezwzględnie konieczne</w:t>
            </w:r>
            <w:r w:rsidR="00FA1D9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25F2D48" w14:textId="611E927D" w:rsidR="003072DA" w:rsidRDefault="00222625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przeszczepieni</w:t>
            </w:r>
            <w:r w:rsidR="00E6576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allogenicznych krwiotwórczych komórek macierzystych (</w:t>
            </w:r>
            <w:proofErr w:type="spellStart"/>
            <w:r w:rsidR="003072DA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allo</w:t>
            </w:r>
            <w:proofErr w:type="spellEnd"/>
            <w:r w:rsidR="003072DA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-HSCT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3072DA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19D2B99" w14:textId="77777777" w:rsidR="003072DA" w:rsidRDefault="00DE1992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13AA5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ystąpienie chorób lub stanów, które w opinii Zespołu Koordynacyjnego lub lekarza prowadzącego uniemożliwiają dalsze prowadzenie leczenia;</w:t>
            </w:r>
          </w:p>
          <w:p w14:paraId="4B4A4B77" w14:textId="77777777" w:rsidR="003072DA" w:rsidRDefault="00DE1992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13AA5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ystąpienie objawów nadwrażliwości na którąkolwiek substancję czynną lub substancję pomocniczą;</w:t>
            </w:r>
          </w:p>
          <w:p w14:paraId="5F472628" w14:textId="77777777" w:rsidR="003072DA" w:rsidRDefault="00DE1992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413AA5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ystąpienie toksyczności wymagającej zakończenia leczenia w opinii Zespołu Koordynacyjnego lub lekarza prowadzącego zgodnie z aktualną ChPL;</w:t>
            </w:r>
          </w:p>
          <w:p w14:paraId="4966E20B" w14:textId="77777777" w:rsidR="003072DA" w:rsidRDefault="00DE1992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413AA5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ogorszenie jakości życia o istotnym znaczeniu według oceny lekarza;</w:t>
            </w:r>
          </w:p>
          <w:p w14:paraId="156580D1" w14:textId="0D748033" w:rsidR="00413AA5" w:rsidRPr="003072DA" w:rsidRDefault="00DE1992" w:rsidP="00A72CE9">
            <w:pPr>
              <w:pStyle w:val="Akapitzlist"/>
              <w:numPr>
                <w:ilvl w:val="0"/>
                <w:numId w:val="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413AA5" w:rsidRPr="003072D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182D688E" w14:textId="1502A410" w:rsidR="0006667C" w:rsidRPr="00665AC7" w:rsidRDefault="0006667C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0856424" w14:textId="760904E0" w:rsidR="00514AA5" w:rsidRPr="005B305E" w:rsidRDefault="00514AA5" w:rsidP="005B305E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</w:t>
            </w:r>
            <w:proofErr w:type="spellStart"/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ra</w:t>
            </w:r>
            <w:r w:rsidR="00130D12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ulizumabem</w:t>
            </w:r>
            <w:proofErr w:type="spellEnd"/>
          </w:p>
          <w:p w14:paraId="7E89C52C" w14:textId="54A48A88" w:rsidR="0006667C" w:rsidRPr="005B305E" w:rsidRDefault="00514AA5" w:rsidP="005B305E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</w:t>
            </w:r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ryteria kwalifikacji </w:t>
            </w:r>
          </w:p>
          <w:p w14:paraId="5E8864F2" w14:textId="6D774934" w:rsidR="00647A32" w:rsidRPr="005B305E" w:rsidRDefault="00647A32" w:rsidP="005B305E">
            <w:pPr>
              <w:autoSpaceDE w:val="0"/>
              <w:autoSpaceDN w:val="0"/>
              <w:adjustRightInd w:val="0"/>
              <w:spacing w:after="60" w:line="276" w:lineRule="auto"/>
              <w:ind w:left="-4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Do programu kwalifikowani są pacjenci spełniający łącznie następujące kryteria:</w:t>
            </w:r>
          </w:p>
          <w:p w14:paraId="6592A5DB" w14:textId="20DE3401" w:rsidR="0006667C" w:rsidRPr="005B305E" w:rsidRDefault="000F34A8" w:rsidP="005B305E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C</w:t>
            </w:r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horzy nieleczeni uprzednio </w:t>
            </w:r>
            <w:proofErr w:type="spellStart"/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ekulizumabem</w:t>
            </w:r>
            <w:proofErr w:type="spellEnd"/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557D622A" w14:textId="402883C0" w:rsidR="000F34A8" w:rsidRPr="005B305E" w:rsidRDefault="008E35C6" w:rsidP="005B305E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F34A8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iek ≥ 18 lat;</w:t>
            </w:r>
          </w:p>
          <w:p w14:paraId="45F1A577" w14:textId="319290BF" w:rsidR="0006667C" w:rsidRPr="005B305E" w:rsidRDefault="00AD07CA" w:rsidP="005B305E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diagnozowana nocna napadowa hemoglobinuria z obecnością klonu PNH &gt;1% oznaczonego w badaniu </w:t>
            </w:r>
            <w:proofErr w:type="spellStart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cytometrii</w:t>
            </w:r>
            <w:proofErr w:type="spellEnd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przepływowej i co najmniej jeden z poniższych:</w:t>
            </w:r>
          </w:p>
          <w:p w14:paraId="62659714" w14:textId="6F56979E" w:rsidR="0006667C" w:rsidRPr="005B305E" w:rsidRDefault="0006667C" w:rsidP="005B305E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811" w:hanging="35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objawy hemolizy związane z PNH oraz (łącznie):</w:t>
            </w:r>
          </w:p>
          <w:p w14:paraId="6E61B3BA" w14:textId="674A00A1" w:rsidR="0006667C" w:rsidRPr="005B305E" w:rsidRDefault="0006667C" w:rsidP="005B305E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aktywnością dehydrogenazy mleczanowej (LDH) ≥1,5 przekraczająca górną granicę normy (GGN)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3538E221" w14:textId="77777777" w:rsidR="0006667C" w:rsidRPr="005B305E" w:rsidRDefault="0006667C" w:rsidP="005B305E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co najmniej jedno z powikłań związanych z hemolizą: </w:t>
            </w:r>
          </w:p>
          <w:p w14:paraId="6247D3B1" w14:textId="3766AD15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niewydolność nerek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89126FB" w14:textId="30B79E6A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nadciśnienie płucne lub duszność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73916AC9" w14:textId="6638B08F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znaczne zmęczenie ocenione wg FACIT upośledzające codzienną aktywność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CBA87BF" w14:textId="7D66A657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hemoglobinuria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0AF6856E" w14:textId="67460727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bóle brzucha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E6974AD" w14:textId="3DF0B348" w:rsidR="0006667C" w:rsidRPr="005B305E" w:rsidRDefault="006D4329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niedokrwistość 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hemoglobiny &lt; 10g/</w:t>
            </w:r>
            <w:proofErr w:type="spellStart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dL</w:t>
            </w:r>
            <w:proofErr w:type="spellEnd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1EADCEAA" w14:textId="56613E5A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dysfagia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0CDE23FB" w14:textId="3F423B27" w:rsidR="0006667C" w:rsidRPr="005B305E" w:rsidRDefault="0006667C" w:rsidP="005B305E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964" w:hanging="17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zaburzenia erekcji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41170DF4" w14:textId="684807E8" w:rsidR="0006667C" w:rsidRPr="005B305E" w:rsidRDefault="0006667C" w:rsidP="005B305E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zakrzepica lub poważne zdarzenie naczyniowe w tym:</w:t>
            </w:r>
          </w:p>
          <w:p w14:paraId="2C7F2534" w14:textId="328DFD19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zakrzepowe zapalenie żył głębokich/zakrzepica żył głębokich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4C31462" w14:textId="0031B069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zator tętnicy płucnej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6AF1BAEE" w14:textId="31A86F36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zdarzenia mózgowo-naczyniowe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569D39AA" w14:textId="35B4EE0C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amputacja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68BA1CAD" w14:textId="2DC71CAA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zawał mięśnia sercowego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46EB0498" w14:textId="2CE34D06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napad przemijającego niedokrwienia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411C1CB3" w14:textId="077E33C9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niestabilna dławica piersiowa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6E85E4ED" w14:textId="17943E71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zakrzepica żyły nerkowej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1AC5980" w14:textId="6C40DFF0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zakrzepica żył krezkowych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6BF251A6" w14:textId="51457AA4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zakrzepica żyły wrotnej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4A333874" w14:textId="262C2C76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zgorzel</w:t>
            </w:r>
            <w:r w:rsidR="001E7C9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A098A64" w14:textId="77777777" w:rsidR="0006667C" w:rsidRPr="005B305E" w:rsidRDefault="0006667C" w:rsidP="005B305E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822" w:hanging="142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ostre zamknięcia naczyń obwodowych;</w:t>
            </w:r>
          </w:p>
          <w:p w14:paraId="7F83D2AD" w14:textId="062F442A" w:rsidR="00AD07CA" w:rsidRPr="005B305E" w:rsidRDefault="0006667C" w:rsidP="005B305E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wykonanie obowiązkowego szczepienia przeciw meningokokom, w</w:t>
            </w:r>
            <w:r w:rsidR="0061037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przypadku konieczności wdrożenia leczenia przed upływem 2</w:t>
            </w:r>
            <w:r w:rsidR="0061037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tygodni po wykonaniu szczepienia przeciw </w:t>
            </w:r>
            <w:proofErr w:type="spellStart"/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menigokokom</w:t>
            </w:r>
            <w:proofErr w:type="spellEnd"/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- profilaktyka antybiotykowa przez okres 2 tygodni od momentu zaszczepienia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618AA4F" w14:textId="5E56AC23" w:rsidR="00AD07CA" w:rsidRPr="005B305E" w:rsidRDefault="00AD07CA" w:rsidP="005B305E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 przypadku kobiet oraz poddanych leczeniu mężczyzn będących partnerami kobiet w wieku rozrodczym wymagana jest zgoda na świadomą kontrolę urodzeń, zgodnie z aktualną Charakterystyką Produktu Leczniczego (zwanej dalej ChPL) leku, którym odbywa się leczenie w programie lekowym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C4B1EE9" w14:textId="3E16B35A" w:rsidR="00AD07CA" w:rsidRPr="005B305E" w:rsidRDefault="00AD07CA" w:rsidP="005B305E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nieobecność istotnych schorzeń współistniejących stanowiących przeciwskazanie do terapii stwierdzonych przez lekarza prowadzącego w oparciu o aktualną ChPL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0C4E91B" w14:textId="4D95F0FE" w:rsidR="00AD07CA" w:rsidRPr="005B305E" w:rsidRDefault="00AD07CA" w:rsidP="005B305E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przeciwwskazań do stosowania określonej w aktualnej ChPL substancji czynnej ujętej w programie lekowym.</w:t>
            </w:r>
          </w:p>
          <w:p w14:paraId="1008341B" w14:textId="12425C98" w:rsidR="00AD07CA" w:rsidRPr="005B305E" w:rsidRDefault="00AD07CA" w:rsidP="005B305E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01246C63" w14:textId="0450C9FA" w:rsidR="0006667C" w:rsidRPr="005B305E" w:rsidRDefault="000F34A8" w:rsidP="005B305E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C</w:t>
            </w:r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horzy stabilni klinicznie po terapii </w:t>
            </w:r>
            <w:proofErr w:type="spellStart"/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ekulizumabem</w:t>
            </w:r>
            <w:proofErr w:type="spellEnd"/>
            <w:r w:rsidR="0006667C"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7FA9F8C7" w14:textId="638ACA34" w:rsidR="00647A32" w:rsidRPr="005B305E" w:rsidRDefault="00647A32" w:rsidP="005B30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 programu kwalifikowani są pacjenci spełniający łącznie następujące kryteria:</w:t>
            </w:r>
          </w:p>
          <w:p w14:paraId="002A78C9" w14:textId="3C23BA69" w:rsidR="000F34A8" w:rsidRPr="005B305E" w:rsidRDefault="008E35C6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F34A8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iek ≥ 18 lat;</w:t>
            </w:r>
          </w:p>
          <w:p w14:paraId="6D5ED459" w14:textId="4AC78836" w:rsidR="0006667C" w:rsidRPr="005B305E" w:rsidRDefault="00AD07CA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diagnozowana nocna napadowa hemoglobinuria z obecnością klonu PNH &gt;1% oznaczonego w badaniu </w:t>
            </w:r>
            <w:proofErr w:type="spellStart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cytometrii</w:t>
            </w:r>
            <w:proofErr w:type="spellEnd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przepływowej</w:t>
            </w:r>
            <w:r w:rsidR="0079652C" w:rsidRPr="005B305E">
              <w:rPr>
                <w:rFonts w:ascii="Times New Roman" w:hAnsi="Times New Roman" w:cs="Times New Roman"/>
                <w:color w:val="8DB3E2" w:themeColor="text2" w:themeTint="66"/>
                <w:sz w:val="20"/>
                <w:szCs w:val="20"/>
                <w:lang w:eastAsia="pl-PL"/>
              </w:rPr>
              <w:t xml:space="preserve"> </w:t>
            </w:r>
            <w:r w:rsidR="0079652C" w:rsidRPr="005B305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przy kwalifikacji do leczenia </w:t>
            </w:r>
            <w:proofErr w:type="spellStart"/>
            <w:r w:rsidR="0079652C" w:rsidRPr="005B305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ekulizumabem</w:t>
            </w:r>
            <w:proofErr w:type="spellEnd"/>
            <w:r w:rsidR="00C36BE5" w:rsidRPr="005B305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6A0557FC" w14:textId="683A076D" w:rsidR="0006667C" w:rsidRPr="005B305E" w:rsidRDefault="00AD07CA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tosowanie </w:t>
            </w:r>
            <w:proofErr w:type="spellStart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ekulizumabu</w:t>
            </w:r>
            <w:proofErr w:type="spellEnd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przez co najmniej 6 </w:t>
            </w:r>
            <w:r w:rsidR="004A0A7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ostatnich</w:t>
            </w:r>
            <w:r w:rsidR="004A0A74" w:rsidRPr="005B305E" w:rsidDel="004A0A7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miesięcy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D7A431D" w14:textId="153BD5B7" w:rsidR="0006667C" w:rsidRPr="005B305E" w:rsidRDefault="00AD07CA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ktywność dehydrogenazy mleczanowej (LDH) ≤1,5 górnej granicy normy (GGN)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EE57B48" w14:textId="33827D49" w:rsidR="00AD07CA" w:rsidRPr="005B305E" w:rsidRDefault="00AD07CA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 przypadku kobiet oraz poddanych leczeniu mężczyzn będących partnerami kobiet w wieku rozrodczym wymagana jest zgoda na świadomą kontrolę urodzeń, zgodnie z aktualną Charakterystyką Produktu Leczniczego (zwanej dalej ChPL) leku, którym odbywa się leczenie w programie lekowym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4B637CF" w14:textId="300D2F04" w:rsidR="00AD07CA" w:rsidRPr="005B305E" w:rsidRDefault="00AD07CA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nieobecność istotnych schorzeń współistniejących stanowiących przeciwskazanie do terapii stwierdzonych przez lekarza prowadzącego w oparciu o aktualną ChPL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822E01F" w14:textId="0A6FE2BE" w:rsidR="00AD07CA" w:rsidRPr="005B305E" w:rsidRDefault="00AD07CA" w:rsidP="005B305E">
            <w:pPr>
              <w:pStyle w:val="Akapitzlis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przeciwwskazań do stosowania określonej w aktualnej ChPL substancji czynnej ujętej w programie lekowym</w:t>
            </w:r>
            <w:r w:rsidR="00C36BE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48E17A5" w14:textId="3B91D5D4" w:rsidR="00A86A02" w:rsidRPr="005B305E" w:rsidRDefault="00CE74AD" w:rsidP="005B305E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7D76A4E5" w14:textId="77777777" w:rsidR="00ED71D4" w:rsidRPr="005B305E" w:rsidRDefault="00ED71D4" w:rsidP="005B305E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766D7E6F" w14:textId="22497766" w:rsidR="0006667C" w:rsidRPr="005B305E" w:rsidRDefault="0006667C" w:rsidP="005B305E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programie</w:t>
            </w:r>
          </w:p>
          <w:p w14:paraId="61984C6D" w14:textId="63276D21" w:rsidR="0006667C" w:rsidRPr="005B305E" w:rsidRDefault="001E7C9A" w:rsidP="005B305E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AD07C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eczenie trwa do czasu podjęcia przez Zespół Koordynacyjny lub lekarza prowadzącego decyzji o </w:t>
            </w:r>
            <w:r w:rsidR="00AD07C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wyłączeniu świadczeniobiorcy z programu, zgodnie z kryteriami wyłączenia</w:t>
            </w:r>
            <w:r w:rsidR="00514AA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AB8E537" w14:textId="2A7D9C83" w:rsidR="0006667C" w:rsidRPr="005B305E" w:rsidRDefault="00885AFB" w:rsidP="005B305E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espół 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oordynacyjny ds. Leczenia Nocnej Napadowej Hemoglobinurii podejmuje decyzje o możliwości czasowego przerwania profilaktycznego leczenia </w:t>
            </w:r>
            <w:proofErr w:type="spellStart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rawulizumabem</w:t>
            </w:r>
            <w:proofErr w:type="spellEnd"/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 6</w:t>
            </w:r>
            <w:r w:rsidR="0061037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miesiącach leczenia u chorych z niższym ryzykiem nawrotu choroby, u których uzyskano remisję objawów i powrót prawidłowej funkcji narządów wewnętrznych</w:t>
            </w:r>
            <w:r w:rsidR="00510D96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. Zawieszenie leczenia w każdym czasie wymaga zgłoszenia przez ośrodek leczący i akceptacji przez Zespół 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510D96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 ds. Leczenia Nocnej Napadowej Hemoglobinurii</w:t>
            </w:r>
            <w:r w:rsidR="00514AA5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23E2CE0" w14:textId="2FEA0869" w:rsidR="0006667C" w:rsidRPr="005B305E" w:rsidRDefault="001E7C9A" w:rsidP="005B305E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horzy, u których konieczne jest ponowne włączenie leczenia po decyzji Zespołu </w:t>
            </w:r>
            <w:r w:rsidR="00885AFB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0666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oordynacyjnego ds. Nocnej Napadowej Hemoglobinurii będą </w:t>
            </w:r>
            <w:r w:rsidR="004A0A7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ponownie </w:t>
            </w:r>
            <w:r w:rsidR="008E67C6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włączani</w:t>
            </w:r>
            <w:r w:rsidR="004A0A7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do podawania </w:t>
            </w:r>
            <w:proofErr w:type="spellStart"/>
            <w:r w:rsidR="004A0A7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rawulizumabu</w:t>
            </w:r>
            <w:proofErr w:type="spellEnd"/>
            <w:r w:rsidR="004A0A7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 podstawie zgłoszenia lekarza prowadzącego do </w:t>
            </w:r>
            <w:r w:rsidR="002673C9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elektronicznego systemu monitorowania programów lekowych</w:t>
            </w:r>
            <w:r w:rsidR="004A0A7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C30B39C" w14:textId="77777777" w:rsidR="00ED71D4" w:rsidRPr="005B305E" w:rsidRDefault="00ED71D4" w:rsidP="005B305E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764C4232" w14:textId="50E84854" w:rsidR="0006667C" w:rsidRPr="005B305E" w:rsidRDefault="0006667C" w:rsidP="005B305E">
            <w:pPr>
              <w:pStyle w:val="Akapitzlist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</w:t>
            </w:r>
          </w:p>
          <w:p w14:paraId="2CFDC10E" w14:textId="05F80141" w:rsidR="00B47F02" w:rsidRPr="005B305E" w:rsidRDefault="00B47F02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brak efektu leczenia </w:t>
            </w:r>
            <w:r w:rsidR="00091FE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weryfikowanego </w:t>
            </w:r>
            <w:r w:rsidR="001D29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 3 miesiącach od rozpoczęcia terapii, a następnie po każdych kolejnych </w:t>
            </w:r>
            <w:r w:rsidR="00091FE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 miesi</w:t>
            </w:r>
            <w:r w:rsidR="001D297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ącach</w:t>
            </w:r>
            <w:r w:rsidR="00091FE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oparciu o ocenę stanu klinicznego świadczeniobiorcy</w:t>
            </w:r>
            <w:r w:rsidR="00C21AF9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(np. utrzymywanie się objawów </w:t>
            </w:r>
            <w:r w:rsidR="00733B56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aktywnej </w:t>
            </w:r>
            <w:r w:rsidR="00C21AF9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hemolizy, brak stabilizacji stężenia hemoglobiny, utrzymywanie się znacznego zmęczenia i brak poprawy jakości życia)</w:t>
            </w:r>
            <w:r w:rsidR="00091FE7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2491E50" w14:textId="40516E2D" w:rsidR="00105F86" w:rsidRPr="005B305E" w:rsidRDefault="0006667C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ciąża – jeśli leczenie nie jest bezwzględnie konieczne</w:t>
            </w:r>
            <w:r w:rsidR="00E75CE1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(wymaga zgłoszenia przez lekarza prowadzącego i akceptacji przez Zespół Koordynacyjny)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CF16AC2" w14:textId="0EFC7983" w:rsidR="00105F86" w:rsidRPr="005B305E" w:rsidRDefault="0006667C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karmienie piersią</w:t>
            </w:r>
            <w:r w:rsidR="00885AFB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FC8E33B" w14:textId="77777777" w:rsidR="00105F86" w:rsidRPr="005B305E" w:rsidRDefault="0006667C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masa ciała poniżej 40 kg;</w:t>
            </w:r>
          </w:p>
          <w:p w14:paraId="7A412EB7" w14:textId="0CBB1231" w:rsidR="003072DA" w:rsidRPr="005B305E" w:rsidRDefault="00222625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przeszczepieni</w:t>
            </w:r>
            <w:r w:rsidR="00E65769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allogenicznych krwiotwórczych komórek macierzystych (</w:t>
            </w:r>
            <w:proofErr w:type="spellStart"/>
            <w:r w:rsidR="003072D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allo</w:t>
            </w:r>
            <w:proofErr w:type="spellEnd"/>
            <w:r w:rsidR="003072D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-HSCT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3072DA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6E57FCE" w14:textId="77777777" w:rsidR="002673C9" w:rsidRPr="005B305E" w:rsidRDefault="002673C9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wystąpienie chorób lub stanów, które w opinii Zespołu Koordynacyjnego lub lekarza prowadzącego uniemożliwiają dalsze prowadzenie leczenia;</w:t>
            </w:r>
          </w:p>
          <w:p w14:paraId="3D64EF15" w14:textId="77777777" w:rsidR="002673C9" w:rsidRPr="005B305E" w:rsidRDefault="002673C9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wystąpienie objawów nadwrażliwości na którąkolwiek substancję czynną lub substancję pomocniczą;</w:t>
            </w:r>
          </w:p>
          <w:p w14:paraId="6434CC06" w14:textId="77777777" w:rsidR="002673C9" w:rsidRPr="005B305E" w:rsidRDefault="002673C9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wystąpienie toksyczności wymagającej zakończenia leczenia w opinii Zespołu Koordynacyjnego lub lekarza prowadzącego zgodnie z aktualną ChPL;</w:t>
            </w:r>
          </w:p>
          <w:p w14:paraId="5883E263" w14:textId="77777777" w:rsidR="002673C9" w:rsidRPr="005B305E" w:rsidRDefault="002673C9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pogorszenie jakości życia o istotnym znaczeniu według oceny lekarza;</w:t>
            </w:r>
          </w:p>
          <w:p w14:paraId="7DC7251B" w14:textId="77777777" w:rsidR="002673C9" w:rsidRDefault="002673C9" w:rsidP="005B305E">
            <w:pPr>
              <w:pStyle w:val="Akapitzlist"/>
              <w:numPr>
                <w:ilvl w:val="0"/>
                <w:numId w:val="2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455F65CB" w14:textId="77777777" w:rsidR="005B305E" w:rsidRPr="005B305E" w:rsidRDefault="005B305E" w:rsidP="005B305E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666F8F36" w14:textId="77777777" w:rsidR="0079652C" w:rsidRPr="005B305E" w:rsidRDefault="0079652C" w:rsidP="005B305E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317" w:hanging="35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Leczenie </w:t>
            </w:r>
            <w:proofErr w:type="spellStart"/>
            <w:r w:rsidRPr="005B30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krowalimabem</w:t>
            </w:r>
            <w:proofErr w:type="spellEnd"/>
          </w:p>
          <w:p w14:paraId="60D5F131" w14:textId="77777777" w:rsidR="0079652C" w:rsidRPr="005B305E" w:rsidRDefault="0079652C" w:rsidP="005B305E">
            <w:pPr>
              <w:numPr>
                <w:ilvl w:val="1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317" w:hanging="35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Kryteria kwalifikacji </w:t>
            </w:r>
          </w:p>
          <w:p w14:paraId="0A92D832" w14:textId="77777777" w:rsidR="0079652C" w:rsidRPr="005B305E" w:rsidRDefault="0079652C" w:rsidP="005B305E">
            <w:pPr>
              <w:spacing w:after="60" w:line="276" w:lineRule="auto"/>
              <w:ind w:left="-4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 programu kwalifikowani są pacjenci spełniający łącznie następujące kryteria:</w:t>
            </w:r>
          </w:p>
          <w:p w14:paraId="3E7C9F26" w14:textId="77777777" w:rsidR="0079652C" w:rsidRPr="005B305E" w:rsidRDefault="0079652C" w:rsidP="005B305E">
            <w:pPr>
              <w:numPr>
                <w:ilvl w:val="2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702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Chorzy nieleczeni uprzednio inhibitorem C5:</w:t>
            </w:r>
          </w:p>
          <w:p w14:paraId="4DF25C5B" w14:textId="181651A4" w:rsidR="0079652C" w:rsidRPr="005B305E" w:rsidRDefault="0079652C" w:rsidP="005B305E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Gungsuh" w:hAnsi="Times New Roman" w:cs="Times New Roman"/>
                <w:sz w:val="20"/>
                <w:szCs w:val="20"/>
              </w:rPr>
              <w:t>wiek ≥ 12 lat</w:t>
            </w:r>
            <w:r w:rsidR="005B305E">
              <w:rPr>
                <w:rFonts w:ascii="Times New Roman" w:eastAsia="Gungsuh" w:hAnsi="Times New Roman" w:cs="Times New Roman"/>
                <w:sz w:val="20"/>
                <w:szCs w:val="20"/>
              </w:rPr>
              <w:t>;</w:t>
            </w:r>
          </w:p>
          <w:p w14:paraId="65CDE9F2" w14:textId="77777777" w:rsidR="0079652C" w:rsidRPr="005B305E" w:rsidRDefault="0079652C" w:rsidP="005B305E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zdiagnozowana nocna napadowa hemoglobinuria z obecnością klonu PNH &gt;1% oznaczonego w badaniu </w:t>
            </w:r>
            <w:proofErr w:type="spellStart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cytometrii</w:t>
            </w:r>
            <w:proofErr w:type="spellEnd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przepływowej i co najmniej jeden z poniższych:</w:t>
            </w:r>
          </w:p>
          <w:p w14:paraId="2794CF6B" w14:textId="77777777" w:rsidR="0079652C" w:rsidRPr="005B305E" w:rsidRDefault="0079652C" w:rsidP="005B305E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objawy hemolizy związane z PNH oraz (łącznie):</w:t>
            </w:r>
          </w:p>
          <w:p w14:paraId="12E601EF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aktywnością dehydrogenazy mleczanowej (LDH) ≥1.5  przekraczająca górną granicę normy (GGN),</w:t>
            </w:r>
          </w:p>
          <w:p w14:paraId="1CE4DAEF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 najmniej jedno z powikłań związanych z hemolizą: </w:t>
            </w:r>
          </w:p>
          <w:p w14:paraId="12AFC3A4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niewydolność nerek,</w:t>
            </w:r>
          </w:p>
          <w:p w14:paraId="7BF1229F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nadciśnienie płucne lub duszność,</w:t>
            </w:r>
          </w:p>
          <w:p w14:paraId="6CCA28DE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znaczne zmęczenie ocenione wg FACIT upośledzające codzienną aktywność,</w:t>
            </w:r>
          </w:p>
          <w:p w14:paraId="228EB746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hemoglobinuria,</w:t>
            </w:r>
          </w:p>
          <w:p w14:paraId="5819BE30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bóle brzucha,</w:t>
            </w:r>
          </w:p>
          <w:p w14:paraId="6EA21565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niedokrwistość  (stężenie hemoglobiny &lt; 10g/</w:t>
            </w:r>
            <w:proofErr w:type="spellStart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dL</w:t>
            </w:r>
            <w:proofErr w:type="spellEnd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</w:p>
          <w:p w14:paraId="5B1BBB5A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dysfagia,</w:t>
            </w:r>
          </w:p>
          <w:p w14:paraId="51EF48AE" w14:textId="77777777" w:rsidR="0079652C" w:rsidRPr="005B305E" w:rsidRDefault="0079652C" w:rsidP="005B305E">
            <w:pPr>
              <w:numPr>
                <w:ilvl w:val="0"/>
                <w:numId w:val="65"/>
              </w:numPr>
              <w:spacing w:after="60" w:line="276" w:lineRule="auto"/>
              <w:ind w:left="964" w:hanging="17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zaburzenia erekcji,</w:t>
            </w:r>
          </w:p>
          <w:p w14:paraId="76CCA9D8" w14:textId="77777777" w:rsidR="0079652C" w:rsidRPr="005B305E" w:rsidRDefault="0079652C" w:rsidP="005B305E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zakrzepica lub poważne zdarzenie naczyniowe w tym:</w:t>
            </w:r>
          </w:p>
          <w:p w14:paraId="249CC7CB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zakrzepowe zapalenie żył głębokich/zakrzepica żył głębokich,</w:t>
            </w:r>
          </w:p>
          <w:p w14:paraId="2DA98832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zator tętnicy płucnej,</w:t>
            </w:r>
          </w:p>
          <w:p w14:paraId="5BDAAAA6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zdarzenia mózgowo-naczyniowe,</w:t>
            </w:r>
          </w:p>
          <w:p w14:paraId="6ED17CE4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amputacja,</w:t>
            </w:r>
          </w:p>
          <w:p w14:paraId="75B127D1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zawał mięśnia sercowego,</w:t>
            </w:r>
          </w:p>
          <w:p w14:paraId="285179D5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napad przemijającego niedokrwienia,</w:t>
            </w:r>
          </w:p>
          <w:p w14:paraId="58BBB26D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niestabilna dławica piersiowa,</w:t>
            </w:r>
          </w:p>
          <w:p w14:paraId="33B8D577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zakrzepica żyły nerkowej,</w:t>
            </w:r>
          </w:p>
          <w:p w14:paraId="54E21636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zakrzepica żył krezkowych,</w:t>
            </w:r>
          </w:p>
          <w:p w14:paraId="007B099C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zakrzepica żyły wrotnej,</w:t>
            </w:r>
          </w:p>
          <w:p w14:paraId="0B2C600B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zgorzel,</w:t>
            </w:r>
          </w:p>
          <w:p w14:paraId="406D4C94" w14:textId="77777777" w:rsidR="0079652C" w:rsidRPr="005B305E" w:rsidRDefault="0079652C" w:rsidP="005B305E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82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ostre zamknięcia naczyń obwodowych;</w:t>
            </w:r>
          </w:p>
          <w:p w14:paraId="2728B82F" w14:textId="77777777" w:rsidR="0079652C" w:rsidRPr="005B305E" w:rsidRDefault="0079652C" w:rsidP="005B305E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wykonanie obowiązkowego szczepienia przeciw meningokokom w przypadku konieczności wdrożenia leczenia przed upływem 2 tygodni po wykonaniu szczepienia przeciw </w:t>
            </w:r>
            <w:proofErr w:type="spellStart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menigokokom</w:t>
            </w:r>
            <w:proofErr w:type="spellEnd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profilaktyka antybiotykowa przez okres 2 tygodni od momentu zaszczepienia;</w:t>
            </w:r>
          </w:p>
          <w:p w14:paraId="602EB4D2" w14:textId="77777777" w:rsidR="0079652C" w:rsidRPr="005B305E" w:rsidRDefault="0079652C" w:rsidP="005B305E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przypadku kobiet w wieku </w:t>
            </w:r>
            <w:r w:rsidRPr="005B305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rozrodczym oraz poddanych leczeniu mężczyzn będących partnerami kobiet w wieku rozrodczym 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wymagana jest zgoda na świadomą kontrolę urodzeń, zgodnie z aktualną Charakterystyką Produktu Leczniczego (zwanej dalej ChPL) leku, którym odbywa się leczenie w programie lekowym;</w:t>
            </w:r>
          </w:p>
          <w:p w14:paraId="7ADBBCA5" w14:textId="77777777" w:rsidR="0079652C" w:rsidRPr="005B305E" w:rsidRDefault="0079652C" w:rsidP="005B305E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nieobecność istotnych schorzeń współistniejących stanowiących przeciwskazanie do terapii stwierdzonych przez lekarza prowadzącego w oparciu o aktualną ChPL;</w:t>
            </w:r>
          </w:p>
          <w:p w14:paraId="5AE0F668" w14:textId="77777777" w:rsidR="0079652C" w:rsidRPr="005B305E" w:rsidRDefault="0079652C" w:rsidP="005B305E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brak przeciwwskazań do stosowania określonej w aktualnej ChPL substancji czynnej ujętej w programie lekowym.</w:t>
            </w:r>
          </w:p>
          <w:p w14:paraId="0359E65A" w14:textId="77777777" w:rsidR="0079652C" w:rsidRPr="005B305E" w:rsidRDefault="0079652C" w:rsidP="005B305E">
            <w:pPr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E6B3C2" w14:textId="77777777" w:rsidR="0079652C" w:rsidRPr="005B305E" w:rsidRDefault="0079652C" w:rsidP="005B305E">
            <w:pPr>
              <w:numPr>
                <w:ilvl w:val="2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45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Chorzy stabilni klinicznie po terapii inhibitorem C5:</w:t>
            </w:r>
          </w:p>
          <w:p w14:paraId="6F8AE1A1" w14:textId="77777777" w:rsidR="0079652C" w:rsidRPr="005B305E" w:rsidRDefault="0079652C" w:rsidP="005B305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 programu kwalifikowani są pacjenci spełniający łącznie następujące kryteria:</w:t>
            </w:r>
          </w:p>
          <w:p w14:paraId="3DFEDA9E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Gungsuh" w:hAnsi="Times New Roman" w:cs="Times New Roman"/>
                <w:sz w:val="20"/>
                <w:szCs w:val="20"/>
              </w:rPr>
              <w:t>wiek ≥ 12 lat;</w:t>
            </w:r>
          </w:p>
          <w:p w14:paraId="7515C66C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zdiagnozowana nocna napadowa hemoglobinuria z obecnością klonu PNH &gt;1% oznaczonego w badaniu </w:t>
            </w:r>
            <w:proofErr w:type="spellStart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cytometrii</w:t>
            </w:r>
            <w:proofErr w:type="spellEnd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przepływowej</w:t>
            </w:r>
            <w:r w:rsidRPr="005B305E">
              <w:rPr>
                <w:rFonts w:ascii="Times New Roman" w:hAnsi="Times New Roman" w:cs="Times New Roman"/>
              </w:rPr>
              <w:t xml:space="preserve"> </w:t>
            </w:r>
            <w:r w:rsidRPr="005B30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przy kwalifikacji do pierwszego leczenia inhibitorem C5</w:t>
            </w: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F6A1412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stosowanie inhibitora C5 przez co najmniej 6 ostatnich miesięcy;</w:t>
            </w:r>
          </w:p>
          <w:p w14:paraId="0390D3AE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aktywność dehydrogenazy mleczanowej (LDH) ≤1,5 górnej granicy normy (GGN); </w:t>
            </w:r>
          </w:p>
          <w:p w14:paraId="66156538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wykonanie obowiązkowego szczepienia przeciw </w:t>
            </w:r>
            <w:proofErr w:type="spellStart"/>
            <w:r w:rsidRPr="005B305E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Neisseria</w:t>
            </w:r>
            <w:proofErr w:type="spellEnd"/>
            <w:r w:rsidRPr="005B305E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B305E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meningitidis</w:t>
            </w:r>
            <w:proofErr w:type="spellEnd"/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B305E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(o ile wymagane jest powtórzenie kolejnego szczepienia)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 w przypadku konieczności wdrożenia leczenia przed upływem 2 tygodni po wykonaniu szczepień - profilaktyka antybiotykowa przez okres 2 tygodni od momentu zaszczepienia;</w:t>
            </w:r>
          </w:p>
          <w:p w14:paraId="5DD8F939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przypadku kobiet w wieku rozrodczym </w:t>
            </w:r>
            <w:r w:rsidRPr="005B305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oraz poddanych leczeniu mężczyzn będących partnerami kobiet w wieku rozrodczym 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wymagana jest zgoda na świadomą kontrolę urodzeń, zgodnie z aktualną Charakterystyką Produktu Leczniczego (zwanej dalej ChPL) leku, którym odbywa się leczenie w programie lekowym;</w:t>
            </w:r>
          </w:p>
          <w:p w14:paraId="67DDDE6A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nieobecność istotnych schorzeń współistniejących stanowiących przeciwwskazanie do terapii stwierdzonych przez lekarza prowadzącego w oparciu o aktualną ChPL;</w:t>
            </w:r>
          </w:p>
          <w:p w14:paraId="45AA7920" w14:textId="77777777" w:rsidR="0079652C" w:rsidRPr="005B305E" w:rsidRDefault="0079652C" w:rsidP="005B305E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brak przeciwwskazań do stosowania określonej w aktualnej ChPL substancji czynnej ujętej w programie lekowym.</w:t>
            </w:r>
          </w:p>
          <w:p w14:paraId="37F59AB1" w14:textId="77777777" w:rsidR="0079652C" w:rsidRPr="005B305E" w:rsidRDefault="0079652C" w:rsidP="005B305E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Ponadto do programu lekowego kwalifikowani są  pacjenci wymagający kontynuacji leczenia, którzy byli leczeni substancjami czynnymi finansowanymi w programie lekowym w ramach innego sposobu finansowania terapii (za wyjątkiem trwających badań klinicznych tych leków), pod </w:t>
            </w: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warunkiem, że w chwili rozpoczęcia leczenia spełniali kryteria kwalifikacji do programu lekowego.</w:t>
            </w:r>
          </w:p>
          <w:p w14:paraId="643C3883" w14:textId="77777777" w:rsidR="0079652C" w:rsidRPr="005B305E" w:rsidRDefault="0079652C" w:rsidP="005B305E">
            <w:pPr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50ECFA" w14:textId="77777777" w:rsidR="0079652C" w:rsidRPr="005B305E" w:rsidRDefault="0079652C" w:rsidP="005B305E">
            <w:pPr>
              <w:numPr>
                <w:ilvl w:val="1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70" w:hanging="27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Określenie czasu leczenia w programie</w:t>
            </w:r>
          </w:p>
          <w:p w14:paraId="3CA02888" w14:textId="77777777" w:rsidR="0079652C" w:rsidRPr="005B305E" w:rsidRDefault="0079652C" w:rsidP="005B305E">
            <w:pPr>
              <w:pStyle w:val="Akapitzlist"/>
              <w:numPr>
                <w:ilvl w:val="0"/>
                <w:numId w:val="7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leczenie trwa do czasu podjęcia przez Zespół Koordynacyjny lub lekarza prowadzącego decyzji o wyłączeniu świadczeniobiorcy z programu, zgodnie z kryteriami wyłączenia;</w:t>
            </w:r>
          </w:p>
          <w:p w14:paraId="673FD108" w14:textId="45CAEF1B" w:rsidR="0079652C" w:rsidRPr="005B305E" w:rsidRDefault="00446004" w:rsidP="005B305E">
            <w:pPr>
              <w:pStyle w:val="Akapitzlist"/>
              <w:numPr>
                <w:ilvl w:val="0"/>
                <w:numId w:val="7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79652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espół 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79652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9652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podejmuje decyzje o możliwości czasowego przerwania profilaktycznego leczenia </w:t>
            </w:r>
            <w:proofErr w:type="spellStart"/>
            <w:r w:rsidR="0079652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krowalimabem</w:t>
            </w:r>
            <w:proofErr w:type="spellEnd"/>
            <w:r w:rsidR="0079652C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 6 miesiącach leczenia u chorych z niższym ryzykiem nawrotu choroby, u których uzyskano remisję objawów i powrót prawidłowej funkcji narządów wewnętrznych. Zawieszenie leczenia w każdym czasie wymaga zgłoszenia przez ośrodek leczący i akceptacji przez Zespół koordynacyjny ds. Leczenia Nocnej Napadowej Hemoglobinurii;</w:t>
            </w:r>
          </w:p>
          <w:p w14:paraId="164301C4" w14:textId="2FF4BDD9" w:rsidR="0079652C" w:rsidRPr="005B305E" w:rsidRDefault="0079652C" w:rsidP="005B305E">
            <w:pPr>
              <w:pStyle w:val="Akapitzlist"/>
              <w:numPr>
                <w:ilvl w:val="0"/>
                <w:numId w:val="7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chorzy, u których konieczne jest ponowne włączenie leczenia po decyzji Zespołu </w:t>
            </w:r>
            <w:r w:rsidR="00446004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oordynacyjnego będą ponownie włączani do podawania </w:t>
            </w:r>
            <w:proofErr w:type="spellStart"/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krowalimabu</w:t>
            </w:r>
            <w:proofErr w:type="spellEnd"/>
            <w:r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 podstawie zgłoszenia lekarza prowadzącego do elektronicznego systemu monitorowania programów lekowych.</w:t>
            </w:r>
          </w:p>
          <w:p w14:paraId="23A77839" w14:textId="77777777" w:rsidR="0079652C" w:rsidRPr="005B305E" w:rsidRDefault="0079652C" w:rsidP="005B30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BBE923" w14:textId="77777777" w:rsidR="0079652C" w:rsidRPr="005B305E" w:rsidRDefault="0079652C" w:rsidP="005B305E">
            <w:pPr>
              <w:numPr>
                <w:ilvl w:val="1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318" w:hanging="31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Kryteria wyłączenia</w:t>
            </w:r>
          </w:p>
          <w:p w14:paraId="45EBDA07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brak efektu leczenia weryfikowanego po 3 miesiącach od rozpoczęcia terapii, a następnie po każdych kolejnych 6 miesiącach w oparciu o ocenę stanu klinicznego świadczeniobiorcy (np. utrzymywanie się objawów aktywnej hemolizy, brak stabilizacji stężenia </w:t>
            </w: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hemoglobiny, utrzymywanie się znacznego zmęczenia i brak poprawy jakości życia);</w:t>
            </w:r>
          </w:p>
          <w:p w14:paraId="0418111E" w14:textId="06CE3CCF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ciąża – jeśli leczenie nie jest bezwzględnie konieczne</w:t>
            </w:r>
            <w:r w:rsidR="00991A5D"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1A5D" w:rsidRPr="005B305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(wymaga zgłoszenia przez lekarza prowadzącego i akceptacji przez Zespół Koordynacyjny)</w:t>
            </w: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A5565D2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karmienie piersią;</w:t>
            </w:r>
          </w:p>
          <w:p w14:paraId="292FEC6D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masa ciała poniżej 40 kg;</w:t>
            </w:r>
          </w:p>
          <w:p w14:paraId="2E8DE1D9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przeszczepienie allogenicznych krwiotwórczych komórek macierzystych (</w:t>
            </w:r>
            <w:proofErr w:type="spellStart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allo</w:t>
            </w:r>
            <w:proofErr w:type="spellEnd"/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-HSCT);</w:t>
            </w:r>
          </w:p>
          <w:p w14:paraId="141E09EB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wystąpienie chorób lub stanów, które w opinii Zespołu Koordynacyjnego lub lekarza prowadzącego uniemożliwiają dalsze prowadzenie leczenia;</w:t>
            </w:r>
          </w:p>
          <w:p w14:paraId="5F6F25CE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wystąpienie objawów nadwrażliwości na którąkolwiek substancję czynną lub substancję pomocniczą;</w:t>
            </w:r>
          </w:p>
          <w:p w14:paraId="460A3AD5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wystąpienie toksyczności wymagającej zakończenia leczenia w opinii Zespołu Koordynacyjnego lub lekarza prowadzącego zgodnie z aktualną ChPL;</w:t>
            </w:r>
          </w:p>
          <w:p w14:paraId="117FE5E8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pogorszenie jakości życia o istotnym znaczeniu według oceny lekarza;</w:t>
            </w:r>
          </w:p>
          <w:p w14:paraId="72A3B7AA" w14:textId="77777777" w:rsidR="0079652C" w:rsidRPr="005B305E" w:rsidRDefault="0079652C" w:rsidP="005B305E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305E">
              <w:rPr>
                <w:rFonts w:ascii="Times New Roman" w:eastAsia="Times New Roman" w:hAnsi="Times New Roman" w:cs="Times New Roman"/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4896657D" w14:textId="77777777" w:rsidR="00A86A02" w:rsidRPr="005B305E" w:rsidRDefault="00A86A02" w:rsidP="005B305E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0771F09" w14:textId="40404313" w:rsidR="002540F9" w:rsidRDefault="002540F9" w:rsidP="005B305E">
            <w:pPr>
              <w:pStyle w:val="Akapitzlist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</w:t>
            </w:r>
            <w:proofErr w:type="spellStart"/>
            <w:r w:rsidRPr="002540F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pegcetakoplan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em</w:t>
            </w:r>
            <w:proofErr w:type="spellEnd"/>
          </w:p>
          <w:p w14:paraId="14EE71D7" w14:textId="77777777" w:rsidR="002540F9" w:rsidRDefault="002540F9" w:rsidP="00C91E66">
            <w:pPr>
              <w:pStyle w:val="Akapitzlist"/>
              <w:numPr>
                <w:ilvl w:val="1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06667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Kryteria kwalifikacji </w:t>
            </w:r>
          </w:p>
          <w:p w14:paraId="1A920938" w14:textId="77777777" w:rsidR="002540F9" w:rsidRPr="00647A32" w:rsidRDefault="002540F9" w:rsidP="001E7C9A">
            <w:pPr>
              <w:autoSpaceDE w:val="0"/>
              <w:autoSpaceDN w:val="0"/>
              <w:adjustRightInd w:val="0"/>
              <w:spacing w:after="60" w:line="276" w:lineRule="auto"/>
              <w:ind w:left="-4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647A32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Do programu kwalifikowani są pacjenci spełniający łącznie następujące kryteria:</w:t>
            </w:r>
          </w:p>
          <w:p w14:paraId="0320F3B5" w14:textId="25DB4A5F" w:rsidR="008E35C6" w:rsidRPr="00C36BE5" w:rsidRDefault="00F564E7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z</w:t>
            </w:r>
            <w:r w:rsidR="002540F9"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diagnozowana nocna napadowa hemoglobinuria z obecnością klonu PNH &gt;1% oznaczonego w badaniu </w:t>
            </w:r>
            <w:proofErr w:type="spellStart"/>
            <w:r w:rsidR="002540F9"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cytometrii</w:t>
            </w:r>
            <w:proofErr w:type="spellEnd"/>
            <w:r w:rsidR="002540F9"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przepływowej</w:t>
            </w:r>
            <w:r w:rsidR="007A3FF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A3FFE" w:rsidRPr="007A3FF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przy kwalifikacji do leczenia </w:t>
            </w:r>
            <w:proofErr w:type="spellStart"/>
            <w:r w:rsidR="007A3FFE" w:rsidRPr="007A3FF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rawulizumabem</w:t>
            </w:r>
            <w:proofErr w:type="spellEnd"/>
            <w:r w:rsidR="007A3FFE" w:rsidRPr="007A3FF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="007A3FFE" w:rsidRPr="007A3FF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ekulizumabem</w:t>
            </w:r>
            <w:proofErr w:type="spellEnd"/>
            <w:r w:rsidR="0078648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="0078648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krowalimabem</w:t>
            </w:r>
            <w:proofErr w:type="spellEnd"/>
            <w:r w:rsid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1C7D56A" w14:textId="70CCCE72" w:rsidR="00C70BA5" w:rsidRPr="00C36BE5" w:rsidRDefault="002540F9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wiek ≥18 lat</w:t>
            </w:r>
            <w:r w:rsid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  <w:r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F390501" w14:textId="3B30A4B6" w:rsidR="002540F9" w:rsidRPr="00C36BE5" w:rsidRDefault="002540F9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obecność niedokrwistości w trakcie leczenia inhibitorem C5 przez co najmniej 3 miesiące</w:t>
            </w:r>
            <w:r w:rsidR="008E35C6"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E35C6"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 pacjentów, którzy w chwili rozpoczęcia leczenia inhibitorem C5 spełniali kryteria kwalifikacji do programu lekowego</w:t>
            </w:r>
            <w:r w:rsid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0D6AD3F" w14:textId="542B9FF3" w:rsidR="00FE53DE" w:rsidRPr="00C36BE5" w:rsidRDefault="00CC4E84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nieobecność niewyleczonego zakażenia wywołanego przez bakterie otoczkowe, w tym </w:t>
            </w:r>
            <w:proofErr w:type="spellStart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Neisseria</w:t>
            </w:r>
            <w:proofErr w:type="spellEnd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meningitidis</w:t>
            </w:r>
            <w:proofErr w:type="spellEnd"/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Streptococcus</w:t>
            </w:r>
            <w:proofErr w:type="spellEnd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pneumoniae</w:t>
            </w:r>
            <w:proofErr w:type="spellEnd"/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Haemophilus</w:t>
            </w:r>
            <w:proofErr w:type="spellEnd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influenzae</w:t>
            </w:r>
            <w:proofErr w:type="spellEnd"/>
            <w:r w:rsidR="00C36BE5"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DD9C7A9" w14:textId="0ADCE2A7" w:rsidR="00FE53DE" w:rsidRPr="00C36BE5" w:rsidRDefault="00FE53DE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wykonanie obowiązkowego szczepienia przeciw </w:t>
            </w:r>
            <w:proofErr w:type="spellStart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Neisseria</w:t>
            </w:r>
            <w:proofErr w:type="spellEnd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meningitidis</w:t>
            </w:r>
            <w:proofErr w:type="spellEnd"/>
            <w:r w:rsidR="00A92F41"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(o ile wymagane jest powtórzenie kolejnego szczepienia)</w:t>
            </w:r>
            <w:r w:rsidR="004659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oraz</w:t>
            </w:r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Streptococcus</w:t>
            </w:r>
            <w:proofErr w:type="spellEnd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pneumoniae</w:t>
            </w:r>
            <w:proofErr w:type="spellEnd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Haemophilus</w:t>
            </w:r>
            <w:proofErr w:type="spellEnd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45FC7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influenzae</w:t>
            </w:r>
            <w:proofErr w:type="spellEnd"/>
            <w:r w:rsidR="007A3FFE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7A3FFE" w:rsidRPr="007A3FFE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(o ile wymagane jest powtórzenie kolejnego szczepienia)</w:t>
            </w:r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r w:rsidRP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 przypadku konieczności wdrożenia leczenia przed upływem 2 tygodni po wykonaniu szczepień - profilaktyka antybiotykowa przez okres 2 tygodni od momentu zaszczepienia</w:t>
            </w:r>
            <w:r w:rsidR="00C36BE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F7383FF" w14:textId="28A41235" w:rsidR="002540F9" w:rsidRPr="00C36BE5" w:rsidRDefault="002540F9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 przypadku kobiet wymagana jest zgoda na świadomą kontrolę urodzeń, zgodnie z aktualną Charakterystyką Produktu Leczniczego (zwanej dalej ChPL) leku, którym odbywa się leczenie w programie lekowym</w:t>
            </w:r>
            <w:r w:rsidR="00C36BE5"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66028E9" w14:textId="395B486E" w:rsidR="002540F9" w:rsidRPr="00C36BE5" w:rsidRDefault="002540F9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nieobecność istotnych schorzeń współistniejących stanowiących przeciwskazanie do terapii stwierdzonych przez lekarza prowadzącego w oparciu o aktualną ChPL</w:t>
            </w:r>
            <w:r w:rsidR="00C36BE5"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C155D6E" w14:textId="752D4FED" w:rsidR="002540F9" w:rsidRPr="00C36BE5" w:rsidRDefault="002540F9" w:rsidP="00A72CE9">
            <w:pPr>
              <w:pStyle w:val="Akapitzlist"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A86A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brak przeciwwskazań do stosowania określonej w aktualnej ChPL substancji czynnej ujętej w programie lekowym.</w:t>
            </w:r>
          </w:p>
          <w:p w14:paraId="1AAE2A0B" w14:textId="30FF76BD" w:rsidR="002540F9" w:rsidRDefault="002540F9" w:rsidP="001E7C9A">
            <w:pPr>
              <w:spacing w:after="60" w:line="276" w:lineRule="auto"/>
              <w:jc w:val="both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C36BE5">
              <w:rPr>
                <w:rFonts w:ascii="Times New Roman" w:eastAsia="Malgun Gothic" w:hAnsi="Times New Roman" w:cs="Times New Roman"/>
                <w:sz w:val="20"/>
                <w:szCs w:val="20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608894EC" w14:textId="77777777" w:rsidR="001823BC" w:rsidRPr="00C36BE5" w:rsidRDefault="001823BC" w:rsidP="00E14577">
            <w:pPr>
              <w:spacing w:after="60" w:line="276" w:lineRule="auto"/>
              <w:jc w:val="both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  <w:p w14:paraId="12FFFE8E" w14:textId="77777777" w:rsidR="002540F9" w:rsidRPr="00514AA5" w:rsidRDefault="002540F9" w:rsidP="00E14577">
            <w:pPr>
              <w:pStyle w:val="Akapitzlist"/>
              <w:numPr>
                <w:ilvl w:val="1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14AA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programie</w:t>
            </w:r>
          </w:p>
          <w:p w14:paraId="01D558AB" w14:textId="6F42747D" w:rsidR="002540F9" w:rsidRDefault="001E7C9A" w:rsidP="00E14577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2540F9" w:rsidRPr="00AD07C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eczenie trwa do czasu podjęcia przez Zespół Koordynacyjny lub lekarza prowadzącego decyzji o wyłączeniu świadczeniobiorcy z programu, zgodnie z kryteriami wyłączenia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7383DC8" w14:textId="4D6A604A" w:rsidR="00E75CE1" w:rsidRPr="00F45ED6" w:rsidRDefault="00E75CE1" w:rsidP="00E14577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przypadku braku odpowiedzi na leczenie, wystąpienia działań niepożądanych lub przeciwskazań do stosowania </w:t>
            </w:r>
            <w:proofErr w:type="spellStart"/>
            <w:r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pegcetakoplan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</w:t>
            </w:r>
            <w:proofErr w:type="spellEnd"/>
            <w:r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 Zespół Koordynacyjny może podjąć decyzję o zmianie leku w ramach programu lekowego</w:t>
            </w:r>
            <w:r w:rsidR="00E14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0B74BBE" w14:textId="72EE4EB8" w:rsidR="002540F9" w:rsidRPr="00F45ED6" w:rsidRDefault="00885AFB" w:rsidP="00E14577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2540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espół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2540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oordynacyjny ds. Leczenia Nocnej Napadowej Hemoglobinurii podejmuje decyzje o możliwości czasowego przerwania profilaktycznego leczenia </w:t>
            </w:r>
            <w:proofErr w:type="spellStart"/>
            <w:r w:rsidR="009265C2" w:rsidRPr="009265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pegcetakoplanem</w:t>
            </w:r>
            <w:proofErr w:type="spellEnd"/>
            <w:r w:rsidR="009265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540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6 miesiącach leczenia u chorych z niższym ryzykiem nawrotu choroby, u których uzyskano remisję objawów i powrót prawidłowej funkcji narządów wewnętrznych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 Z</w:t>
            </w:r>
            <w:r w:rsidR="002540F9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awieszenie leczenia w każdym czasie wymaga zgłoszenia przez ośrodek leczący i akceptacji przez Zespół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70FA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2540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</w:t>
            </w:r>
            <w:r w:rsidR="00E14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2E1BDFF" w14:textId="3B4EE4DA" w:rsidR="002540F9" w:rsidRDefault="001E7C9A" w:rsidP="00E14577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c</w:t>
            </w:r>
            <w:r w:rsidR="002540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horzy, u których konieczne jest ponowne włączenie leczenia po decyzji Zespołu </w:t>
            </w:r>
            <w:r w:rsidR="004921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2540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oordynacyjnego 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będą </w:t>
            </w:r>
            <w:r w:rsidR="002540F9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ponownie 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włączani</w:t>
            </w:r>
            <w:r w:rsidR="002540F9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do podawania </w:t>
            </w:r>
            <w:proofErr w:type="spellStart"/>
            <w:r w:rsidR="009265C2" w:rsidRPr="009265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pegcetakoplan</w:t>
            </w:r>
            <w:r w:rsidR="009265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</w:t>
            </w:r>
            <w:proofErr w:type="spellEnd"/>
            <w:r w:rsidR="002540F9" w:rsidRPr="00F87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 podstawie zgłoszenia lekarza prowadzącego do </w:t>
            </w:r>
            <w:r w:rsidR="002540F9" w:rsidRP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elektronicz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nego</w:t>
            </w:r>
            <w:r w:rsidR="002540F9" w:rsidRP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system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2540F9" w:rsidRPr="00735E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monitorowania programów lekowych</w:t>
            </w:r>
            <w:r w:rsidR="002540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DBFC469" w14:textId="77777777" w:rsidR="001823BC" w:rsidRPr="001823BC" w:rsidRDefault="001823BC" w:rsidP="00E14577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38372691" w14:textId="77777777" w:rsidR="009265C2" w:rsidRPr="00514AA5" w:rsidRDefault="009265C2" w:rsidP="00F22740">
            <w:pPr>
              <w:pStyle w:val="Akapitzlist"/>
              <w:numPr>
                <w:ilvl w:val="1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514AA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</w:t>
            </w:r>
          </w:p>
          <w:p w14:paraId="43D87BBB" w14:textId="4DB282B1" w:rsidR="00B47F02" w:rsidRPr="00B47F02" w:rsidRDefault="00B47F0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B47F0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brak efektu leczenia 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weryfik</w:t>
            </w:r>
            <w:r w:rsid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owanego</w:t>
            </w:r>
            <w:r w:rsidR="001378F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378F3" w:rsidRPr="001378F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3 miesiącach od rozpoczęcia terapii, a następnie po każdych kolejnych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6 miesi</w:t>
            </w:r>
            <w:r w:rsidR="001378F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ącach</w:t>
            </w:r>
            <w:r w:rsidR="00091FE7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oparciu o ocenę stanu klinicznego świadczeniobiorcy</w:t>
            </w:r>
            <w:r w:rsidR="00733B5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(np. utrzymywanie się objawów aktywnej </w:t>
            </w:r>
            <w:r w:rsidR="00E45FC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hemolizy, </w:t>
            </w:r>
            <w:r w:rsidR="00733B5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stabilizacji stężenia hemoglobiny, utrzymywanie się znacznego zmęczenia i brak poprawy jakości życia)</w:t>
            </w:r>
            <w:r w:rsidR="00733B56" w:rsidRPr="00091FE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5380C75" w14:textId="39A1871B" w:rsidR="009265C2" w:rsidRDefault="009265C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ciąża – jeśli leczenie nie jest bezwzględnie konieczne</w:t>
            </w:r>
            <w:r w:rsid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75CE1"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(wymaga zgłoszenia przez lekarza prowadzącego i akceptacji przez Zespół </w:t>
            </w:r>
            <w:r w:rsidR="00885A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E75CE1"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oordynacyjny)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A5E41A5" w14:textId="5828D6F3" w:rsidR="009265C2" w:rsidRPr="00E75CE1" w:rsidRDefault="009265C2" w:rsidP="00E75CE1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265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karmienie piersią</w:t>
            </w:r>
            <w:r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518835F" w14:textId="397D97BB" w:rsidR="003072DA" w:rsidRPr="00FB029C" w:rsidRDefault="00057345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B029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przeszczepienie allogenicznych krwiotwórczych komórek macierzystych (</w:t>
            </w:r>
            <w:proofErr w:type="spellStart"/>
            <w:r w:rsidR="003072DA" w:rsidRPr="00FB029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allo</w:t>
            </w:r>
            <w:proofErr w:type="spellEnd"/>
            <w:r w:rsidR="003072DA" w:rsidRPr="00FB029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-HSCT</w:t>
            </w:r>
            <w:r w:rsidRPr="00FB029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3072DA" w:rsidRPr="00FB029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B98B48F" w14:textId="77777777" w:rsidR="009265C2" w:rsidRDefault="009265C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265C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wystąpienie chorób lub stanów, które w opinii Zespołu Koordynacyjnego lub lekarza prowadzącego uniemożliwiają dalsze prowadzenie leczenia;</w:t>
            </w:r>
          </w:p>
          <w:p w14:paraId="13604AEB" w14:textId="77777777" w:rsidR="009265C2" w:rsidRDefault="009265C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265C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wystąpienie objawów nadwrażliwości na którąkolwiek substancję czynną lub substancję pomocniczą;</w:t>
            </w:r>
          </w:p>
          <w:p w14:paraId="284B5927" w14:textId="77777777" w:rsidR="009265C2" w:rsidRDefault="009265C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265C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wystąpienie toksyczności wymagającej zakończenia leczenia w opinii Zespołu Koordynacyjnego lub lekarza prowadzącego zgodnie z aktualną ChPL;</w:t>
            </w:r>
          </w:p>
          <w:p w14:paraId="77F55153" w14:textId="77777777" w:rsidR="009265C2" w:rsidRDefault="009265C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265C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pogorszenie jakości życia o istotnym znaczeniu według oceny lekarza;</w:t>
            </w:r>
          </w:p>
          <w:p w14:paraId="7BB92A4C" w14:textId="77777777" w:rsidR="002540F9" w:rsidRDefault="009265C2" w:rsidP="00A72CE9">
            <w:pPr>
              <w:pStyle w:val="Akapitzlist"/>
              <w:numPr>
                <w:ilvl w:val="0"/>
                <w:numId w:val="31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265C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lastRenderedPageBreak/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1D57038A" w14:textId="77777777" w:rsidR="00E14577" w:rsidRPr="00E14577" w:rsidRDefault="00E14577" w:rsidP="00E14577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329754BC" w14:textId="77777777" w:rsidR="00B83DBD" w:rsidRPr="00C77E14" w:rsidRDefault="00B83DBD" w:rsidP="00E14577">
            <w:pPr>
              <w:pStyle w:val="Akapitzlist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</w:t>
            </w:r>
            <w:proofErr w:type="spellStart"/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danikopanem</w:t>
            </w:r>
            <w:proofErr w:type="spellEnd"/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rawulizumabem</w:t>
            </w:r>
            <w:proofErr w:type="spellEnd"/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ekulizumabem</w:t>
            </w:r>
            <w:proofErr w:type="spellEnd"/>
          </w:p>
          <w:p w14:paraId="729A90E0" w14:textId="77777777" w:rsidR="00B83DBD" w:rsidRPr="00C77E14" w:rsidRDefault="00B83DBD" w:rsidP="00F22740">
            <w:pPr>
              <w:pStyle w:val="Akapitzlist"/>
              <w:numPr>
                <w:ilvl w:val="1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Kryteria kwalifikacji </w:t>
            </w:r>
          </w:p>
          <w:p w14:paraId="2EB4E6C0" w14:textId="77777777" w:rsidR="00B83DBD" w:rsidRPr="00C77E14" w:rsidRDefault="00B83DBD" w:rsidP="00B83DBD">
            <w:pPr>
              <w:autoSpaceDE w:val="0"/>
              <w:autoSpaceDN w:val="0"/>
              <w:adjustRightInd w:val="0"/>
              <w:spacing w:after="60" w:line="276" w:lineRule="auto"/>
              <w:ind w:left="-4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Do programu kwalifikowani są pacjenci spełniający łącznie następujące kryteria:</w:t>
            </w:r>
          </w:p>
          <w:p w14:paraId="6D051383" w14:textId="77777777" w:rsidR="00B83DBD" w:rsidRPr="00C77E14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zdiagnozowana nocna napadowa hemoglobinuria z obecnością klonu PNH &gt;1% oznaczonego w badaniu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cytometrii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przepływowej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przy kwalifikacji do leczenia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6CA7888" w14:textId="77777777" w:rsidR="00B83DBD" w:rsidRPr="00C77E14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wiek ≥18 lat; </w:t>
            </w:r>
          </w:p>
          <w:p w14:paraId="507EE1A1" w14:textId="77777777" w:rsidR="00B83DBD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obecność resztkowej niedokrwistości hemolitycznej u pacjentów, którzy przez co najmniej 3 ostatnie miesiące leczeni byli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rawulizumabem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EA2D0CE" w14:textId="77777777" w:rsidR="00B83DBD" w:rsidRPr="00AB7428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nieobecność niewyleczonego zakażenia wywołanego przez bakterie otoczkowe, w tym </w:t>
            </w:r>
            <w:proofErr w:type="spellStart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Neisseria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meningitidis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Streptococcus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pneumoniae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i </w:t>
            </w:r>
            <w:proofErr w:type="spellStart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Haemophilus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influenzae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7313738" w14:textId="22A70540" w:rsidR="00B83DBD" w:rsidRPr="00AB7428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wykonanie obowiązkowego szczepienia przeciw </w:t>
            </w:r>
            <w:proofErr w:type="spellStart"/>
            <w:r w:rsidRPr="00AB7428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Neisseria</w:t>
            </w:r>
            <w:proofErr w:type="spellEnd"/>
            <w:r w:rsidRPr="00AB7428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B7428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pl-PL"/>
              </w:rPr>
              <w:t>meningitidis</w:t>
            </w:r>
            <w:proofErr w:type="spellEnd"/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(o ile wymagane jest powtórzenie kolejnego szczepienia)</w:t>
            </w:r>
            <w:r w:rsidR="0010587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4659C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AB742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 przypadku konieczności wdrożenia leczenia przed upływem 2 tygodni po wykonaniu szczepień - profilaktyka antybiotykowa przez okres 2 tygodni od momentu zaszczepienia;</w:t>
            </w:r>
          </w:p>
          <w:p w14:paraId="762024A6" w14:textId="77777777" w:rsidR="00B83DBD" w:rsidRPr="00C77E14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w przypadku kobiet oraz poddanych leczeniu mężczyzn będących partnerami kobiet w wieku rozrodczym wymagana jest zgoda na świadomą kontrolę urodzeń, zgodnie z aktualną Charakterystyką Produktu Leczniczego (zwanej dalej ChPL) leku, którym odbywa się leczenie w programie lekowym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A2AF52E" w14:textId="77777777" w:rsidR="00B83DBD" w:rsidRPr="00C77E14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nieobecność istotnych schorzeń współistniejących stanowiących przeciwskazanie do terapii stwierdzonych przez lekarza prowadzącego w oparciu o aktualną ChPL;</w:t>
            </w:r>
          </w:p>
          <w:p w14:paraId="6D0CCFBB" w14:textId="77777777" w:rsidR="00B83DBD" w:rsidRPr="00C77E14" w:rsidRDefault="00B83DBD" w:rsidP="00E14577">
            <w:pPr>
              <w:pStyle w:val="Akapitzlist"/>
              <w:numPr>
                <w:ilvl w:val="0"/>
                <w:numId w:val="4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przeciwwskazań do stosowania określonej w aktualnej ChPL substancji czynnej ujętej w programie lekowym.</w:t>
            </w:r>
          </w:p>
          <w:p w14:paraId="1F8A39F6" w14:textId="77777777" w:rsidR="00B83DBD" w:rsidRPr="00C77E14" w:rsidRDefault="00B83DBD" w:rsidP="00E1457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Ponadto do programu lekowego kwalifikowani są pacjenci wymagający kontynuacji leczenia, którzy byli leczeni substancjami czynnymi finansowanymi w programie lekowym w ramach innego sposobu finansowania terapii, pod warunkiem, że w chwili rozpoczęcia leczenia spełniali kryteria kwalifikacji do programu lekowego</w:t>
            </w:r>
          </w:p>
          <w:p w14:paraId="14DE641E" w14:textId="77777777" w:rsidR="00B83DBD" w:rsidRPr="00C77E14" w:rsidRDefault="00B83DBD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  <w:p w14:paraId="32B38CE5" w14:textId="77777777" w:rsidR="00B83DBD" w:rsidRPr="00C77E14" w:rsidRDefault="00B83DBD" w:rsidP="00F22740">
            <w:pPr>
              <w:pStyle w:val="Akapitzlist"/>
              <w:numPr>
                <w:ilvl w:val="1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18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programie</w:t>
            </w:r>
          </w:p>
          <w:p w14:paraId="2D30F74C" w14:textId="5C81CAE7" w:rsidR="00B83DBD" w:rsidRPr="00C77E14" w:rsidRDefault="00B83DBD" w:rsidP="00B83DBD">
            <w:pPr>
              <w:pStyle w:val="Akapitzlist"/>
              <w:numPr>
                <w:ilvl w:val="0"/>
                <w:numId w:val="4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leczenie trwa do czasu podjęcia przez Zespół Koordynacyjny lub lekarza prowadzącego decyzji o wyłączeniu świadczeniobiorcy z programu, zgodnie z kryteriami wyłączenia;</w:t>
            </w:r>
          </w:p>
          <w:p w14:paraId="4A8BEABC" w14:textId="4579C309" w:rsidR="00B83DBD" w:rsidRPr="00C77E14" w:rsidRDefault="007B64C3" w:rsidP="00B83DBD">
            <w:pPr>
              <w:pStyle w:val="Akapitzlist"/>
              <w:numPr>
                <w:ilvl w:val="0"/>
                <w:numId w:val="4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espół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</w:t>
            </w:r>
            <w:r w:rsidR="00A01EB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podejmuje decyzje o możliwości czasowego przerwania profilaktycznego leczenia </w:t>
            </w:r>
            <w:proofErr w:type="spellStart"/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danikopanem</w:t>
            </w:r>
            <w:proofErr w:type="spellEnd"/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rawulizumabem</w:t>
            </w:r>
            <w:proofErr w:type="spellEnd"/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ekulizumabem</w:t>
            </w:r>
            <w:proofErr w:type="spellEnd"/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 6 miesiącach leczenia u chorych z niższym ryzykiem nawrotu choroby, u których uzyskano remisję objawów i powrót prawidłowej </w:t>
            </w:r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funkcji narządów wewnętrznych. Zawieszenie leczenia w każdym czasie wymaga zgłoszenia przez ośrodek leczący i akceptacji przez Zespół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B83DBD"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oordynacyjny;</w:t>
            </w:r>
          </w:p>
          <w:p w14:paraId="74B91D1D" w14:textId="3B51410B" w:rsidR="00B83DBD" w:rsidRPr="00C77E14" w:rsidRDefault="00B83DBD" w:rsidP="00B83DBD">
            <w:pPr>
              <w:pStyle w:val="Akapitzlist"/>
              <w:numPr>
                <w:ilvl w:val="0"/>
                <w:numId w:val="4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przypadku przerwania leczenia dawkę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danikopanu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należy zmniejszać w ciągu 6 dni aż do całkowitego odstawienia produktu leczniczego zgodnie z Charakterystyką Produktu Leczniczego</w:t>
            </w:r>
            <w:r w:rsidR="00E14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C9ED42C" w14:textId="373911AC" w:rsidR="00B83DBD" w:rsidRPr="00C77E14" w:rsidRDefault="00B83DBD" w:rsidP="00B83DBD">
            <w:pPr>
              <w:pStyle w:val="Akapitzlist"/>
              <w:numPr>
                <w:ilvl w:val="0"/>
                <w:numId w:val="44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chorzy, u których konieczne jest ponowne włączenie leczenia po decyzji Zespołu </w:t>
            </w:r>
            <w:r w:rsidR="007B64C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oordynacyjnego będą ponownie włączani do podawania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danikopanu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rawulizumabem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ekulizumabem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 podstawie zgłoszenia lekarza prowadzącego do elektronicznego systemu monitorowania programów lekowych.</w:t>
            </w:r>
          </w:p>
          <w:p w14:paraId="743E98E3" w14:textId="77777777" w:rsidR="00B83DBD" w:rsidRPr="00C77E14" w:rsidRDefault="00B83DBD" w:rsidP="00B83DBD">
            <w:pPr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07C34E0" w14:textId="77777777" w:rsidR="00B83DBD" w:rsidRPr="00C77E14" w:rsidRDefault="00B83DBD" w:rsidP="00F22740">
            <w:pPr>
              <w:pStyle w:val="Akapitzlist"/>
              <w:numPr>
                <w:ilvl w:val="1"/>
                <w:numId w:val="7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 wyłączenia</w:t>
            </w:r>
          </w:p>
          <w:p w14:paraId="58054B51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 efektu leczenia weryfikowanego po 3 miesiącach od rozpoczęcia terapii, a następnie po każdych kolejnych 6 miesiącach w oparciu o ocenę stanu klinicznego świadczeniobiorcy (np. utrzymywanie się objawów aktywnej hemolizy, brak stabilizacji stężenia hemoglobiny, utrzymywanie się znacznego zmęczenia i brak poprawy jakości życia);</w:t>
            </w:r>
          </w:p>
          <w:p w14:paraId="5E274960" w14:textId="4C7AF831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ciąża – jeśli leczenie nie jest bezwzględnie konieczne</w:t>
            </w:r>
            <w:r w:rsidR="00397F5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7F53"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(wymaga zgłoszenia przez lekarza prowadzącego i akceptacji przez Zespół </w:t>
            </w:r>
            <w:r w:rsidR="00397F5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397F53" w:rsidRPr="00E75CE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oordynacyjny)</w:t>
            </w: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436D7BF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karmienie piersią;</w:t>
            </w:r>
          </w:p>
          <w:p w14:paraId="66FF7521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przeszczepienie allogenicznych krwiotwórczych komórek macierzystych (</w:t>
            </w:r>
            <w:proofErr w:type="spellStart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allo</w:t>
            </w:r>
            <w:proofErr w:type="spellEnd"/>
            <w:r w:rsidRPr="00C77E1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-HSCT);</w:t>
            </w:r>
          </w:p>
          <w:p w14:paraId="713D5C69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lastRenderedPageBreak/>
              <w:t>wystąpienie chorób lub stanów, które w opinii Zespołu Koordynacyjnego lub lekarza prowadzącego uniemożliwiają dalsze prowadzenie leczenia;</w:t>
            </w:r>
          </w:p>
          <w:p w14:paraId="5A0F17C9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wystąpienie objawów nadwrażliwości na którąkolwiek substancję czynną lub substancję pomocniczą;</w:t>
            </w:r>
          </w:p>
          <w:p w14:paraId="10106CBD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wystąpienie toksyczności wymagającej zakończenia leczenia w opinii Zespołu Koordynacyjnego lub lekarza prowadzącego zgodnie z aktualną ChPL;</w:t>
            </w:r>
          </w:p>
          <w:p w14:paraId="612845A8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pogorszenie jakości życia o istotnym znaczeniu według oceny lekarza;</w:t>
            </w:r>
          </w:p>
          <w:p w14:paraId="6105244F" w14:textId="77777777" w:rsidR="00B83DBD" w:rsidRPr="00C77E14" w:rsidRDefault="00B83DBD" w:rsidP="00B83DBD">
            <w:pPr>
              <w:pStyle w:val="Akapitzlist"/>
              <w:numPr>
                <w:ilvl w:val="0"/>
                <w:numId w:val="4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7E14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08AF6F67" w14:textId="47EE22BB" w:rsidR="001823BC" w:rsidRPr="001823BC" w:rsidRDefault="001823BC" w:rsidP="00F22740">
            <w:pPr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7" w:type="pct"/>
          </w:tcPr>
          <w:p w14:paraId="7CB3700A" w14:textId="77777777" w:rsidR="00B15BEA" w:rsidRDefault="008D7754" w:rsidP="00E14577">
            <w:pPr>
              <w:pStyle w:val="Akapitzlist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589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Pr="0045589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5442B77" w14:textId="69479E51" w:rsidR="00B83FC5" w:rsidRPr="000F2CBF" w:rsidRDefault="00B15BEA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="008D7754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kulizumab</w:t>
            </w:r>
            <w:proofErr w:type="spellEnd"/>
            <w:r w:rsidR="00C74648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C74648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</w:t>
            </w:r>
            <w:r w:rsidR="008D7754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awulizumab</w:t>
            </w:r>
            <w:proofErr w:type="spellEnd"/>
            <w:r w:rsidR="002B65E9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1637F5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krowalimab</w:t>
            </w:r>
            <w:proofErr w:type="spellEnd"/>
            <w:r w:rsidR="00165BB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="00C74648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pegcetakoplan</w:t>
            </w:r>
            <w:proofErr w:type="spellEnd"/>
            <w:r w:rsidR="00C74648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B06A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oraz </w:t>
            </w:r>
            <w:proofErr w:type="spellStart"/>
            <w:r w:rsidR="002B65E9" w:rsidRPr="00276F01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danikopan</w:t>
            </w:r>
            <w:proofErr w:type="spellEnd"/>
            <w:r w:rsidR="00AB06A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 podawać</w:t>
            </w:r>
            <w:r w:rsidR="002B65E9" w:rsidRPr="0045589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D7754" w:rsidRPr="0045589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zgodnie 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dawkowaniem określonym w </w:t>
            </w:r>
            <w:r w:rsidR="008D7754" w:rsidRPr="0045589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aktualn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8D7754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 dzień wydania decyzji Charakterysty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ce</w:t>
            </w:r>
            <w:r w:rsidR="008D7754" w:rsidRPr="000F2CB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Produktu Leczniczego.</w:t>
            </w:r>
            <w:r w:rsidR="00B83FC5" w:rsidRPr="000F2C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4DD9799" w14:textId="52084E39" w:rsidR="008D7754" w:rsidRPr="00FE4A89" w:rsidRDefault="00B83FC5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E4A8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FE4A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ydłużenie czasu między dawkami lub przerwanie podawania możliwe na podstawie </w:t>
            </w:r>
            <w:r w:rsidR="00A16F5B" w:rsidRPr="00FE4A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decyzji </w:t>
            </w:r>
            <w:r w:rsidRPr="00FE4A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Zespołu Koordynacyjnego pod warunkiem monitorowania skuteczności leczenia.</w:t>
            </w:r>
          </w:p>
          <w:p w14:paraId="040D941D" w14:textId="63FFE544" w:rsidR="008D7754" w:rsidRPr="001763D3" w:rsidRDefault="00D23D33" w:rsidP="00A72CE9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C123FF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</w:t>
            </w:r>
            <w:r w:rsidR="008D7754" w:rsidRPr="00C123FF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kulizumab</w:t>
            </w:r>
            <w:proofErr w:type="spellEnd"/>
            <w:r w:rsidR="00E14577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Pr="00063493">
              <w:t xml:space="preserve"> </w:t>
            </w:r>
            <w:r w:rsidRPr="001763D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podawane dawki należy określić w oparciu o masę ciała pacjenta zgodnie z aktualną Charakterystyką Produktu Leczniczego</w:t>
            </w:r>
            <w:r w:rsidR="001E7C9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17F7D39C" w14:textId="65B21BA2" w:rsidR="008D7754" w:rsidRPr="008D7754" w:rsidRDefault="008D7754" w:rsidP="00A72CE9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dawka początkowa </w:t>
            </w:r>
            <w:r w:rsidR="008E35C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maksymalna </w:t>
            </w:r>
            <w:r w:rsidR="00212A1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to </w:t>
            </w:r>
            <w:r w:rsidR="001372C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6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00 mg</w:t>
            </w:r>
            <w:r w:rsidR="00A16F5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infuzji dożylnej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 co tydzień przez pierwsze 4 tygodnie</w:t>
            </w:r>
            <w:r w:rsidR="001E7C9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197DCE8F" w14:textId="06DB9671" w:rsidR="008D7754" w:rsidRDefault="008D7754" w:rsidP="00A72CE9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dawka podtrzymująca maksymalna</w:t>
            </w:r>
            <w:r w:rsidR="008E35C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to </w:t>
            </w:r>
            <w:r w:rsidR="00466B9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9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00 mg </w:t>
            </w:r>
            <w:r w:rsidR="00A16F5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infuzji dożylnej 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piątym tygodniu, a następnie dawka </w:t>
            </w:r>
            <w:r w:rsidR="00466B9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9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00 mg </w:t>
            </w:r>
            <w:r w:rsidR="00A16F5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infuzji dożylnej 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co 14 ± 2 dni.</w:t>
            </w:r>
          </w:p>
          <w:p w14:paraId="0013BF4C" w14:textId="77777777" w:rsidR="00FE4A89" w:rsidRPr="008D7754" w:rsidRDefault="00FE4A89" w:rsidP="00E14577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0A69F0FC" w14:textId="043CDF01" w:rsidR="008D7754" w:rsidRPr="008D7754" w:rsidRDefault="008D7754" w:rsidP="00E14577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8D7754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rawulizumab</w:t>
            </w:r>
            <w:proofErr w:type="spellEnd"/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- podawane dawki należy określić w oparciu o masę ciała pacjenta</w:t>
            </w:r>
            <w:r w:rsidR="0058658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zgodnie z aktualną </w:t>
            </w:r>
            <w:r w:rsidR="00586582"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Charakterystyką Produktu Leczniczego</w:t>
            </w:r>
            <w:r w:rsidR="001E7C9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1D4EAD65" w14:textId="7A11F194" w:rsidR="008D7754" w:rsidRPr="008D7754" w:rsidRDefault="00E65769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maksymalna </w:t>
            </w:r>
            <w:r w:rsidR="008D7754"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dawka nasycająca </w:t>
            </w:r>
            <w:r w:rsidR="0058658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to </w:t>
            </w:r>
            <w:r w:rsidR="008D7754"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3000 mg</w:t>
            </w:r>
            <w:r w:rsidR="0058658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podana w infuzji dożylnej</w:t>
            </w:r>
            <w:r w:rsidR="001E7C9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3ABF0736" w14:textId="649065E8" w:rsidR="00071DE2" w:rsidRDefault="00586582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maksymalna </w:t>
            </w:r>
            <w:r w:rsidR="008D7754"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dawka podtrzymująca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to 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3600 mg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podana w infuzji dożylnej. Pierwszą dawkę podtrzymującą należy podać 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D7754"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2 tygodnie po dawce nasycającej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 a kolejne dawki podtrzymujące należy podawać w infuzji dożylnej</w:t>
            </w:r>
            <w:r w:rsidR="008D7754"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co 8 tygodni</w:t>
            </w:r>
            <w:r w:rsidR="00E145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9F59095" w14:textId="77777777" w:rsidR="00E14577" w:rsidRDefault="00E14577" w:rsidP="00E14577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387EC974" w14:textId="3906F2FA" w:rsidR="00B15BEA" w:rsidRDefault="00B15BEA" w:rsidP="00E14577">
            <w:pPr>
              <w:numPr>
                <w:ilvl w:val="3"/>
                <w:numId w:val="2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krowalimab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podawane dawki należy określić w oparciu o masę ciała pacjenta zgodnie z aktualną Charakterystyką Produktu Leczniczego,</w:t>
            </w:r>
          </w:p>
          <w:p w14:paraId="7303476C" w14:textId="5AA43ABC" w:rsidR="00B15BEA" w:rsidRDefault="00B15BEA" w:rsidP="00E14577">
            <w:pPr>
              <w:numPr>
                <w:ilvl w:val="4"/>
                <w:numId w:val="2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jedna dawka nasycająca podawana w infuzji dożylnej (w dniu 1., następnie cztery dodatkowe dawki nasycające podawane co tydzień we wstrzyknięciu podskórnym (w dniu 2., 8., 15. i 22.),</w:t>
            </w:r>
          </w:p>
          <w:p w14:paraId="5FD7E3BB" w14:textId="3F72CA75" w:rsidR="00B15BEA" w:rsidRDefault="00B15BEA" w:rsidP="00E14577">
            <w:pPr>
              <w:numPr>
                <w:ilvl w:val="4"/>
                <w:numId w:val="2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pierwsza dawka podtrzymująca (w dniu 29.), a kolejne co 4 tygodnie we wstrzyknięciu podskórnym</w:t>
            </w:r>
            <w:r w:rsidR="00E14577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7BC1254" w14:textId="31CDB91B" w:rsidR="00FE4A89" w:rsidRDefault="00B15BEA" w:rsidP="00E14577">
            <w:pPr>
              <w:numPr>
                <w:ilvl w:val="4"/>
                <w:numId w:val="28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pacjentom, którzy zmieniają leczenie z uprzednio stosowanego inhibitora C5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krowalimab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pierwszą dożylną dawkę nasycającą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krowalimabu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należy podać w terminie kolejnego zaplanowanego podania uprzednio stosowanego inhibitora C5. Kolejne podskórne dawki nasycające i dawki podtrzymujące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krowalimabu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są  podawane zgodnie ze schematem przedstawionym w powyższych podpunktach a) oraz b).</w:t>
            </w:r>
          </w:p>
          <w:p w14:paraId="72BEA25E" w14:textId="77777777" w:rsidR="00E14577" w:rsidRPr="00B15BEA" w:rsidRDefault="00E14577" w:rsidP="00E14577">
            <w:pPr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715154" w14:textId="6F317CD2" w:rsidR="00071DE2" w:rsidRPr="008D7754" w:rsidRDefault="00675B39" w:rsidP="00E14577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p</w:t>
            </w:r>
            <w:r w:rsidR="00C74648" w:rsidRPr="00C7464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egcetakoplan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</w:p>
          <w:p w14:paraId="42C0474B" w14:textId="1AD33C77" w:rsidR="008D7754" w:rsidRPr="00143700" w:rsidRDefault="00071DE2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FA40A3" w:rsidRPr="00FA40A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108</w:t>
            </w:r>
            <w:r w:rsidRPr="008D775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0 mg</w:t>
            </w:r>
            <w:r w:rsidR="00FA40A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212A1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podawana w infuzj</w:t>
            </w:r>
            <w:r w:rsidR="00AA423E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212A1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podskórnej </w:t>
            </w:r>
            <w:r w:rsidR="00FA40A3" w:rsidRPr="00FA40A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dwa razy na tydzień</w:t>
            </w:r>
            <w:r w:rsidR="001E7C9A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39761530" w14:textId="085573FD" w:rsidR="00143700" w:rsidRDefault="00143700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lastRenderedPageBreak/>
              <w:t>p</w:t>
            </w:r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acjentom, którzy zmieniają leczenie inhibitorem C5 na </w:t>
            </w:r>
            <w:proofErr w:type="spellStart"/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pegcetakoplan</w:t>
            </w:r>
            <w:proofErr w:type="spellEnd"/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należy przez pierwsze 4 tygodnie podawać </w:t>
            </w:r>
            <w:proofErr w:type="spellStart"/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pegcetakoplan</w:t>
            </w:r>
            <w:proofErr w:type="spellEnd"/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dwa razy na tydzień </w:t>
            </w:r>
            <w:r w:rsidR="00212A19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w infuzji </w:t>
            </w:r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podskórn</w:t>
            </w:r>
            <w:r w:rsidR="00212A19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ej</w:t>
            </w:r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dawce 1080 mg dodatkowo do aktualnie przyjmowanej dawki inhibitora C5 w celu zminimalizowania ryzyka hemolizy po nagłym przerwaniu leczenia. Po 4 tygodniach należy przerwać stosowanie inhibitora C5, a następnie kontynuować</w:t>
            </w:r>
            <w:r w:rsidR="00B42A5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przyjmowanie</w:t>
            </w:r>
            <w:r w:rsidR="00B42A5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14370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pegcetakoplanu</w:t>
            </w:r>
            <w:proofErr w:type="spellEnd"/>
            <w:r w:rsidR="00212A19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w takiej samej dawce</w:t>
            </w:r>
            <w:r w:rsidR="00E1457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70577E47" w14:textId="77777777" w:rsidR="00E14577" w:rsidRPr="00143700" w:rsidRDefault="00E14577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0CD55458" w14:textId="463835B0" w:rsidR="0016251B" w:rsidRPr="0016251B" w:rsidRDefault="0016251B" w:rsidP="00E14577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16251B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danikopan</w:t>
            </w:r>
            <w:proofErr w:type="spellEnd"/>
            <w:r w:rsidRPr="0016251B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w skojarzeniu z </w:t>
            </w:r>
            <w:proofErr w:type="spellStart"/>
            <w:r w:rsidRPr="0016251B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rawulizumabem</w:t>
            </w:r>
            <w:proofErr w:type="spellEnd"/>
            <w:r w:rsidRPr="0016251B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lub </w:t>
            </w:r>
            <w:proofErr w:type="spellStart"/>
            <w:r w:rsidRPr="0016251B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ekulizumabem</w:t>
            </w:r>
            <w:proofErr w:type="spellEnd"/>
          </w:p>
          <w:p w14:paraId="6F116100" w14:textId="3537F254" w:rsidR="0016251B" w:rsidRPr="003308B2" w:rsidRDefault="0016251B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d</w:t>
            </w:r>
            <w:r w:rsidRPr="003308B2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anikopan</w:t>
            </w:r>
            <w:proofErr w:type="spellEnd"/>
            <w:r w:rsidRPr="003308B2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-</w:t>
            </w:r>
            <w:r w:rsidRPr="003308B2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zalecana dawka początkowa to 150 mg trzy razy na dobę, podawane doustnie w odstępie ok 8 godzin (+/- 2 godziny). W zależności od odpowiedzi klinicznej dawkę można zwiększyć do 200 mg 3 razy na dobę</w:t>
            </w:r>
            <w:r w:rsidR="00E1457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08C31D36" w14:textId="753C9555" w:rsidR="0016251B" w:rsidRPr="003308B2" w:rsidRDefault="0016251B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proofErr w:type="spellStart"/>
            <w:r w:rsidRPr="003308B2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ekulizumab</w:t>
            </w:r>
            <w:proofErr w:type="spellEnd"/>
            <w:r w:rsidR="00E14577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308B2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dawkowanie jak powyżej i </w:t>
            </w:r>
            <w:r w:rsidRPr="003308B2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zgodnie z aktualną Charakterystyką Produktu Leczniczego,</w:t>
            </w:r>
          </w:p>
          <w:p w14:paraId="40445CC9" w14:textId="5C19A30D" w:rsidR="0016251B" w:rsidRPr="003308B2" w:rsidRDefault="0016251B" w:rsidP="00E14577">
            <w:pPr>
              <w:numPr>
                <w:ilvl w:val="4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proofErr w:type="spellStart"/>
            <w:r w:rsidRPr="003308B2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rawulizumab</w:t>
            </w:r>
            <w:proofErr w:type="spellEnd"/>
            <w:r w:rsidRPr="003308B2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–</w:t>
            </w:r>
            <w:r w:rsidRPr="003308B2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dawkowanie </w:t>
            </w:r>
            <w:r w:rsidRPr="003308B2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zgodnie z aktualną Charakterystyką Produktu Leczniczego</w:t>
            </w:r>
            <w:r w:rsidR="00E1457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447CA36C" w14:textId="7C9640AB" w:rsidR="00E14577" w:rsidRDefault="0016251B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B42A5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Pacjent otrzymuje </w:t>
            </w:r>
            <w:proofErr w:type="spellStart"/>
            <w:r w:rsidR="00916770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>danikopan</w:t>
            </w:r>
            <w:proofErr w:type="spellEnd"/>
            <w:r w:rsidRPr="00B42A57"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  <w:t xml:space="preserve"> dla celów terapii domowej w ośrodku prowadzącym terapię w programie lekowym danego pacjenta na okres pomiędzy wizytami w ośrodku.</w:t>
            </w:r>
          </w:p>
          <w:p w14:paraId="347B3211" w14:textId="77777777" w:rsidR="00E14577" w:rsidRDefault="00E14577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44595DE1" w14:textId="01151D28" w:rsidR="00B15BEA" w:rsidRPr="0045589D" w:rsidRDefault="00B15BEA" w:rsidP="00E14577">
            <w:pPr>
              <w:pStyle w:val="Akapitzlist"/>
              <w:numPr>
                <w:ilvl w:val="0"/>
                <w:numId w:val="28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45589D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Kontynuacja leczenia w warunkach domowych w przypadku podań podskórnych</w:t>
            </w:r>
          </w:p>
          <w:p w14:paraId="020DA17F" w14:textId="38B851FF" w:rsidR="00C60C03" w:rsidRPr="00C60C03" w:rsidRDefault="00C60C03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Pr="00C60C0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acjent odbywa w ośrodku minimum trzy wizyty</w:t>
            </w:r>
            <w:r w:rsidR="0070267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02670" w:rsidRPr="00C60C0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od początku leczenia w odstępach zgodnych z dawkowaniem leku</w:t>
            </w:r>
            <w:r w:rsidRPr="00C60C0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w trakcie których następują pierwsze podania leku w warunkach </w:t>
            </w:r>
            <w:r w:rsidRPr="00C60C0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szpitalnych, (z wynikami badań i oceną efektywności leczenia). Następnie leczenie może być kontynuowane w warunkach domowych, jeśli lekarz i pacjent uznają to za właściwe. Wówczas możliwe jest wydawanie leku na okres pomiędzy wizytami w ośrodku.. Na pierwszej wizycie z podaniem leku w ośrodku pacjent lub opiekunowie prawni pacjenta otrzymują wyczerpującą informację na temat techniki podawania leku stosowanego podskórnie oraz potencjalnych objawach niepożądanych związanych ze stosowanym leczeniem.</w:t>
            </w:r>
          </w:p>
          <w:p w14:paraId="5FF92C2C" w14:textId="77777777" w:rsidR="00C60C03" w:rsidRPr="00C60C03" w:rsidRDefault="00C60C03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1020B804" w14:textId="7520862D" w:rsidR="008D7754" w:rsidRPr="00E76F51" w:rsidRDefault="00C60C03" w:rsidP="00E1457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60C03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Pacjent otrzymuje leki dla celów terapii domowej w ośrodku prowadzącym terapię w programie lekowym danego pacjenta na okres pomiędzy wizytami w ośrodku.</w:t>
            </w:r>
          </w:p>
        </w:tc>
        <w:tc>
          <w:tcPr>
            <w:tcW w:w="1667" w:type="pct"/>
          </w:tcPr>
          <w:p w14:paraId="6D0FCBE6" w14:textId="318924C4" w:rsidR="000F34A8" w:rsidRDefault="000F34A8" w:rsidP="001E7C9A">
            <w:pPr>
              <w:pStyle w:val="Akapitzlist"/>
              <w:numPr>
                <w:ilvl w:val="0"/>
                <w:numId w:val="1"/>
              </w:numPr>
              <w:spacing w:before="120" w:after="60" w:line="276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Leczenie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ekulizumabem</w:t>
            </w:r>
            <w:proofErr w:type="spellEnd"/>
          </w:p>
          <w:p w14:paraId="52403856" w14:textId="68D70256" w:rsidR="00097CEA" w:rsidRPr="000F34A8" w:rsidRDefault="00097CEA" w:rsidP="00E36697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b/>
                <w:sz w:val="20"/>
                <w:szCs w:val="20"/>
              </w:rPr>
              <w:t>Badania przy kwalifikacji</w:t>
            </w:r>
            <w:r w:rsidR="00986B20" w:rsidRPr="000F34A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04BE0EA4" w14:textId="77777777" w:rsidR="009A2A0C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A057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adanie granulocytów </w:t>
            </w:r>
            <w:r w:rsidR="000A3B50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02328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erytrocytów </w:t>
            </w:r>
            <w:r w:rsidR="00FA057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</w:t>
            </w:r>
            <w:proofErr w:type="spellStart"/>
            <w:r w:rsidR="00FA057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="00FA057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</w:t>
            </w:r>
            <w:r w:rsidR="002D5B0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</w:t>
            </w:r>
            <w:r w:rsidR="00FA057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od katem obecności klon</w:t>
            </w:r>
            <w:r w:rsidR="006F4E84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FA057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PNH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A44636D" w14:textId="5E3A0DBB" w:rsidR="00CA1D97" w:rsidRPr="00F45ED6" w:rsidRDefault="006301AC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test ciążowy </w:t>
            </w:r>
            <w:r w:rsidR="00F866BC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 kobiet w wieku rozrodczym</w:t>
            </w:r>
            <w:r w:rsidR="00CA1D97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CA708C3" w14:textId="4A8410E0" w:rsidR="00EF4B76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61367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ktywność</w:t>
            </w:r>
            <w:r w:rsidR="001122F3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15E4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dehydrogenazy mleczanowej </w:t>
            </w:r>
            <w:r w:rsidR="00986B20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1122F3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LDH</w:t>
            </w:r>
            <w:r w:rsidR="00986B20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F081B93" w14:textId="77777777" w:rsidR="001122F3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="001122F3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orfologia krwi obwodowej z rozmazem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5169E42" w14:textId="77777777" w:rsidR="004605DF" w:rsidRPr="00F45ED6" w:rsidRDefault="00B750CC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czas częściowej tromboplastyny po aktywacji (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APTT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FC22B3C" w14:textId="77777777" w:rsidR="004605DF" w:rsidRPr="00F45ED6" w:rsidRDefault="00B750CC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czas </w:t>
            </w:r>
            <w:proofErr w:type="spellStart"/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protrombinowy</w:t>
            </w:r>
            <w:proofErr w:type="spellEnd"/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PT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7016DCB" w14:textId="77777777" w:rsidR="004605DF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ibrynogen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CDDEC26" w14:textId="1DEC5359" w:rsidR="00B07645" w:rsidRPr="00F45ED6" w:rsidRDefault="00F70324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032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bezpośredni test </w:t>
            </w:r>
            <w:proofErr w:type="spellStart"/>
            <w:r w:rsidRPr="00F7032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antyglobulinowy</w:t>
            </w:r>
            <w:proofErr w:type="spellEnd"/>
            <w:r w:rsidRPr="00F7032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(BTA)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8B93AC2" w14:textId="77777777" w:rsidR="004605DF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znaczenie grupy krwi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50FECDB" w14:textId="59CD104A" w:rsidR="004605DF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tężenie kreatyniny w surowicy</w:t>
            </w:r>
            <w:r w:rsidR="00DD04F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EFE793C" w14:textId="3D9A73E9" w:rsidR="004605DF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tężenie mocznika w surowicy</w:t>
            </w:r>
            <w:r w:rsidR="00DD04F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67A7BF1" w14:textId="75A1BCD7" w:rsidR="004605DF" w:rsidRPr="00F45ED6" w:rsidRDefault="00937E84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aktywność </w:t>
            </w:r>
            <w:r w:rsidR="00D2480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D2480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D2480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D24802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3F180D9" w14:textId="1E10271C" w:rsidR="004605DF" w:rsidRPr="00F45ED6" w:rsidRDefault="00937E84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ilirubin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i bezpośredni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 w surowicy krwi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2E8FCCC" w14:textId="382942C7" w:rsidR="004605DF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tężenie </w:t>
            </w:r>
            <w:proofErr w:type="spellStart"/>
            <w:r w:rsidR="003A325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</w:t>
            </w:r>
            <w:r w:rsidR="0061367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aptoglobiny</w:t>
            </w:r>
            <w:proofErr w:type="spellEnd"/>
            <w:r w:rsidR="002B3FE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="002B3FE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Hp</w:t>
            </w:r>
            <w:proofErr w:type="spellEnd"/>
            <w:r w:rsidR="002B3FE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79193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surowicy krwi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F36CA3F" w14:textId="47884C99" w:rsidR="00CB413C" w:rsidRPr="00F45ED6" w:rsidRDefault="00CB413C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937E8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sodu w surowicy krwi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3F985D7" w14:textId="15CCF609" w:rsidR="004605DF" w:rsidRPr="00F45ED6" w:rsidRDefault="00CB413C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937E8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potasu w surowicy krwi</w:t>
            </w:r>
            <w:r w:rsidR="004003F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690505C" w14:textId="77777777" w:rsidR="004605DF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b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adanie ogólne moczu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967CFA8" w14:textId="52EF60A6" w:rsidR="003A3258" w:rsidRPr="00F45ED6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1122F3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adanie wolnej hemoglobiny w moczu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E965200" w14:textId="77777777" w:rsidR="001122F3" w:rsidRDefault="004003FF" w:rsidP="00E36697">
            <w:pPr>
              <w:pStyle w:val="Akapitzlist"/>
              <w:numPr>
                <w:ilvl w:val="0"/>
                <w:numId w:val="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adania obrazowe naczyń w przypadku podejrzenia zakrzepicy żylnej lub tętniczej lub incydentów zatorowych w zależności od umiejscowienia: </w:t>
            </w:r>
            <w:proofErr w:type="spellStart"/>
            <w:r w:rsidR="00A50E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ultrasonogram</w:t>
            </w:r>
            <w:proofErr w:type="spellEnd"/>
            <w:r w:rsidR="00A50E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USG</w:t>
            </w:r>
            <w:r w:rsidR="00A50E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r w:rsidR="00A50E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tomografia komputerowa (</w:t>
            </w:r>
            <w:r w:rsidR="00230B01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TK</w:t>
            </w:r>
            <w:r w:rsidR="00A50E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lub </w:t>
            </w:r>
            <w:r w:rsidR="00A50EF9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magnetyczny rezonans jądrowy (MRI)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5A8A2E0" w14:textId="77777777" w:rsidR="00FE4A89" w:rsidRPr="00FE4A89" w:rsidRDefault="00FE4A89" w:rsidP="001E7C9A">
            <w:pPr>
              <w:spacing w:after="60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D4881F" w14:textId="4AC199AB" w:rsidR="00EF4B76" w:rsidRPr="000F34A8" w:rsidRDefault="00EF4B76" w:rsidP="00A72CE9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b/>
                <w:sz w:val="20"/>
                <w:szCs w:val="20"/>
              </w:rPr>
              <w:t>Monitorowanie leczenia</w:t>
            </w:r>
          </w:p>
          <w:p w14:paraId="7F76B0A0" w14:textId="3CFBA381" w:rsidR="00D17380" w:rsidRPr="00F45ED6" w:rsidRDefault="001E7C9A" w:rsidP="00A72CE9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1367F" w:rsidRPr="00F45ED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tydzień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przez pierwsze 5 tygodni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762E024" w14:textId="339496EC" w:rsidR="003A3258" w:rsidRPr="00F45ED6" w:rsidRDefault="006B21DC" w:rsidP="00A72CE9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ktywność 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="003A3258" w:rsidRPr="00F45ED6">
              <w:rPr>
                <w:rFonts w:ascii="Times New Roman" w:hAnsi="Times New Roman" w:cs="Times New Roman"/>
                <w:sz w:val="20"/>
                <w:szCs w:val="20"/>
              </w:rPr>
              <w:t>LDH</w:t>
            </w: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73D7BD9" w14:textId="3BC64D4A" w:rsidR="004605DF" w:rsidRPr="00F45ED6" w:rsidRDefault="006B21DC" w:rsidP="00A72CE9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orfologia</w:t>
            </w:r>
            <w:r w:rsidR="0061367F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krwi obwodowej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z rozmazem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CC52B92" w14:textId="4ED78A96" w:rsidR="004605DF" w:rsidRPr="00F45ED6" w:rsidRDefault="00DD04FC" w:rsidP="00A72CE9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6B21DC" w:rsidRPr="00F45ED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3253DB6" w14:textId="356FF670" w:rsidR="004605DF" w:rsidRPr="00F45ED6" w:rsidRDefault="00DD04FC" w:rsidP="00A72CE9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CA1D97" w:rsidRPr="00F45ED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ocznik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w surowicy krwi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F6B4A5" w14:textId="37409EB3" w:rsidR="004605DF" w:rsidRPr="00F45ED6" w:rsidRDefault="00937E84" w:rsidP="00A72CE9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aktywność </w:t>
            </w:r>
            <w:r w:rsidR="00CA1D97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CA1D97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1D97" w:rsidRPr="00F45ED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CA1D97" w:rsidRPr="00F45ED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C7D0FC2" w14:textId="4D02D251" w:rsidR="00B07645" w:rsidRPr="00F45ED6" w:rsidRDefault="00937E84" w:rsidP="00A72CE9">
            <w:pPr>
              <w:pStyle w:val="Akapitzlist"/>
              <w:numPr>
                <w:ilvl w:val="0"/>
                <w:numId w:val="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CA1D97" w:rsidRPr="00F45E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ilirubin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 w surowicy krwi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4D25BF2" w14:textId="7F188447" w:rsidR="00211ACB" w:rsidRPr="00F45ED6" w:rsidRDefault="001E7C9A" w:rsidP="00A72CE9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>o 5 tygodniu, raz na dwa tygodnie lub częściej w uzasad</w:t>
            </w:r>
            <w:r w:rsidR="000A3B50" w:rsidRPr="00F45ED6">
              <w:rPr>
                <w:rFonts w:ascii="Times New Roman" w:hAnsi="Times New Roman" w:cs="Times New Roman"/>
                <w:sz w:val="20"/>
                <w:szCs w:val="20"/>
              </w:rPr>
              <w:t>nionych sytuacjach klinicznych:</w:t>
            </w:r>
          </w:p>
          <w:p w14:paraId="551E1DEB" w14:textId="64587D98" w:rsidR="00211ACB" w:rsidRPr="00F45ED6" w:rsidRDefault="00A50EF9" w:rsidP="00A72CE9">
            <w:pPr>
              <w:pStyle w:val="Akapitzlist"/>
              <w:numPr>
                <w:ilvl w:val="0"/>
                <w:numId w:val="3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ktywność </w:t>
            </w: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dehydrogenazy mleczanowej (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>LDH</w:t>
            </w: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F6E9363" w14:textId="26BD070E" w:rsidR="00B07645" w:rsidRPr="00F45ED6" w:rsidRDefault="00A50EF9" w:rsidP="00A72CE9">
            <w:pPr>
              <w:pStyle w:val="Akapitzlist"/>
              <w:numPr>
                <w:ilvl w:val="0"/>
                <w:numId w:val="3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07645" w:rsidRPr="00F45ED6">
              <w:rPr>
                <w:rFonts w:ascii="Times New Roman" w:hAnsi="Times New Roman" w:cs="Times New Roman"/>
                <w:sz w:val="20"/>
                <w:szCs w:val="20"/>
              </w:rPr>
              <w:t>orfologia krwi obwodowej</w:t>
            </w:r>
            <w:r w:rsidR="00E40EA2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z rozmazem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19470F" w14:textId="6BBACF68" w:rsidR="004605DF" w:rsidRPr="00F45ED6" w:rsidRDefault="001E7C9A" w:rsidP="00A72CE9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5 tygodniu, 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az na cztery tygodnie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lub częściej w</w:t>
            </w:r>
            <w:r w:rsidR="0061037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>uzasadnionych sytuacjach klinicznych</w:t>
            </w:r>
            <w:r w:rsidR="004605DF" w:rsidRPr="00F45ED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4C7DB4B" w14:textId="3487F7AA" w:rsidR="00B07645" w:rsidRPr="00F45ED6" w:rsidRDefault="00DD04FC" w:rsidP="00A72CE9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>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234CC13" w14:textId="0D1FA791" w:rsidR="006C3862" w:rsidRPr="00F45ED6" w:rsidRDefault="00DD04FC" w:rsidP="00A72CE9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>ocznik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w surowicy krwi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DACA874" w14:textId="0ED2C91B" w:rsidR="0061367F" w:rsidRPr="00F45ED6" w:rsidRDefault="00937E84" w:rsidP="00A72CE9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3C7549D" w14:textId="53069873" w:rsidR="00AC0A47" w:rsidRPr="00F45ED6" w:rsidRDefault="00937E84" w:rsidP="00A72CE9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906740" w:rsidRPr="00F45ED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>ilirubin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6C3862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 w surowicy krwi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05E925" w14:textId="0F1FD887" w:rsidR="00AC0A47" w:rsidRPr="00F45ED6" w:rsidRDefault="001E7C9A" w:rsidP="00A72CE9">
            <w:pPr>
              <w:pStyle w:val="Akapitzlist"/>
              <w:numPr>
                <w:ilvl w:val="0"/>
                <w:numId w:val="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AC0A47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adanie </w:t>
            </w:r>
            <w:r w:rsidR="00F71E5E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obecności klonów </w:t>
            </w:r>
            <w:r w:rsidR="00AC0A47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PNH</w:t>
            </w:r>
            <w:r w:rsidR="00F71E5E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</w:t>
            </w:r>
            <w:proofErr w:type="spellStart"/>
            <w:r w:rsidR="00F71E5E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="00F71E5E"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przepływowym:</w:t>
            </w:r>
          </w:p>
          <w:p w14:paraId="6ACE0FAC" w14:textId="6105EA0B" w:rsidR="00F71E5E" w:rsidRPr="00F45ED6" w:rsidRDefault="00F71E5E" w:rsidP="00A72CE9">
            <w:pPr>
              <w:pStyle w:val="Akapitzlist"/>
              <w:numPr>
                <w:ilvl w:val="0"/>
                <w:numId w:val="3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6 miesięcy po rozpoczęciu leczenia i następne </w:t>
            </w:r>
            <w:r w:rsidR="00E40EA2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1037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F45ED6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 przez okres 2 lat od rozpoznania</w:t>
            </w:r>
            <w:r w:rsidR="001E7C9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3C3483" w14:textId="19902EA0" w:rsidR="00211ACB" w:rsidRPr="00F45ED6" w:rsidRDefault="0050236E" w:rsidP="00A72CE9">
            <w:pPr>
              <w:pStyle w:val="Akapitzlist"/>
              <w:numPr>
                <w:ilvl w:val="0"/>
                <w:numId w:val="3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następnie 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co 12 </w:t>
            </w:r>
            <w:r w:rsidR="00E40EA2" w:rsidRPr="00F45ED6">
              <w:rPr>
                <w:rFonts w:ascii="Times New Roman" w:hAnsi="Times New Roman" w:cs="Times New Roman"/>
                <w:sz w:val="20"/>
                <w:szCs w:val="20"/>
              </w:rPr>
              <w:t xml:space="preserve">miesięcy 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>w przypadku stabilizacji choroby i</w:t>
            </w:r>
            <w:r w:rsidR="0061037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211ACB" w:rsidRPr="00F45ED6">
              <w:rPr>
                <w:rFonts w:ascii="Times New Roman" w:hAnsi="Times New Roman" w:cs="Times New Roman"/>
                <w:sz w:val="20"/>
                <w:szCs w:val="20"/>
              </w:rPr>
              <w:t>wielkości klonu</w:t>
            </w:r>
            <w:r w:rsidR="00E40EA2" w:rsidRPr="00F45E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6B78FAE" w14:textId="3DB39918" w:rsidR="00EF71D4" w:rsidRDefault="00EF71D4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celu wykrycia ciężkiej hemolizy i innych reakcji, każdego pacjenta odstawiającego </w:t>
            </w:r>
            <w:proofErr w:type="spellStart"/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ekulizumab</w:t>
            </w:r>
            <w:proofErr w:type="spellEnd"/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należy obserwować przez co najmniej 8</w:t>
            </w:r>
            <w:r w:rsidR="006103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F45ED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tygodni.</w:t>
            </w:r>
          </w:p>
          <w:p w14:paraId="6AA9FA55" w14:textId="15F2A483" w:rsidR="009E5589" w:rsidRPr="009E5589" w:rsidRDefault="00C71295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9E5589"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dokonać oceny skuteczności zastosowanej terapii po </w:t>
            </w:r>
            <w:r w:rsidR="0035164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9E5589"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miesiącach wg wskaźników zgodnych z pkt 1)  kryteriów wyłączenia</w:t>
            </w:r>
            <w:r w:rsidR="00450F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r w:rsidR="00450FF9" w:rsidRPr="00450F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 następnie po każdych kolejnych 6 miesiącach.</w:t>
            </w:r>
          </w:p>
          <w:p w14:paraId="5ABB8A9C" w14:textId="77777777" w:rsidR="009E5589" w:rsidRPr="009E5589" w:rsidRDefault="009E5589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103A2A8F" w14:textId="67C16547" w:rsidR="009E5589" w:rsidRDefault="009E5589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0AEC706C" w14:textId="77777777" w:rsidR="006E1D5D" w:rsidRPr="00F45ED6" w:rsidRDefault="006E1D5D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5A77E0C6" w14:textId="742DB23F" w:rsidR="0006667C" w:rsidRPr="000F34A8" w:rsidRDefault="000F34A8" w:rsidP="00E36697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0F34A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Leczenie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r</w:t>
            </w:r>
            <w:r w:rsidRPr="00514AA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a</w:t>
            </w:r>
            <w:r w:rsidR="0050236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Pr="00514AA5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ulizumab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pl-PL"/>
              </w:rPr>
              <w:t>em</w:t>
            </w:r>
            <w:proofErr w:type="spellEnd"/>
          </w:p>
          <w:p w14:paraId="43F6FD99" w14:textId="3DDEE0FC" w:rsidR="0006667C" w:rsidRPr="000F34A8" w:rsidRDefault="0006667C" w:rsidP="00E36697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b/>
                <w:sz w:val="20"/>
                <w:szCs w:val="20"/>
              </w:rPr>
              <w:t>Badania przy kwalifikacji:</w:t>
            </w:r>
          </w:p>
          <w:p w14:paraId="756B9F1C" w14:textId="73C87806" w:rsidR="0006667C" w:rsidRPr="002E0408" w:rsidRDefault="0006667C" w:rsidP="00E36697">
            <w:pPr>
              <w:pStyle w:val="Akapitzlist"/>
              <w:numPr>
                <w:ilvl w:val="2"/>
                <w:numId w:val="25"/>
              </w:numPr>
              <w:spacing w:after="60" w:line="276" w:lineRule="auto"/>
              <w:ind w:left="284" w:hanging="284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04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chorych, którzy niestosowali </w:t>
            </w:r>
            <w:proofErr w:type="spellStart"/>
            <w:r w:rsidRPr="002E0408">
              <w:rPr>
                <w:rFonts w:ascii="Times New Roman" w:hAnsi="Times New Roman" w:cs="Times New Roman"/>
                <w:b/>
                <w:sz w:val="20"/>
                <w:szCs w:val="20"/>
              </w:rPr>
              <w:t>ekulizumabu</w:t>
            </w:r>
            <w:proofErr w:type="spellEnd"/>
            <w:r w:rsidR="00E36697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5B18DE7B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adanie granulocytów oraz erytrocytów w </w:t>
            </w:r>
            <w:proofErr w:type="spellStart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 pod kątem obecności klonu PNH;</w:t>
            </w:r>
          </w:p>
          <w:p w14:paraId="4406A48E" w14:textId="181C09A2" w:rsidR="000F34A8" w:rsidRDefault="0050236E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test ciążowy 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 kobiet w wieku rozrodczym;</w:t>
            </w:r>
          </w:p>
          <w:p w14:paraId="3D0CA126" w14:textId="135D4A62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dehydrogenazy mleczanowej (LDH);</w:t>
            </w:r>
          </w:p>
          <w:p w14:paraId="6199CF93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morfologia krwi obwodowej z rozmazem;</w:t>
            </w:r>
          </w:p>
          <w:p w14:paraId="6941B2B7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czas częściowej tromboplastyny po aktywacji (APTT);</w:t>
            </w:r>
          </w:p>
          <w:p w14:paraId="518284EE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czas </w:t>
            </w:r>
            <w:proofErr w:type="spellStart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protrombinowy</w:t>
            </w:r>
            <w:proofErr w:type="spellEnd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(PT);</w:t>
            </w:r>
          </w:p>
          <w:p w14:paraId="5BC2D16A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fibrynogen;</w:t>
            </w:r>
          </w:p>
          <w:p w14:paraId="4AE58DB7" w14:textId="53653AEA" w:rsidR="000F34A8" w:rsidRDefault="00706E6D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E6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bezpośredni test </w:t>
            </w:r>
            <w:proofErr w:type="spellStart"/>
            <w:r w:rsidRPr="00706E6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antyglobulinowy</w:t>
            </w:r>
            <w:proofErr w:type="spellEnd"/>
            <w:r w:rsidRPr="00706E6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(BTA)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4DD9D47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oznaczenie grupy krwi;</w:t>
            </w:r>
          </w:p>
          <w:p w14:paraId="032F9515" w14:textId="7C3DB425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kreatyniny w surowicy</w:t>
            </w:r>
            <w:r w:rsidR="0063721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86ABC7B" w14:textId="328A030C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mocznika w surowicy</w:t>
            </w:r>
            <w:r w:rsidR="0063721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2221C65" w14:textId="61244E80" w:rsidR="000F34A8" w:rsidRDefault="0063721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aktywność 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254118CE" w14:textId="6A17ECCE" w:rsidR="000F34A8" w:rsidRDefault="0063721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bilirubin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i bezpośredni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 w surowicy krwi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268D549" w14:textId="649A1248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proofErr w:type="spellStart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haptoglobiny</w:t>
            </w:r>
            <w:proofErr w:type="spellEnd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Hp</w:t>
            </w:r>
            <w:proofErr w:type="spellEnd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79193D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w surowicy krwi</w:t>
            </w: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E0CDE18" w14:textId="32E48682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63721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sodu w surowicy krwi</w:t>
            </w: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2AADC88" w14:textId="2F4E652C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4F5F8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potasu</w:t>
            </w:r>
            <w:r w:rsidR="0063721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surowicy krwi</w:t>
            </w: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ED592A0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badanie ogólne moczu;</w:t>
            </w:r>
          </w:p>
          <w:p w14:paraId="2F4D82B9" w14:textId="77777777" w:rsidR="000F34A8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badanie wolnej hemoglobiny w moczu;</w:t>
            </w:r>
          </w:p>
          <w:p w14:paraId="59116D9A" w14:textId="4CBDFADB" w:rsidR="0006667C" w:rsidRDefault="0006667C" w:rsidP="00E36697">
            <w:pPr>
              <w:pStyle w:val="Akapitzlist"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badania obrazowe naczyń w przypadku podejrzenia zakrzepicy żylnej lub tętniczej lub incydentów zatorowych w zależności od umiejscowienia: </w:t>
            </w:r>
            <w:proofErr w:type="spellStart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ultrasonogram</w:t>
            </w:r>
            <w:proofErr w:type="spellEnd"/>
            <w:r w:rsidRPr="000F34A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(USG) lub tomografia komputerowa (TK) lub magnetyczny rezonans jądrowy (MRI).</w:t>
            </w:r>
          </w:p>
          <w:p w14:paraId="7CA4D52C" w14:textId="77777777" w:rsidR="002E0408" w:rsidRPr="002E0408" w:rsidRDefault="002E0408" w:rsidP="00E36697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687D6" w14:textId="036DDA74" w:rsidR="0006667C" w:rsidRPr="000F34A8" w:rsidRDefault="0006667C" w:rsidP="00E36697">
            <w:pPr>
              <w:pStyle w:val="Akapitzlist"/>
              <w:numPr>
                <w:ilvl w:val="2"/>
                <w:numId w:val="25"/>
              </w:numPr>
              <w:spacing w:after="60" w:line="276" w:lineRule="auto"/>
              <w:ind w:left="284" w:hanging="284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4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chorych, którzy stosowali </w:t>
            </w:r>
            <w:proofErr w:type="spellStart"/>
            <w:r w:rsidRPr="000F34A8">
              <w:rPr>
                <w:rFonts w:ascii="Times New Roman" w:hAnsi="Times New Roman" w:cs="Times New Roman"/>
                <w:b/>
                <w:sz w:val="20"/>
                <w:szCs w:val="20"/>
              </w:rPr>
              <w:t>ekulizumab</w:t>
            </w:r>
            <w:proofErr w:type="spellEnd"/>
            <w:r w:rsidR="00CB50E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6BB5DCE1" w14:textId="77777777" w:rsidR="0006667C" w:rsidRPr="004B3C7F" w:rsidRDefault="0006667C" w:rsidP="00E36697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adanie granulocytów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raz erytrocytów w </w:t>
            </w:r>
            <w:proofErr w:type="spellStart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 pod katem obecności klonu PNH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AE79029" w14:textId="06AA5150" w:rsidR="0006667C" w:rsidRPr="004B3C7F" w:rsidRDefault="0050236E" w:rsidP="00E36697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ciążowy 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u kobiet w wieku rozrodczym</w:t>
            </w:r>
            <w:r w:rsidR="0006667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53278BF" w14:textId="77777777" w:rsidR="002103A9" w:rsidRDefault="0006667C" w:rsidP="00E36697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>aktywność dehydrogenazy mleczanowej</w:t>
            </w:r>
            <w:r w:rsidR="0050236E">
              <w:rPr>
                <w:rFonts w:ascii="Times New Roman" w:hAnsi="Times New Roman" w:cs="Times New Roman"/>
                <w:sz w:val="20"/>
                <w:szCs w:val="20"/>
              </w:rPr>
              <w:t xml:space="preserve"> (LDH)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DB8589" w14:textId="77777777" w:rsidR="002E0408" w:rsidRPr="002E0408" w:rsidRDefault="002E0408" w:rsidP="00E36697">
            <w:pPr>
              <w:spacing w:after="60" w:line="276" w:lineRule="auto"/>
              <w:ind w:left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E6BAA" w14:textId="6CE7F93C" w:rsidR="0006667C" w:rsidRPr="002E0408" w:rsidRDefault="0006667C" w:rsidP="00CB50EF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03A9">
              <w:rPr>
                <w:rFonts w:ascii="Times New Roman" w:hAnsi="Times New Roman" w:cs="Times New Roman"/>
                <w:b/>
                <w:sz w:val="20"/>
                <w:szCs w:val="20"/>
              </w:rPr>
              <w:t>Monitorowanie leczenia</w:t>
            </w:r>
          </w:p>
          <w:p w14:paraId="2675543E" w14:textId="6D2C1EF2" w:rsidR="0006667C" w:rsidRPr="000F34A8" w:rsidRDefault="00A72CE9" w:rsidP="00E36697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</w:rPr>
              <w:t>o dwa tygodnie przez pierwsze 10 tygodni:</w:t>
            </w:r>
          </w:p>
          <w:p w14:paraId="7E2D8F2F" w14:textId="0F112B97" w:rsidR="0006667C" w:rsidRPr="004B3C7F" w:rsidRDefault="0006667C" w:rsidP="00E36697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>LDH)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4DAF4E9" w14:textId="4C250F9A" w:rsidR="0006667C" w:rsidRPr="004B3C7F" w:rsidRDefault="0006667C" w:rsidP="00E36697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>morfologia krwi obwodowej z rozmazem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EF26BC8" w14:textId="2599DD11" w:rsidR="0006667C" w:rsidRPr="004B3C7F" w:rsidRDefault="00DD04FC" w:rsidP="00E36697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51DA907" w14:textId="395C62A7" w:rsidR="0006667C" w:rsidRPr="004B3C7F" w:rsidRDefault="00DD04FC" w:rsidP="00E36697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stężenie 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mocznik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1DBEEF2" w14:textId="2EDBC5FC" w:rsidR="0006667C" w:rsidRPr="004B3C7F" w:rsidRDefault="0079193D" w:rsidP="00E36697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aktywność 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D6A842B" w14:textId="05D6CB05" w:rsidR="0006667C" w:rsidRPr="00BA659F" w:rsidRDefault="0079193D" w:rsidP="00E36697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bilirubin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5D3FAF" w14:textId="3FDEFA3A" w:rsidR="0006667C" w:rsidRPr="000F34A8" w:rsidRDefault="00A72CE9" w:rsidP="00E36697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</w:rPr>
              <w:t>o 10 tygodniu, raz na dwa miesiące lub częściej</w:t>
            </w:r>
            <w:r w:rsidR="006103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1037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06667C" w:rsidRPr="000F34A8">
              <w:rPr>
                <w:rFonts w:ascii="Times New Roman" w:hAnsi="Times New Roman" w:cs="Times New Roman"/>
                <w:sz w:val="20"/>
                <w:szCs w:val="20"/>
              </w:rPr>
              <w:t>uzasadnionych sytuacjach klinicznych:</w:t>
            </w:r>
          </w:p>
          <w:p w14:paraId="16610327" w14:textId="0CF8CB42" w:rsidR="0006667C" w:rsidRPr="004B3C7F" w:rsidRDefault="0006667C" w:rsidP="00E36697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>LDH)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3BA9984" w14:textId="21C0A18C" w:rsidR="0006667C" w:rsidRPr="00E76F51" w:rsidRDefault="0006667C" w:rsidP="00E36697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</w:rPr>
              <w:t>morfologia krwi obwodowej z rozmazem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A01E24" w14:textId="00F70326" w:rsidR="0006667C" w:rsidRPr="004B3C7F" w:rsidRDefault="00A72CE9" w:rsidP="00E36697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o 10 tygodniu, raz na sześć miesięcy, a w uzasadnionych przypadkach raz na dwa miesi</w:t>
            </w:r>
            <w:r w:rsidR="0006667C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6667C" w:rsidRPr="004B3C7F">
              <w:rPr>
                <w:rFonts w:ascii="Times New Roman" w:hAnsi="Times New Roman" w:cs="Times New Roman"/>
                <w:sz w:val="20"/>
                <w:szCs w:val="20"/>
              </w:rPr>
              <w:t>ce:</w:t>
            </w:r>
          </w:p>
          <w:p w14:paraId="41B125F7" w14:textId="50364685" w:rsidR="0006667C" w:rsidRPr="00F50CB0" w:rsidRDefault="0079193D" w:rsidP="00E36697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06667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06667C" w:rsidRPr="00F50CB0">
              <w:rPr>
                <w:rFonts w:ascii="Times New Roman" w:hAnsi="Times New Roman" w:cs="Times New Roman"/>
                <w:sz w:val="20"/>
                <w:szCs w:val="20"/>
              </w:rPr>
              <w:t>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40A5B3C" w14:textId="1B9A1B53" w:rsidR="0006667C" w:rsidRDefault="0079193D" w:rsidP="00E36697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06667C">
              <w:rPr>
                <w:rFonts w:ascii="Times New Roman" w:hAnsi="Times New Roman" w:cs="Times New Roman"/>
                <w:sz w:val="20"/>
                <w:szCs w:val="20"/>
              </w:rPr>
              <w:t>mocznik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357EF08" w14:textId="5AC4E100" w:rsidR="0006667C" w:rsidRPr="00F50CB0" w:rsidRDefault="0079193D" w:rsidP="00E36697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aktywność </w:t>
            </w:r>
            <w:r w:rsidR="0006667C" w:rsidRPr="00F50CB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06667C" w:rsidRPr="00F50CB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06667C" w:rsidRPr="00F50CB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="0006667C" w:rsidRPr="00F50CB0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06667C" w:rsidRPr="00F50CB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DC95F40" w14:textId="5401D050" w:rsidR="0006667C" w:rsidRPr="00E76F51" w:rsidRDefault="0079193D" w:rsidP="00E36697">
            <w:pPr>
              <w:pStyle w:val="Akapitzlist"/>
              <w:numPr>
                <w:ilvl w:val="0"/>
                <w:numId w:val="1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06667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bilirubin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06667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158155C" w14:textId="306A9C6D" w:rsidR="0006667C" w:rsidRPr="00F50CB0" w:rsidRDefault="00A72CE9" w:rsidP="00E36697">
            <w:pPr>
              <w:pStyle w:val="Akapitzlist"/>
              <w:numPr>
                <w:ilvl w:val="0"/>
                <w:numId w:val="13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06667C" w:rsidRPr="00F50CB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adanie obecności klonów PNH w </w:t>
            </w:r>
            <w:proofErr w:type="spellStart"/>
            <w:r w:rsidR="0006667C" w:rsidRPr="00F50CB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="0006667C" w:rsidRPr="00F50CB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przepływowym:</w:t>
            </w:r>
          </w:p>
          <w:p w14:paraId="1B382EAF" w14:textId="1F68786B" w:rsidR="0006667C" w:rsidRDefault="0006667C" w:rsidP="00E36697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miesięcy po rozpoczęciu leczenia i następne co 6</w:t>
            </w:r>
            <w:r w:rsidR="0061037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miesięcy przez okres 2 lat od rozpoznania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563B542" w14:textId="481FD453" w:rsidR="0006667C" w:rsidRDefault="0050236E" w:rsidP="00E36697">
            <w:pPr>
              <w:pStyle w:val="Akapitzlist"/>
              <w:numPr>
                <w:ilvl w:val="0"/>
                <w:numId w:val="17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następnie </w:t>
            </w:r>
            <w:r w:rsidR="0006667C">
              <w:rPr>
                <w:rFonts w:ascii="Times New Roman" w:hAnsi="Times New Roman" w:cs="Times New Roman"/>
                <w:sz w:val="20"/>
                <w:szCs w:val="20"/>
              </w:rPr>
              <w:t>co 12 miesięcy w przypadku stabilizacji choroby i wielkości klonu.</w:t>
            </w:r>
          </w:p>
          <w:p w14:paraId="6D2D7BF7" w14:textId="77777777" w:rsidR="0006667C" w:rsidRPr="004B3C7F" w:rsidRDefault="0006667C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Ze względu na ryzyko wystąpienia zakażenia </w:t>
            </w:r>
            <w:proofErr w:type="spellStart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meningokokowego</w:t>
            </w:r>
            <w:proofErr w:type="spellEnd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/posocznicy </w:t>
            </w:r>
            <w:proofErr w:type="spellStart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meningokokowej</w:t>
            </w:r>
            <w:proofErr w:type="spellEnd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(pomimo szczepień ochronnych) każdy chory przyjmujący </w:t>
            </w:r>
            <w:proofErr w:type="spellStart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</w:t>
            </w:r>
            <w:proofErr w:type="spellEnd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powinien być monitorowany pod kątem wczesnego wykrycia objawów infekcji </w:t>
            </w:r>
            <w:proofErr w:type="spellStart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meningokokowej</w:t>
            </w:r>
            <w:proofErr w:type="spellEnd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4F9AE84" w14:textId="46A1A6EC" w:rsidR="0006667C" w:rsidRDefault="0006667C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celu wykrycia ciężkiej hemolizy i innych reakcji, każdego pacjenta odstawiającego </w:t>
            </w:r>
            <w:proofErr w:type="spellStart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rawulizumab</w:t>
            </w:r>
            <w:proofErr w:type="spellEnd"/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należy obserwować przez co najmniej 16</w:t>
            </w:r>
            <w:r w:rsidR="00610377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4B3C7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tygodni.</w:t>
            </w:r>
          </w:p>
          <w:p w14:paraId="69933ED7" w14:textId="77777777" w:rsidR="003F7C4B" w:rsidRDefault="003F7C4B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79496883" w14:textId="763BA76F" w:rsidR="009E5589" w:rsidRPr="009E5589" w:rsidRDefault="00C71295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Należy </w:t>
            </w:r>
            <w:r w:rsidR="009E5589"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dokonać oceny skuteczności zastosowanej terapii po </w:t>
            </w:r>
            <w:r w:rsidR="0035164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9E5589"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miesiącach wg wskaźników zgodnych z pkt 1)  kryteriów wyłączenia</w:t>
            </w:r>
            <w:r w:rsidR="00450F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r w:rsidR="00450FF9" w:rsidRPr="00450F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 następnie po każdych kolejnych 6 miesiącach.</w:t>
            </w:r>
          </w:p>
          <w:p w14:paraId="574B9658" w14:textId="77777777" w:rsidR="009E5589" w:rsidRPr="009E5589" w:rsidRDefault="009E5589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08DE4BF1" w14:textId="09D3941A" w:rsidR="009E5589" w:rsidRDefault="009E5589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9E558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78651019" w14:textId="77777777" w:rsidR="00E36697" w:rsidRDefault="00E36697" w:rsidP="00E36697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1A78E468" w14:textId="77777777" w:rsidR="0045589D" w:rsidRPr="004E7E5C" w:rsidRDefault="0045589D" w:rsidP="0045589D">
            <w:pPr>
              <w:pStyle w:val="Akapitzlist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7E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Leczenie </w:t>
            </w:r>
            <w:proofErr w:type="spellStart"/>
            <w:r w:rsidRPr="004E7E5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krowalimabem</w:t>
            </w:r>
            <w:proofErr w:type="spellEnd"/>
          </w:p>
          <w:p w14:paraId="2ADF1DC8" w14:textId="77777777" w:rsidR="0045589D" w:rsidRDefault="0045589D" w:rsidP="0045589D">
            <w:pPr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Badania przy kwalifikacji:</w:t>
            </w:r>
          </w:p>
          <w:p w14:paraId="4C865DBE" w14:textId="073D4FB9" w:rsidR="0045589D" w:rsidRDefault="00CB50EF" w:rsidP="0045589D">
            <w:pPr>
              <w:numPr>
                <w:ilvl w:val="2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 w:rsidR="004558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horych, którzy nie stosowali inhibitora C5 </w:t>
            </w:r>
          </w:p>
          <w:p w14:paraId="59C724ED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badanie granulocytów oraz erytrocytów 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cytometrze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przepływowym pod kątem obecności klonu PNH;</w:t>
            </w:r>
          </w:p>
          <w:p w14:paraId="47E08F4F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ciążowy u kobiet w wieku rozrodczym;</w:t>
            </w:r>
          </w:p>
          <w:p w14:paraId="0CE6A32B" w14:textId="7292040E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dehydrogenazy mleczanowej (LDH);</w:t>
            </w:r>
          </w:p>
          <w:p w14:paraId="070E5775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morfologia krwi obwodowej z rozmazem;</w:t>
            </w:r>
          </w:p>
          <w:p w14:paraId="4C3DC4C6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czas częściowej tromboplastyny po aktywacji (APTT);</w:t>
            </w:r>
          </w:p>
          <w:p w14:paraId="78B2AC47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czas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protrombinowy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(PT);</w:t>
            </w:r>
          </w:p>
          <w:p w14:paraId="79882384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fibrynogen;</w:t>
            </w:r>
          </w:p>
          <w:p w14:paraId="76C76561" w14:textId="77777777" w:rsidR="0045589D" w:rsidRPr="005F548B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bezpośredni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antyglobulinowy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BTA;</w:t>
            </w:r>
          </w:p>
          <w:p w14:paraId="5A891FC4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oznaczenie grupy krwi;</w:t>
            </w:r>
          </w:p>
          <w:p w14:paraId="599480D6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kreatyniny w surowicy krwi;</w:t>
            </w:r>
          </w:p>
          <w:p w14:paraId="311F7B64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mocznika w surowicy krwi;</w:t>
            </w:r>
          </w:p>
          <w:p w14:paraId="1FCD8984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aminotransferazy alaninowej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2B214CCB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bilirubiny całkowitej i bezpośredniej w surowicy krwi;</w:t>
            </w:r>
          </w:p>
          <w:p w14:paraId="378BD84B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stężenie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haptoglobiny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w surowicy krwi;</w:t>
            </w:r>
          </w:p>
          <w:p w14:paraId="0AF59934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sodu w surowicy krwi;</w:t>
            </w:r>
          </w:p>
          <w:p w14:paraId="0B031F35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potasu surowicy krwi;</w:t>
            </w:r>
          </w:p>
          <w:p w14:paraId="11D0FA64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badanie ogólne moczu;</w:t>
            </w:r>
          </w:p>
          <w:p w14:paraId="19228268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badanie wolnej hemoglobiny w moczu;</w:t>
            </w:r>
          </w:p>
          <w:p w14:paraId="5BF18C79" w14:textId="77777777" w:rsidR="0045589D" w:rsidRDefault="0045589D" w:rsidP="00CB50EF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badania obrazowe naczyń w przypadku podejrzenia zakrzepicy żylnej lub tętniczej lub incydentów zatorowych w zależności od umiejscowienia: ultrasonograf (USG) lub tomografia komputerowa (TK) lub magnetyczny rezonans jądrowy (MRI).</w:t>
            </w:r>
          </w:p>
          <w:p w14:paraId="5CA6DCBD" w14:textId="77777777" w:rsidR="0045589D" w:rsidRDefault="0045589D" w:rsidP="00CB50EF">
            <w:pPr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F3640" w14:textId="66B27289" w:rsidR="0045589D" w:rsidRDefault="0045589D" w:rsidP="00CB50EF">
            <w:pPr>
              <w:numPr>
                <w:ilvl w:val="2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284" w:hanging="28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chorych, którzy stosowali inhibitor C5</w:t>
            </w:r>
          </w:p>
          <w:p w14:paraId="2D80E4D5" w14:textId="77777777" w:rsidR="0045589D" w:rsidRDefault="0045589D" w:rsidP="00CB50EF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badanie granulocytów oraz erytrocytów 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cytometrze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przepływowym pod kątem obecności klonu PNH;</w:t>
            </w:r>
          </w:p>
          <w:p w14:paraId="44D77FF8" w14:textId="77777777" w:rsidR="0045589D" w:rsidRDefault="0045589D" w:rsidP="00CB50EF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ciążowy u kobiet w wieku rozrodczym;</w:t>
            </w:r>
          </w:p>
          <w:p w14:paraId="1A55169A" w14:textId="77777777" w:rsidR="0045589D" w:rsidRDefault="0045589D" w:rsidP="00CB50EF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dehydrogenazy mleczanowej (LDH).</w:t>
            </w:r>
          </w:p>
          <w:p w14:paraId="4D50CCB0" w14:textId="77777777" w:rsidR="0045589D" w:rsidRDefault="0045589D" w:rsidP="00CB50EF">
            <w:pPr>
              <w:spacing w:after="60" w:line="276" w:lineRule="auto"/>
              <w:ind w:left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C9655D" w14:textId="77777777" w:rsidR="0045589D" w:rsidRDefault="0045589D" w:rsidP="00CB50EF">
            <w:pPr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Monitorowanie leczenia</w:t>
            </w:r>
          </w:p>
          <w:p w14:paraId="5C426A10" w14:textId="77777777" w:rsidR="0045589D" w:rsidRDefault="0045589D" w:rsidP="00CB50E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 2 tygodnie przez pierwsze 10 tygodni:</w:t>
            </w:r>
          </w:p>
          <w:p w14:paraId="7AEBDA60" w14:textId="4386A498" w:rsidR="0045589D" w:rsidRDefault="0045589D" w:rsidP="00CB50EF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dehydrogenazy mleczanowej (LDH)</w:t>
            </w:r>
            <w:r w:rsidR="00CB50E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5258AAA" w14:textId="77777777" w:rsidR="0045589D" w:rsidRDefault="0045589D" w:rsidP="00CB50EF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morfologia krwi obwodowej z rozmazem,</w:t>
            </w:r>
          </w:p>
          <w:p w14:paraId="4C4563EA" w14:textId="77777777" w:rsidR="0045589D" w:rsidRDefault="0045589D" w:rsidP="00CB50EF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kreatyniny w surowicy krwi,</w:t>
            </w:r>
          </w:p>
          <w:p w14:paraId="1D16DEC7" w14:textId="77777777" w:rsidR="0045589D" w:rsidRDefault="0045589D" w:rsidP="00CB50EF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mocznika w surowicy krwi,</w:t>
            </w:r>
          </w:p>
          <w:p w14:paraId="116D38CF" w14:textId="77777777" w:rsidR="0045589D" w:rsidRDefault="0045589D" w:rsidP="00CB50EF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aminotransferazy alaninowej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</w:p>
          <w:p w14:paraId="26291FBD" w14:textId="77777777" w:rsidR="0045589D" w:rsidRDefault="0045589D" w:rsidP="00CB50EF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bilirubiny całkowitej w surowicy krwi;</w:t>
            </w:r>
          </w:p>
          <w:p w14:paraId="12B35487" w14:textId="77777777" w:rsidR="0045589D" w:rsidRDefault="0045589D" w:rsidP="00CB50E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 10 tygodniach, raz na dwa miesiące lub częściej w uzasadnionych sytuacjach klinicznych:</w:t>
            </w:r>
          </w:p>
          <w:p w14:paraId="04BE81BC" w14:textId="1F653D01" w:rsidR="0045589D" w:rsidRDefault="0045589D" w:rsidP="00CB50EF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dehydrogenazy mleczanowej (LDH)</w:t>
            </w:r>
            <w:r w:rsidR="00CB50E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B83AFBD" w14:textId="77777777" w:rsidR="0045589D" w:rsidRDefault="0045589D" w:rsidP="00CB50EF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morfologia krwi obwodowej z rozmazem;</w:t>
            </w:r>
          </w:p>
          <w:p w14:paraId="25F9A01B" w14:textId="77777777" w:rsidR="0045589D" w:rsidRDefault="0045589D" w:rsidP="00CB50E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 10 tygodniach, raz na 6 miesięcy lub częściej w uzasadnionych sytuacjach klinicznych: </w:t>
            </w:r>
          </w:p>
          <w:p w14:paraId="747FF95B" w14:textId="08776B8D" w:rsidR="0045589D" w:rsidRDefault="0045589D" w:rsidP="00CB50EF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kreatyniny w surowicy krwi</w:t>
            </w:r>
            <w:r w:rsidR="00CB50E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6C8E182F" w14:textId="77777777" w:rsidR="0045589D" w:rsidRDefault="0045589D" w:rsidP="00CB50EF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mocznika w surowicy krwi,</w:t>
            </w:r>
          </w:p>
          <w:p w14:paraId="2242B44B" w14:textId="77777777" w:rsidR="0045589D" w:rsidRDefault="0045589D" w:rsidP="00CB50EF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aktywność aminotransferazy alaninowej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</w:p>
          <w:p w14:paraId="740B6667" w14:textId="77777777" w:rsidR="0045589D" w:rsidRDefault="0045589D" w:rsidP="00CB50EF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stężenie bilirubiny całkowitej w surowicy krwi;</w:t>
            </w:r>
          </w:p>
          <w:p w14:paraId="7464705B" w14:textId="77777777" w:rsidR="0045589D" w:rsidRDefault="0045589D" w:rsidP="00CB50EF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454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badanie obecności klonów PNH 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cytometrze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przepływowym:</w:t>
            </w:r>
          </w:p>
          <w:p w14:paraId="4C374579" w14:textId="72BCC8B4" w:rsidR="0045589D" w:rsidRDefault="0045589D" w:rsidP="00CB50EF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miesięcy po rozpoczęciu leczenia i następne co 6 miesięcy przez okres 2 lat od rozpoznania</w:t>
            </w:r>
            <w:r w:rsidR="00CB50E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7F711AE1" w14:textId="77777777" w:rsidR="0045589D" w:rsidRDefault="0045589D" w:rsidP="00CB50EF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ind w:left="681" w:hanging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następnie co 12 miesięcy w przypadku stabilizacji choroby i wielkości klonu.</w:t>
            </w:r>
          </w:p>
          <w:p w14:paraId="31212778" w14:textId="77777777" w:rsidR="0045589D" w:rsidRDefault="0045589D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F3F8A3" w14:textId="77777777" w:rsidR="0045589D" w:rsidRDefault="0045589D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Ze względu na ryzyko wystąpienia zakażenia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meningokokowego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/posocznicy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meningokokowej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(pomimo szczepień ochronnych) każdy chory przyjmujący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krowalimab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powinien być monitorowany pod kątem wczesnego wykrycia objawów infekcji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meningokokowej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D968173" w14:textId="77777777" w:rsidR="0045589D" w:rsidRDefault="0045589D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 celu wykrycia ciężkiej hemolizy i innych reakcji, każdego pacjenta odstawiającego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krowalimab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należy obserwować przez co najmniej 20 tygodni.</w:t>
            </w:r>
          </w:p>
          <w:p w14:paraId="28A483A0" w14:textId="77777777" w:rsidR="00857AA8" w:rsidRDefault="00857AA8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F0D267" w14:textId="4EF503ED" w:rsidR="0045589D" w:rsidRDefault="0045589D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Należy dokonać oceny skuteczności zastosowanej terapii po 3 miesiącach wg wskaźników zgodnych z pkt 1)  kryteriów wyłączenia, a następnie po każdych kolejnych 6 miesiącach.</w:t>
            </w:r>
          </w:p>
          <w:p w14:paraId="0EC460AF" w14:textId="77777777" w:rsidR="0045589D" w:rsidRDefault="0045589D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78C87F" w14:textId="77777777" w:rsidR="0045589D" w:rsidRDefault="0045589D" w:rsidP="00CB50E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Zespół Koordynacyjny w celu monitorowania adekwatnej odpowiedzi na leczenie, na podstawie danych gromadzonych w elektronicznym systemie monitorowania programów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lekowych podsumowuje wyniki leczenia w programie lekowym na koniec każdego roku.</w:t>
            </w:r>
          </w:p>
          <w:p w14:paraId="005AFF38" w14:textId="77777777" w:rsidR="002E0408" w:rsidRDefault="002E0408" w:rsidP="001E7C9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3E8DCF44" w14:textId="64A306A8" w:rsidR="002103A9" w:rsidRDefault="002103A9" w:rsidP="00CB50EF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Leczenie </w:t>
            </w:r>
            <w:proofErr w:type="spellStart"/>
            <w:r w:rsidRPr="0021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pegcetakoplanem</w:t>
            </w:r>
            <w:proofErr w:type="spellEnd"/>
          </w:p>
          <w:p w14:paraId="40B3AB68" w14:textId="470BDBC2" w:rsidR="002103A9" w:rsidRPr="002103A9" w:rsidRDefault="002103A9" w:rsidP="00CB50EF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3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 przy kwalifikacji</w:t>
            </w:r>
          </w:p>
          <w:p w14:paraId="47C38B06" w14:textId="328CA856" w:rsidR="002103A9" w:rsidRPr="00850790" w:rsidRDefault="002103A9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morfologia 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krwi obwodowej z rozmazem i </w:t>
            </w:r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z liczbą </w:t>
            </w:r>
            <w:proofErr w:type="spellStart"/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retikulocytów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3B941A4" w14:textId="5AF3615E" w:rsidR="002103A9" w:rsidRPr="00850790" w:rsidRDefault="002103A9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trepanobiopsja</w:t>
            </w:r>
            <w:proofErr w:type="spellEnd"/>
            <w:r w:rsidR="009C69C6" w:rsidRPr="009C69C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– w wybranych sytuacjach klinicznych, jeśli jest podejrzenie aplazji szpiku lub zespołu </w:t>
            </w:r>
            <w:proofErr w:type="spellStart"/>
            <w:r w:rsidR="009C69C6" w:rsidRPr="009C69C6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mielodysplastycznego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5180FF6" w14:textId="37C13C36" w:rsidR="002103A9" w:rsidRPr="00850790" w:rsidRDefault="002103A9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bezpośredni test </w:t>
            </w:r>
            <w:proofErr w:type="spellStart"/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antyglobulinowy</w:t>
            </w:r>
            <w:proofErr w:type="spellEnd"/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(BTA)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72932F9" w14:textId="252B75ED" w:rsidR="002103A9" w:rsidRPr="00850790" w:rsidRDefault="002103A9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dehydrogenazy mleczanowej (LDH);</w:t>
            </w:r>
          </w:p>
          <w:p w14:paraId="329555CC" w14:textId="6C1211CE" w:rsidR="002103A9" w:rsidRPr="00850790" w:rsidRDefault="00CB3FE8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stężenie 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bilirubin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i bezpośredni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 w surowicy krwi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260936B2" w14:textId="6A34822C" w:rsidR="002103A9" w:rsidRPr="00850790" w:rsidRDefault="002103A9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kreatyniny w surowicy</w:t>
            </w:r>
            <w:r w:rsidR="00CB3FE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krwi</w:t>
            </w:r>
            <w:r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596C4D4" w14:textId="7CDAC778" w:rsidR="004F5F88" w:rsidRPr="002E0408" w:rsidRDefault="00CB3FE8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aktywność 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ej</w:t>
            </w:r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</w:t>
            </w:r>
            <w:proofErr w:type="spellStart"/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2103A9" w:rsidRPr="00850790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0C7FA8D5" w14:textId="10101FC2" w:rsidR="00CB3FE8" w:rsidRPr="004F5F88" w:rsidRDefault="00CB3FE8" w:rsidP="00CB50EF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4F5F8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test ciążowy u kobiet w wieku rozrodczym</w:t>
            </w:r>
            <w:r w:rsidR="00C123F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F1787DF" w14:textId="62DC3E20" w:rsidR="002103A9" w:rsidRDefault="002103A9" w:rsidP="00CB50EF">
            <w:pPr>
              <w:pStyle w:val="Akapitzlist"/>
              <w:spacing w:after="60" w:line="276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1B28097F" w14:textId="29EA0529" w:rsidR="002103A9" w:rsidRPr="002E0408" w:rsidRDefault="002103A9" w:rsidP="00CB50EF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04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leczenia</w:t>
            </w:r>
          </w:p>
          <w:p w14:paraId="6A0106C1" w14:textId="41F42C38" w:rsidR="002103A9" w:rsidRPr="002E0408" w:rsidRDefault="005941FB" w:rsidP="00CB50EF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941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co dwa tygodnie przez pierwsze 10 tygodni</w:t>
            </w:r>
            <w:r w:rsidR="002103A9" w:rsidRPr="002E0408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446D0E1A" w14:textId="0E0A3E3A" w:rsidR="002103A9" w:rsidRPr="00F0578C" w:rsidRDefault="002103A9" w:rsidP="00CB50EF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F0578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F0578C">
              <w:rPr>
                <w:rFonts w:ascii="Times New Roman" w:hAnsi="Times New Roman" w:cs="Times New Roman"/>
                <w:sz w:val="20"/>
                <w:szCs w:val="20"/>
              </w:rPr>
              <w:t>LDH)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6C2DC2E" w14:textId="7656511D" w:rsidR="002103A9" w:rsidRPr="00F0578C" w:rsidRDefault="002103A9" w:rsidP="00CB50EF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</w:rPr>
              <w:t>morfologia krwi obwodowej z rozmazem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C85974C" w14:textId="74352B7C" w:rsidR="002103A9" w:rsidRPr="00F0578C" w:rsidRDefault="00CB3FE8" w:rsidP="00CB50EF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C09F621" w14:textId="34FDFD1B" w:rsidR="002103A9" w:rsidRPr="00F0578C" w:rsidRDefault="00CB3FE8" w:rsidP="00CB50EF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mocznik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0A2343F" w14:textId="11DCF26E" w:rsidR="002103A9" w:rsidRPr="00F0578C" w:rsidRDefault="00CB3FE8" w:rsidP="00CB50EF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90C0046" w14:textId="00EBCAB3" w:rsidR="00917DEF" w:rsidRDefault="00CB3FE8" w:rsidP="00CB50EF">
            <w:pPr>
              <w:pStyle w:val="Akapitzlist"/>
              <w:numPr>
                <w:ilvl w:val="0"/>
                <w:numId w:val="2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bilirubin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8873A95" w14:textId="16296BB9" w:rsidR="002103A9" w:rsidRPr="00917DEF" w:rsidRDefault="005941FB" w:rsidP="00CB50EF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941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10 tygodniu, raz na dwa miesiące lub częściej w uzasadnionych sytuacjach klinicznych</w:t>
            </w:r>
            <w:r w:rsidR="002103A9" w:rsidRPr="00917D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76DF5851" w14:textId="5A55A684" w:rsidR="002103A9" w:rsidRPr="00F0578C" w:rsidRDefault="002103A9" w:rsidP="00CB50EF">
            <w:pPr>
              <w:pStyle w:val="Akapitzlist"/>
              <w:numPr>
                <w:ilvl w:val="0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aktywność dehydrogenazy mleczanowej (LDH)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14C14BB" w14:textId="5456A6C6" w:rsidR="002103A9" w:rsidRPr="00F0578C" w:rsidRDefault="002103A9" w:rsidP="00CB50EF">
            <w:pPr>
              <w:pStyle w:val="Akapitzlist"/>
              <w:numPr>
                <w:ilvl w:val="0"/>
                <w:numId w:val="4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</w:rPr>
              <w:t>morfologia krwi obwodowej z rozmazem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EC44D23" w14:textId="45EB39F3" w:rsidR="002103A9" w:rsidRPr="00917DEF" w:rsidRDefault="005941FB" w:rsidP="00CB50EF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5941FB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 10 tygodniu, raz na sześć miesięcy, a w uzasadnionych przypadkach raz na dwa miesiące</w:t>
            </w:r>
            <w:r w:rsidR="002103A9" w:rsidRPr="00917D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1BCFED4B" w14:textId="3F72A53F" w:rsidR="002103A9" w:rsidRPr="00F0578C" w:rsidRDefault="00CB3FE8" w:rsidP="00CB50EF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2CF04DB" w14:textId="4F4914CE" w:rsidR="002103A9" w:rsidRPr="00F0578C" w:rsidRDefault="00CB3FE8" w:rsidP="00CB50EF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mocznik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2B6E13C" w14:textId="1BC8A4DA" w:rsidR="002103A9" w:rsidRPr="00F0578C" w:rsidRDefault="00CB3FE8" w:rsidP="00CB50EF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aminotransferaz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 alaninow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CEB9708" w14:textId="378AC2D6" w:rsidR="002103A9" w:rsidRPr="00F0578C" w:rsidRDefault="00CB3FE8" w:rsidP="00CB50EF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stężenie 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>bilirubin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2103A9" w:rsidRPr="00F0578C">
              <w:rPr>
                <w:rFonts w:ascii="Times New Roman" w:hAnsi="Times New Roman" w:cs="Times New Roman"/>
                <w:sz w:val="20"/>
                <w:szCs w:val="20"/>
              </w:rPr>
              <w:t xml:space="preserve"> całkowit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 w surowicy krwi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0DFEC1" w14:textId="61E06C81" w:rsidR="002103A9" w:rsidRPr="00917DEF" w:rsidRDefault="00A72CE9" w:rsidP="00CB50EF">
            <w:pPr>
              <w:pStyle w:val="Akapitzlist"/>
              <w:numPr>
                <w:ilvl w:val="0"/>
                <w:numId w:val="3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2103A9" w:rsidRPr="00917D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adanie obecności klonów PNH w </w:t>
            </w:r>
            <w:proofErr w:type="spellStart"/>
            <w:r w:rsidR="002103A9" w:rsidRPr="00917D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="002103A9" w:rsidRPr="00917D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przepływowym:</w:t>
            </w:r>
          </w:p>
          <w:p w14:paraId="04F2D45C" w14:textId="721DE44E" w:rsidR="002103A9" w:rsidRPr="00F0578C" w:rsidRDefault="002103A9" w:rsidP="00CB50EF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</w:rPr>
              <w:t>6 miesięcy po rozpoczęciu leczenia i następne co 6 miesięcy przez okres 2 lat od rozpoznania</w:t>
            </w:r>
            <w:r w:rsidR="00A72CE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C98145" w14:textId="77777777" w:rsidR="002103A9" w:rsidRPr="00F0578C" w:rsidRDefault="002103A9" w:rsidP="00CB50EF">
            <w:pPr>
              <w:pStyle w:val="Akapitzlist"/>
              <w:numPr>
                <w:ilvl w:val="0"/>
                <w:numId w:val="4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</w:rPr>
              <w:t>co 12 miesięcy w przypadku stabilizacji choroby i wielkości klonu.</w:t>
            </w:r>
          </w:p>
          <w:p w14:paraId="37712895" w14:textId="5D4339E4" w:rsidR="002103A9" w:rsidRDefault="002103A9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F0578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celu wykrycia ciężkiej hemolizy i innych reakcji, każdego pacjenta odstawiającego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pegcetakoplan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F0578C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 obserwować przez co najmniej 8 tygodni.</w:t>
            </w:r>
          </w:p>
          <w:p w14:paraId="06429FE3" w14:textId="77777777" w:rsidR="00857AA8" w:rsidRDefault="00857AA8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4F70BC2E" w14:textId="4A5A5383" w:rsidR="00C71295" w:rsidRPr="00C71295" w:rsidRDefault="00C71295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Pr="00C712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dokonać oceny skuteczności zastosowanej terapii po </w:t>
            </w:r>
            <w:r w:rsidR="00351642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Pr="00C712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miesiącach wg wskaźników zgodnych z pkt 1)  kryteriów wyłączenia</w:t>
            </w:r>
            <w:r w:rsidR="00450F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  <w:r w:rsidR="00450FF9" w:rsidRPr="00450FF9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 następnie po każdych kolejnych 6 miesiącach.</w:t>
            </w:r>
          </w:p>
          <w:p w14:paraId="32F004A2" w14:textId="77777777" w:rsidR="00C71295" w:rsidRPr="00C71295" w:rsidRDefault="00C71295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E6373F2" w14:textId="26C5D856" w:rsidR="002103A9" w:rsidRDefault="00C71295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71295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4979A673" w14:textId="77777777" w:rsidR="00CB50EF" w:rsidRDefault="00CB50EF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315B30AD" w14:textId="77777777" w:rsidR="00B27C17" w:rsidRPr="00CB50EF" w:rsidRDefault="00B27C17" w:rsidP="00CB50EF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Leczenie </w:t>
            </w:r>
            <w:proofErr w:type="spellStart"/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danikopanem</w:t>
            </w:r>
            <w:proofErr w:type="spellEnd"/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w skojarzeniu z </w:t>
            </w:r>
            <w:proofErr w:type="spellStart"/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rawulizumabem</w:t>
            </w:r>
            <w:proofErr w:type="spellEnd"/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lub </w:t>
            </w:r>
            <w:proofErr w:type="spellStart"/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ekulizumabem</w:t>
            </w:r>
            <w:proofErr w:type="spellEnd"/>
          </w:p>
          <w:p w14:paraId="12671CD7" w14:textId="77777777" w:rsidR="00B27C17" w:rsidRPr="00CB50EF" w:rsidRDefault="00B27C17" w:rsidP="00CB50EF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56834012"/>
            <w:r w:rsidRPr="00CB50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 przy kwalifikacji</w:t>
            </w:r>
          </w:p>
          <w:p w14:paraId="18CA1C3B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morfologia krwi obwodowej z rozmazem i z liczbą 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retikulocytów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CA9B8C9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bezpośredni test 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antyglobulinowy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(BTA);</w:t>
            </w:r>
          </w:p>
          <w:p w14:paraId="3622B716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dehydrogenazy mleczanowej (LDH);</w:t>
            </w:r>
          </w:p>
          <w:p w14:paraId="6CD68614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bilirubiny całkowitej i bezpośredniej w surowicy krwi;</w:t>
            </w:r>
          </w:p>
          <w:p w14:paraId="7CE2AB37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kreatyniny w surowicy krwi;</w:t>
            </w:r>
          </w:p>
          <w:p w14:paraId="1ECF6A39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aminotransferazy alaninowej (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AlAT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162ACF52" w14:textId="77777777" w:rsidR="00B27C17" w:rsidRPr="00CB50EF" w:rsidRDefault="00B27C17" w:rsidP="00CB50EF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test ciążowy u kobiet w wieku rozrodczym</w:t>
            </w:r>
            <w:bookmarkEnd w:id="0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36042A0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01BFD7A" w14:textId="5509015A" w:rsidR="00B27C17" w:rsidRPr="00CB50EF" w:rsidRDefault="00B27C17" w:rsidP="00CB50EF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>Monitorowanie leczenia</w:t>
            </w:r>
          </w:p>
          <w:p w14:paraId="2CD80E9C" w14:textId="77777777" w:rsidR="00B27C17" w:rsidRPr="00CB50EF" w:rsidRDefault="00B27C17" w:rsidP="00CB50EF">
            <w:pPr>
              <w:pStyle w:val="Akapitzlist"/>
              <w:numPr>
                <w:ilvl w:val="2"/>
                <w:numId w:val="25"/>
              </w:numPr>
              <w:spacing w:after="60" w:line="276" w:lineRule="auto"/>
              <w:ind w:left="720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>danikopan</w:t>
            </w:r>
            <w:proofErr w:type="spellEnd"/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 skojarzeniu z </w:t>
            </w:r>
            <w:proofErr w:type="spellStart"/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>rawulizumabem</w:t>
            </w:r>
            <w:proofErr w:type="spellEnd"/>
          </w:p>
          <w:p w14:paraId="77B52F9D" w14:textId="77777777" w:rsidR="00B27C17" w:rsidRPr="00CB50EF" w:rsidRDefault="00B27C17" w:rsidP="00CB50EF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co tydzień przez pierwsze 4 tygodnie, a następnie w 8 tygodniu:</w:t>
            </w:r>
          </w:p>
          <w:p w14:paraId="7CF09C08" w14:textId="77777777" w:rsidR="00B27C17" w:rsidRPr="00CB50EF" w:rsidRDefault="00B27C17" w:rsidP="00CB50EF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LDH),</w:t>
            </w:r>
          </w:p>
          <w:p w14:paraId="359EE4CE" w14:textId="77777777" w:rsidR="00B27C17" w:rsidRPr="00CB50EF" w:rsidRDefault="00B27C17" w:rsidP="00CB50EF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morfologia krwi obwodowej z rozmazem,</w:t>
            </w:r>
          </w:p>
          <w:p w14:paraId="2BBC7D17" w14:textId="77777777" w:rsidR="00B27C17" w:rsidRPr="00CB50EF" w:rsidRDefault="00B27C17" w:rsidP="00CB50EF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kreatyniny w surowicy krwi,</w:t>
            </w:r>
          </w:p>
          <w:p w14:paraId="7917B56B" w14:textId="77777777" w:rsidR="00B27C17" w:rsidRPr="00CB50EF" w:rsidRDefault="00B27C17" w:rsidP="00CB50EF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mocznika w surowicy krwi,</w:t>
            </w:r>
          </w:p>
          <w:p w14:paraId="1D97B073" w14:textId="77777777" w:rsidR="00B27C17" w:rsidRPr="00CB50EF" w:rsidRDefault="00B27C17" w:rsidP="00CB50EF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aminotransferazy alaninowej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5F58F8E1" w14:textId="77777777" w:rsidR="00B27C17" w:rsidRPr="00CB50EF" w:rsidRDefault="00B27C17" w:rsidP="00CB50EF">
            <w:pPr>
              <w:pStyle w:val="Akapitzlist"/>
              <w:numPr>
                <w:ilvl w:val="0"/>
                <w:numId w:val="49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bilirubiny całkowitej w surowicy krwi;</w:t>
            </w:r>
          </w:p>
          <w:p w14:paraId="7350A60E" w14:textId="77777777" w:rsidR="00B27C17" w:rsidRPr="00CB50EF" w:rsidRDefault="00B27C17" w:rsidP="00CB50EF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po 8 tygodniach, raz na dwa miesiące lub częściej w uzasadnionych sytuacjach klinicznych:</w:t>
            </w:r>
          </w:p>
          <w:p w14:paraId="77FF4A83" w14:textId="77777777" w:rsidR="00B27C17" w:rsidRPr="00CB50EF" w:rsidRDefault="00B27C17" w:rsidP="00CB50EF">
            <w:pPr>
              <w:pStyle w:val="Akapitzlist"/>
              <w:numPr>
                <w:ilvl w:val="0"/>
                <w:numId w:val="50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LDH),</w:t>
            </w:r>
          </w:p>
          <w:p w14:paraId="17DA854B" w14:textId="77777777" w:rsidR="00B27C17" w:rsidRPr="00CB50EF" w:rsidRDefault="00B27C17" w:rsidP="00CB50EF">
            <w:pPr>
              <w:pStyle w:val="Akapitzlist"/>
              <w:numPr>
                <w:ilvl w:val="0"/>
                <w:numId w:val="50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morfologia krwi obwodowej z rozmazem;</w:t>
            </w:r>
          </w:p>
          <w:p w14:paraId="353851E8" w14:textId="77777777" w:rsidR="00B27C17" w:rsidRPr="00CB50EF" w:rsidRDefault="00B27C17" w:rsidP="00CB50EF">
            <w:pPr>
              <w:pStyle w:val="Akapitzlist"/>
              <w:numPr>
                <w:ilvl w:val="0"/>
                <w:numId w:val="50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kreatyniny w surowicy krwi,</w:t>
            </w:r>
          </w:p>
          <w:p w14:paraId="4CAB0BF2" w14:textId="77777777" w:rsidR="00B27C17" w:rsidRPr="00CB50EF" w:rsidRDefault="00B27C17" w:rsidP="00CB50EF">
            <w:pPr>
              <w:pStyle w:val="Akapitzlist"/>
              <w:numPr>
                <w:ilvl w:val="0"/>
                <w:numId w:val="50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stężenie mocznika w surowicy krwi,</w:t>
            </w:r>
          </w:p>
          <w:p w14:paraId="58F61483" w14:textId="77777777" w:rsidR="00B27C17" w:rsidRPr="00CB50EF" w:rsidRDefault="00B27C17" w:rsidP="00CB50EF">
            <w:pPr>
              <w:pStyle w:val="Akapitzlist"/>
              <w:numPr>
                <w:ilvl w:val="0"/>
                <w:numId w:val="50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aminotransferazy alaninowej (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737DB802" w14:textId="77777777" w:rsidR="00B27C17" w:rsidRPr="00CB50EF" w:rsidRDefault="00B27C17" w:rsidP="00CB50EF">
            <w:pPr>
              <w:pStyle w:val="Akapitzlist"/>
              <w:numPr>
                <w:ilvl w:val="0"/>
                <w:numId w:val="50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bilirubiny całkowitej w surowicy krwi;</w:t>
            </w:r>
          </w:p>
          <w:p w14:paraId="39091D70" w14:textId="77777777" w:rsidR="00B27C17" w:rsidRPr="00CB50EF" w:rsidRDefault="00B27C17" w:rsidP="00CB50EF">
            <w:pPr>
              <w:pStyle w:val="Akapitzlist"/>
              <w:numPr>
                <w:ilvl w:val="0"/>
                <w:numId w:val="4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badanie obecności klonów PNH w 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przepływowym:</w:t>
            </w:r>
          </w:p>
          <w:p w14:paraId="2DBB1D24" w14:textId="77777777" w:rsidR="00B27C17" w:rsidRPr="00CB50EF" w:rsidRDefault="00B27C17" w:rsidP="00CB50EF">
            <w:pPr>
              <w:pStyle w:val="Akapitzlist"/>
              <w:numPr>
                <w:ilvl w:val="0"/>
                <w:numId w:val="5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6 miesięcy po rozpoczęciu leczenia i następne co 6 miesięcy przez okres 2 lat od rozpoznania,</w:t>
            </w:r>
          </w:p>
          <w:p w14:paraId="7E59C48B" w14:textId="77777777" w:rsidR="00B27C17" w:rsidRPr="00CB50EF" w:rsidRDefault="00B27C17" w:rsidP="00CB50EF">
            <w:pPr>
              <w:pStyle w:val="Akapitzlist"/>
              <w:numPr>
                <w:ilvl w:val="0"/>
                <w:numId w:val="51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następnie co 12 miesięcy w przypadku stabilizacji choroby i wielkości klonu.</w:t>
            </w:r>
          </w:p>
          <w:p w14:paraId="54D5F9DD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celu wykrycia ciężkiej hemolizy i innych reakcji, każdego pacjenta odstawiającego 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danikopan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należy obserwować przez co najmniej 8 tygodni.</w:t>
            </w:r>
          </w:p>
          <w:p w14:paraId="5870193C" w14:textId="77777777" w:rsidR="00991A5D" w:rsidRPr="00CB50EF" w:rsidRDefault="00991A5D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FDF6662" w14:textId="0A14BBAA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 dokonać oceny skuteczności zastosowanej terapii po 3 miesiącach wg wskaźników zgodnych z pkt 1)  kryteriów wyłączenia, a następnie po każdych kolejnych 6 miesiącach.</w:t>
            </w:r>
          </w:p>
          <w:p w14:paraId="286781F0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25F0A0D7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1B572AFB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A188E9C" w14:textId="77777777" w:rsidR="00B27C17" w:rsidRPr="00CB50EF" w:rsidRDefault="00B27C17" w:rsidP="00CB50EF">
            <w:pPr>
              <w:pStyle w:val="Akapitzlist"/>
              <w:numPr>
                <w:ilvl w:val="2"/>
                <w:numId w:val="25"/>
              </w:numPr>
              <w:spacing w:after="60" w:line="276" w:lineRule="auto"/>
              <w:ind w:left="720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>danikopan</w:t>
            </w:r>
            <w:proofErr w:type="spellEnd"/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 skojarzeniu z </w:t>
            </w:r>
            <w:proofErr w:type="spellStart"/>
            <w:r w:rsidRPr="00CB50EF">
              <w:rPr>
                <w:rFonts w:ascii="Times New Roman" w:hAnsi="Times New Roman" w:cs="Times New Roman"/>
                <w:b/>
                <w:sz w:val="20"/>
                <w:szCs w:val="20"/>
              </w:rPr>
              <w:t>ekulizumabem</w:t>
            </w:r>
            <w:proofErr w:type="spellEnd"/>
          </w:p>
          <w:p w14:paraId="1B23F60D" w14:textId="77777777" w:rsidR="00B27C17" w:rsidRPr="00CB50EF" w:rsidRDefault="00B27C17" w:rsidP="00CB50EF">
            <w:pPr>
              <w:pStyle w:val="Akapitzlist"/>
              <w:numPr>
                <w:ilvl w:val="0"/>
                <w:numId w:val="4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co tydzień przez pierwsze 4 tygodnie:</w:t>
            </w:r>
          </w:p>
          <w:p w14:paraId="4DA32278" w14:textId="77777777" w:rsidR="00B27C17" w:rsidRPr="00CB50EF" w:rsidRDefault="00B27C17" w:rsidP="00CB50EF">
            <w:pPr>
              <w:pStyle w:val="Akapitzlist"/>
              <w:numPr>
                <w:ilvl w:val="0"/>
                <w:numId w:val="5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LDH),</w:t>
            </w:r>
          </w:p>
          <w:p w14:paraId="066E35F5" w14:textId="77777777" w:rsidR="00B27C17" w:rsidRPr="00CB50EF" w:rsidRDefault="00B27C17" w:rsidP="00CB50EF">
            <w:pPr>
              <w:pStyle w:val="Akapitzlist"/>
              <w:numPr>
                <w:ilvl w:val="0"/>
                <w:numId w:val="5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morfologia krwi obwodowej z rozmazem,</w:t>
            </w:r>
          </w:p>
          <w:p w14:paraId="4D189BBF" w14:textId="77777777" w:rsidR="00B27C17" w:rsidRPr="00CB50EF" w:rsidRDefault="00B27C17" w:rsidP="00CB50EF">
            <w:pPr>
              <w:pStyle w:val="Akapitzlist"/>
              <w:numPr>
                <w:ilvl w:val="0"/>
                <w:numId w:val="5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kreatyniny w surowicy krwi,</w:t>
            </w:r>
          </w:p>
          <w:p w14:paraId="441BBA84" w14:textId="77777777" w:rsidR="00B27C17" w:rsidRPr="00CB50EF" w:rsidRDefault="00B27C17" w:rsidP="00CB50EF">
            <w:pPr>
              <w:pStyle w:val="Akapitzlist"/>
              <w:numPr>
                <w:ilvl w:val="0"/>
                <w:numId w:val="5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mocznika w surowicy krwi,</w:t>
            </w:r>
          </w:p>
          <w:p w14:paraId="76CF2268" w14:textId="77777777" w:rsidR="00B27C17" w:rsidRPr="00CB50EF" w:rsidRDefault="00B27C17" w:rsidP="00CB50EF">
            <w:pPr>
              <w:pStyle w:val="Akapitzlist"/>
              <w:numPr>
                <w:ilvl w:val="0"/>
                <w:numId w:val="5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aktywność aminotransferazy alaninowej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0367E26D" w14:textId="77777777" w:rsidR="00B27C17" w:rsidRPr="00CB50EF" w:rsidRDefault="00B27C17" w:rsidP="00CB50EF">
            <w:pPr>
              <w:pStyle w:val="Akapitzlist"/>
              <w:numPr>
                <w:ilvl w:val="0"/>
                <w:numId w:val="52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bilirubiny całkowitej w surowicy krwi;</w:t>
            </w:r>
          </w:p>
          <w:p w14:paraId="43661FC7" w14:textId="77777777" w:rsidR="00B27C17" w:rsidRPr="00CB50EF" w:rsidRDefault="00B27C17" w:rsidP="00CB50EF">
            <w:pPr>
              <w:pStyle w:val="Akapitzlist"/>
              <w:numPr>
                <w:ilvl w:val="0"/>
                <w:numId w:val="4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po 4 tygodniu, raz na dwa tygodnie lub częściej w uzasadnionych sytuacjach klinicznych:</w:t>
            </w:r>
          </w:p>
          <w:p w14:paraId="3FDDE744" w14:textId="77777777" w:rsidR="00B27C17" w:rsidRPr="00CB50EF" w:rsidRDefault="00B27C17" w:rsidP="00CB50EF">
            <w:pPr>
              <w:pStyle w:val="Akapitzlist"/>
              <w:numPr>
                <w:ilvl w:val="0"/>
                <w:numId w:val="53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dehydrogenazy mleczanowej (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LDH),</w:t>
            </w:r>
          </w:p>
          <w:p w14:paraId="3EFDEA9A" w14:textId="77777777" w:rsidR="00B27C17" w:rsidRPr="00CB50EF" w:rsidRDefault="00B27C17" w:rsidP="00CB50EF">
            <w:pPr>
              <w:pStyle w:val="Akapitzlist"/>
              <w:numPr>
                <w:ilvl w:val="0"/>
                <w:numId w:val="53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morfologia krwi obwodowej z rozmazem;</w:t>
            </w:r>
          </w:p>
          <w:p w14:paraId="2E1DFA0D" w14:textId="77777777" w:rsidR="00B27C17" w:rsidRPr="00CB50EF" w:rsidRDefault="00B27C17" w:rsidP="00CB50EF">
            <w:pPr>
              <w:pStyle w:val="Akapitzlist"/>
              <w:numPr>
                <w:ilvl w:val="0"/>
                <w:numId w:val="53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kreatyniny w surowicy krwi,</w:t>
            </w:r>
          </w:p>
          <w:p w14:paraId="4F0E91F9" w14:textId="77777777" w:rsidR="00B27C17" w:rsidRPr="00CB50EF" w:rsidRDefault="00B27C17" w:rsidP="00CB50EF">
            <w:pPr>
              <w:pStyle w:val="Akapitzlist"/>
              <w:numPr>
                <w:ilvl w:val="0"/>
                <w:numId w:val="54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stężenie mocznika w surowicy krwi,</w:t>
            </w:r>
          </w:p>
          <w:p w14:paraId="7D02E1B5" w14:textId="77777777" w:rsidR="00B27C17" w:rsidRPr="00CB50EF" w:rsidRDefault="00B27C17" w:rsidP="00CB50EF">
            <w:pPr>
              <w:pStyle w:val="Akapitzlist"/>
              <w:numPr>
                <w:ilvl w:val="0"/>
                <w:numId w:val="54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aktywność aminotransferazy alaninowej (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7299DE4D" w14:textId="77777777" w:rsidR="00B27C17" w:rsidRPr="00CB50EF" w:rsidRDefault="00B27C17" w:rsidP="00CB50EF">
            <w:pPr>
              <w:pStyle w:val="Akapitzlist"/>
              <w:numPr>
                <w:ilvl w:val="0"/>
                <w:numId w:val="54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stężenie bilirubiny całkowitej w surowicy krwi;</w:t>
            </w:r>
          </w:p>
          <w:p w14:paraId="13F2326D" w14:textId="77777777" w:rsidR="00B27C17" w:rsidRPr="00CB50EF" w:rsidRDefault="00B27C17" w:rsidP="00CB50EF">
            <w:pPr>
              <w:pStyle w:val="Akapitzlist"/>
              <w:numPr>
                <w:ilvl w:val="0"/>
                <w:numId w:val="4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badanie obecności klonów PNH w 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cytometrze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przepływowym:</w:t>
            </w:r>
          </w:p>
          <w:p w14:paraId="4D853C37" w14:textId="77777777" w:rsidR="00B27C17" w:rsidRPr="00CB50EF" w:rsidRDefault="00B27C17" w:rsidP="00CB50EF">
            <w:pPr>
              <w:pStyle w:val="Akapitzlist"/>
              <w:numPr>
                <w:ilvl w:val="0"/>
                <w:numId w:val="5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6 miesięcy po rozpoczęciu leczenia i następne co 6 miesięcy przez okres 2 lat od rozpoznania,</w:t>
            </w:r>
          </w:p>
          <w:p w14:paraId="0B63E1CD" w14:textId="77777777" w:rsidR="00B27C17" w:rsidRPr="00CB50EF" w:rsidRDefault="00B27C17" w:rsidP="00CB50EF">
            <w:pPr>
              <w:pStyle w:val="Akapitzlist"/>
              <w:numPr>
                <w:ilvl w:val="0"/>
                <w:numId w:val="55"/>
              </w:numPr>
              <w:spacing w:after="60" w:line="276" w:lineRule="auto"/>
              <w:ind w:left="681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następnie co 12 miesięcy w przypadku stabilizacji choroby i wielkości klonu.</w:t>
            </w:r>
          </w:p>
          <w:p w14:paraId="11DA2475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W celu wykrycia ciężkiej hemolizy i innych reakcji, każdego pacjenta odstawiającego </w:t>
            </w:r>
            <w:proofErr w:type="spellStart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danikopan</w:t>
            </w:r>
            <w:proofErr w:type="spellEnd"/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należy obserwować przez co najmniej 8 tygodni.</w:t>
            </w:r>
          </w:p>
          <w:p w14:paraId="0C76785C" w14:textId="77777777" w:rsidR="00991A5D" w:rsidRPr="00CB50EF" w:rsidRDefault="00991A5D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78B54BB5" w14:textId="5F8500A4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Należy dokonać oceny skuteczności zastosowanej terapii po 3 miesiącach wg wskaźników zgodnych z pkt 1)  kryteriów wyłączenia, a następnie po każdych kolejnych 6 miesiącach.</w:t>
            </w:r>
          </w:p>
          <w:p w14:paraId="5E26493A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7DD41440" w14:textId="77777777" w:rsidR="00B27C17" w:rsidRPr="00CB50EF" w:rsidRDefault="00B27C17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570CEAE1" w14:textId="77777777" w:rsidR="001E7C9A" w:rsidRPr="00CB50EF" w:rsidRDefault="001E7C9A" w:rsidP="00CB50EF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486AB5F4" w14:textId="06421F26" w:rsidR="000F34A8" w:rsidRPr="001E7C9A" w:rsidRDefault="0006667C" w:rsidP="00CB50EF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7C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 programu</w:t>
            </w:r>
          </w:p>
          <w:p w14:paraId="40D33479" w14:textId="77777777" w:rsidR="000F34A8" w:rsidRPr="00CB50EF" w:rsidRDefault="000F34A8" w:rsidP="00CB50EF">
            <w:pPr>
              <w:pStyle w:val="Akapitzlist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0190CFD7" w14:textId="42CF6707" w:rsidR="000F34A8" w:rsidRPr="00CB50EF" w:rsidRDefault="000F34A8" w:rsidP="00CB50EF">
            <w:pPr>
              <w:pStyle w:val="Akapitzlist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uzupełnienie danych </w:t>
            </w:r>
            <w:r w:rsidR="00213BFB" w:rsidRPr="00CB50EF">
              <w:rPr>
                <w:rFonts w:ascii="Times New Roman" w:hAnsi="Times New Roman" w:cs="Times New Roman"/>
                <w:sz w:val="20"/>
                <w:szCs w:val="20"/>
              </w:rPr>
              <w:t>zawartych w elektronicznym systemie monitorowania programów lekowych</w:t>
            </w:r>
            <w:r w:rsidR="00735EC9"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dostępnym za pomocą aplikacji internetowej udostępnionej przez OW NFZ,</w:t>
            </w:r>
            <w:r w:rsidR="000A14E1" w:rsidRPr="00CB50EF">
              <w:rPr>
                <w:sz w:val="20"/>
                <w:szCs w:val="20"/>
              </w:rPr>
              <w:t xml:space="preserve"> </w:t>
            </w:r>
            <w:r w:rsidR="000A14E1" w:rsidRPr="00CB50EF">
              <w:rPr>
                <w:rFonts w:ascii="Times New Roman" w:hAnsi="Times New Roman" w:cs="Times New Roman"/>
                <w:sz w:val="20"/>
                <w:szCs w:val="20"/>
              </w:rPr>
              <w:t>w tym wskaźników skuteczności leczenia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 xml:space="preserve"> z</w:t>
            </w:r>
            <w:r w:rsidR="00610377" w:rsidRPr="00CB50E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częstotliwością zgodną z opisem programu oraz na zakończenie leczenia;</w:t>
            </w:r>
          </w:p>
          <w:p w14:paraId="68189356" w14:textId="749ABB18" w:rsidR="000F34A8" w:rsidRPr="0044017D" w:rsidRDefault="000F34A8" w:rsidP="00CB50EF">
            <w:pPr>
              <w:pStyle w:val="Akapitzlist"/>
              <w:numPr>
                <w:ilvl w:val="0"/>
                <w:numId w:val="2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CB50EF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 NFZ: informacje przekazuje się do NFZ w formie papierowej lub w formie elektronicznej, zgodnie z wymaganiami opublikowanymi przez Narodowy Fundusz Zdrowia.</w:t>
            </w:r>
          </w:p>
        </w:tc>
      </w:tr>
    </w:tbl>
    <w:p w14:paraId="5604605D" w14:textId="77777777" w:rsidR="00097CEA" w:rsidRPr="00C166A1" w:rsidRDefault="00097CEA">
      <w:pPr>
        <w:rPr>
          <w:rFonts w:ascii="Times New Roman" w:hAnsi="Times New Roman" w:cs="Times New Roman"/>
          <w:sz w:val="14"/>
          <w:szCs w:val="24"/>
        </w:rPr>
      </w:pPr>
    </w:p>
    <w:sectPr w:rsidR="00097CEA" w:rsidRPr="00C166A1" w:rsidSect="006501FD">
      <w:footerReference w:type="default" r:id="rId8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451EA" w14:textId="77777777" w:rsidR="00C10C3C" w:rsidRDefault="00C10C3C" w:rsidP="00EA1DA5">
      <w:pPr>
        <w:spacing w:after="0" w:line="240" w:lineRule="auto"/>
      </w:pPr>
      <w:r>
        <w:separator/>
      </w:r>
    </w:p>
  </w:endnote>
  <w:endnote w:type="continuationSeparator" w:id="0">
    <w:p w14:paraId="42DBDCA4" w14:textId="77777777" w:rsidR="00C10C3C" w:rsidRDefault="00C10C3C" w:rsidP="00EA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BAF0" w14:textId="77777777" w:rsidR="00FD2B5C" w:rsidRDefault="00FD2B5C">
    <w:pPr>
      <w:pStyle w:val="Stopka"/>
    </w:pPr>
  </w:p>
  <w:p w14:paraId="04355073" w14:textId="77777777" w:rsidR="00CD3F29" w:rsidRPr="001B56AA" w:rsidRDefault="00CD3F29" w:rsidP="001B56A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FCC6D" w14:textId="77777777" w:rsidR="00C10C3C" w:rsidRDefault="00C10C3C" w:rsidP="00EA1DA5">
      <w:pPr>
        <w:spacing w:after="0" w:line="240" w:lineRule="auto"/>
      </w:pPr>
      <w:r>
        <w:separator/>
      </w:r>
    </w:p>
  </w:footnote>
  <w:footnote w:type="continuationSeparator" w:id="0">
    <w:p w14:paraId="6262F425" w14:textId="77777777" w:rsidR="00C10C3C" w:rsidRDefault="00C10C3C" w:rsidP="00EA1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DB3"/>
    <w:multiLevelType w:val="multilevel"/>
    <w:tmpl w:val="0A48BBE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FD1B3F"/>
    <w:multiLevelType w:val="hybridMultilevel"/>
    <w:tmpl w:val="FA0E722E"/>
    <w:lvl w:ilvl="0" w:tplc="C69853EE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C05F9"/>
    <w:multiLevelType w:val="hybridMultilevel"/>
    <w:tmpl w:val="07E8CC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032019BB"/>
    <w:multiLevelType w:val="hybridMultilevel"/>
    <w:tmpl w:val="CE34413E"/>
    <w:lvl w:ilvl="0" w:tplc="65A60C2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5340F"/>
    <w:multiLevelType w:val="hybridMultilevel"/>
    <w:tmpl w:val="13DA0B1E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672A1"/>
    <w:multiLevelType w:val="multilevel"/>
    <w:tmpl w:val="A254E41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4" w:hanging="180"/>
      </w:pPr>
      <w:rPr>
        <w:rFonts w:hint="default"/>
      </w:rPr>
    </w:lvl>
  </w:abstractNum>
  <w:abstractNum w:abstractNumId="6" w15:restartNumberingAfterBreak="0">
    <w:nsid w:val="08D170CA"/>
    <w:multiLevelType w:val="hybridMultilevel"/>
    <w:tmpl w:val="5A9CAD84"/>
    <w:lvl w:ilvl="0" w:tplc="B0B8FA0E">
      <w:start w:val="1"/>
      <w:numFmt w:val="bullet"/>
      <w:suff w:val="space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78" w:hanging="360"/>
      </w:pPr>
    </w:lvl>
    <w:lvl w:ilvl="2" w:tplc="0415001B" w:tentative="1">
      <w:start w:val="1"/>
      <w:numFmt w:val="lowerRoman"/>
      <w:lvlText w:val="%3."/>
      <w:lvlJc w:val="right"/>
      <w:pPr>
        <w:ind w:left="2898" w:hanging="180"/>
      </w:pPr>
    </w:lvl>
    <w:lvl w:ilvl="3" w:tplc="0415000F" w:tentative="1">
      <w:start w:val="1"/>
      <w:numFmt w:val="decimal"/>
      <w:lvlText w:val="%4."/>
      <w:lvlJc w:val="left"/>
      <w:pPr>
        <w:ind w:left="3618" w:hanging="360"/>
      </w:pPr>
    </w:lvl>
    <w:lvl w:ilvl="4" w:tplc="04150019" w:tentative="1">
      <w:start w:val="1"/>
      <w:numFmt w:val="lowerLetter"/>
      <w:lvlText w:val="%5."/>
      <w:lvlJc w:val="left"/>
      <w:pPr>
        <w:ind w:left="4338" w:hanging="360"/>
      </w:pPr>
    </w:lvl>
    <w:lvl w:ilvl="5" w:tplc="0415001B" w:tentative="1">
      <w:start w:val="1"/>
      <w:numFmt w:val="lowerRoman"/>
      <w:lvlText w:val="%6."/>
      <w:lvlJc w:val="right"/>
      <w:pPr>
        <w:ind w:left="5058" w:hanging="180"/>
      </w:pPr>
    </w:lvl>
    <w:lvl w:ilvl="6" w:tplc="0415000F" w:tentative="1">
      <w:start w:val="1"/>
      <w:numFmt w:val="decimal"/>
      <w:lvlText w:val="%7."/>
      <w:lvlJc w:val="left"/>
      <w:pPr>
        <w:ind w:left="5778" w:hanging="360"/>
      </w:pPr>
    </w:lvl>
    <w:lvl w:ilvl="7" w:tplc="04150019" w:tentative="1">
      <w:start w:val="1"/>
      <w:numFmt w:val="lowerLetter"/>
      <w:lvlText w:val="%8."/>
      <w:lvlJc w:val="left"/>
      <w:pPr>
        <w:ind w:left="6498" w:hanging="360"/>
      </w:pPr>
    </w:lvl>
    <w:lvl w:ilvl="8" w:tplc="0415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7" w15:restartNumberingAfterBreak="0">
    <w:nsid w:val="0AA57FE8"/>
    <w:multiLevelType w:val="hybridMultilevel"/>
    <w:tmpl w:val="F2E03C76"/>
    <w:lvl w:ilvl="0" w:tplc="21A412D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E4720"/>
    <w:multiLevelType w:val="hybridMultilevel"/>
    <w:tmpl w:val="995CEC7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A229B"/>
    <w:multiLevelType w:val="multilevel"/>
    <w:tmpl w:val="ABB01C78"/>
    <w:lvl w:ilvl="0">
      <w:start w:val="1"/>
      <w:numFmt w:val="bullet"/>
      <w:lvlText w:val="●"/>
      <w:lvlJc w:val="left"/>
      <w:pPr>
        <w:ind w:left="14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E493EF5"/>
    <w:multiLevelType w:val="hybridMultilevel"/>
    <w:tmpl w:val="64D8494C"/>
    <w:lvl w:ilvl="0" w:tplc="110EB9EC">
      <w:start w:val="1"/>
      <w:numFmt w:val="bullet"/>
      <w:suff w:val="space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0E50472F"/>
    <w:multiLevelType w:val="hybridMultilevel"/>
    <w:tmpl w:val="BEEE227C"/>
    <w:lvl w:ilvl="0" w:tplc="19F8A28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74" w:hanging="360"/>
      </w:pPr>
    </w:lvl>
    <w:lvl w:ilvl="2" w:tplc="0415001B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0FD21965"/>
    <w:multiLevelType w:val="hybridMultilevel"/>
    <w:tmpl w:val="532079F0"/>
    <w:lvl w:ilvl="0" w:tplc="F1F26D54">
      <w:start w:val="1"/>
      <w:numFmt w:val="lowerLetter"/>
      <w:suff w:val="space"/>
      <w:lvlText w:val="%1)"/>
      <w:lvlJc w:val="left"/>
      <w:pPr>
        <w:ind w:left="227" w:firstLine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11" w:hanging="360"/>
      </w:pPr>
    </w:lvl>
    <w:lvl w:ilvl="2" w:tplc="0415001B" w:tentative="1">
      <w:start w:val="1"/>
      <w:numFmt w:val="lowerRoman"/>
      <w:lvlText w:val="%3."/>
      <w:lvlJc w:val="right"/>
      <w:pPr>
        <w:ind w:left="2331" w:hanging="180"/>
      </w:pPr>
    </w:lvl>
    <w:lvl w:ilvl="3" w:tplc="0415000F" w:tentative="1">
      <w:start w:val="1"/>
      <w:numFmt w:val="decimal"/>
      <w:lvlText w:val="%4."/>
      <w:lvlJc w:val="left"/>
      <w:pPr>
        <w:ind w:left="3051" w:hanging="360"/>
      </w:pPr>
    </w:lvl>
    <w:lvl w:ilvl="4" w:tplc="04150019" w:tentative="1">
      <w:start w:val="1"/>
      <w:numFmt w:val="lowerLetter"/>
      <w:lvlText w:val="%5."/>
      <w:lvlJc w:val="left"/>
      <w:pPr>
        <w:ind w:left="3771" w:hanging="360"/>
      </w:pPr>
    </w:lvl>
    <w:lvl w:ilvl="5" w:tplc="0415001B" w:tentative="1">
      <w:start w:val="1"/>
      <w:numFmt w:val="lowerRoman"/>
      <w:lvlText w:val="%6."/>
      <w:lvlJc w:val="right"/>
      <w:pPr>
        <w:ind w:left="4491" w:hanging="180"/>
      </w:pPr>
    </w:lvl>
    <w:lvl w:ilvl="6" w:tplc="0415000F" w:tentative="1">
      <w:start w:val="1"/>
      <w:numFmt w:val="decimal"/>
      <w:lvlText w:val="%7."/>
      <w:lvlJc w:val="left"/>
      <w:pPr>
        <w:ind w:left="5211" w:hanging="360"/>
      </w:pPr>
    </w:lvl>
    <w:lvl w:ilvl="7" w:tplc="04150019" w:tentative="1">
      <w:start w:val="1"/>
      <w:numFmt w:val="lowerLetter"/>
      <w:lvlText w:val="%8."/>
      <w:lvlJc w:val="left"/>
      <w:pPr>
        <w:ind w:left="5931" w:hanging="360"/>
      </w:pPr>
    </w:lvl>
    <w:lvl w:ilvl="8" w:tplc="0415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13" w15:restartNumberingAfterBreak="0">
    <w:nsid w:val="125205B0"/>
    <w:multiLevelType w:val="multilevel"/>
    <w:tmpl w:val="464C67D0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4" w:hanging="180"/>
      </w:pPr>
      <w:rPr>
        <w:rFonts w:hint="default"/>
      </w:rPr>
    </w:lvl>
  </w:abstractNum>
  <w:abstractNum w:abstractNumId="14" w15:restartNumberingAfterBreak="0">
    <w:nsid w:val="132D66FE"/>
    <w:multiLevelType w:val="hybridMultilevel"/>
    <w:tmpl w:val="995CEC7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755E4B"/>
    <w:multiLevelType w:val="hybridMultilevel"/>
    <w:tmpl w:val="F2E03C76"/>
    <w:lvl w:ilvl="0" w:tplc="21A412D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2B6622"/>
    <w:multiLevelType w:val="multilevel"/>
    <w:tmpl w:val="1B363E3E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1A990F71"/>
    <w:multiLevelType w:val="multilevel"/>
    <w:tmpl w:val="045C8FBC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B8151E3"/>
    <w:multiLevelType w:val="multilevel"/>
    <w:tmpl w:val="D7EE7E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1.%2.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2" w:hanging="1440"/>
      </w:pPr>
      <w:rPr>
        <w:rFonts w:hint="default"/>
      </w:rPr>
    </w:lvl>
  </w:abstractNum>
  <w:abstractNum w:abstractNumId="19" w15:restartNumberingAfterBreak="0">
    <w:nsid w:val="1CA50C66"/>
    <w:multiLevelType w:val="hybridMultilevel"/>
    <w:tmpl w:val="433CB5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 w15:restartNumberingAfterBreak="0">
    <w:nsid w:val="1D160692"/>
    <w:multiLevelType w:val="hybridMultilevel"/>
    <w:tmpl w:val="59EE6866"/>
    <w:lvl w:ilvl="0" w:tplc="3D80D87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795091"/>
    <w:multiLevelType w:val="hybridMultilevel"/>
    <w:tmpl w:val="B32087EA"/>
    <w:lvl w:ilvl="0" w:tplc="308CEEF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662A25"/>
    <w:multiLevelType w:val="hybridMultilevel"/>
    <w:tmpl w:val="433CB5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 w15:restartNumberingAfterBreak="0">
    <w:nsid w:val="219C07B5"/>
    <w:multiLevelType w:val="hybridMultilevel"/>
    <w:tmpl w:val="433CB5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 w15:restartNumberingAfterBreak="0">
    <w:nsid w:val="22F67BFC"/>
    <w:multiLevelType w:val="multilevel"/>
    <w:tmpl w:val="1932EE0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C54BAE"/>
    <w:multiLevelType w:val="hybridMultilevel"/>
    <w:tmpl w:val="433CB5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 w15:restartNumberingAfterBreak="0">
    <w:nsid w:val="268622CA"/>
    <w:multiLevelType w:val="hybridMultilevel"/>
    <w:tmpl w:val="56325382"/>
    <w:lvl w:ilvl="0" w:tplc="42EEFBB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26F1329A"/>
    <w:multiLevelType w:val="multilevel"/>
    <w:tmpl w:val="0964863C"/>
    <w:lvl w:ilvl="0">
      <w:start w:val="1"/>
      <w:numFmt w:val="bullet"/>
      <w:suff w:val="space"/>
      <w:lvlText w:val="−"/>
      <w:lvlJc w:val="left"/>
      <w:pPr>
        <w:ind w:left="1458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233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051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771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49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211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931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65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371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8" w15:restartNumberingAfterBreak="0">
    <w:nsid w:val="27273688"/>
    <w:multiLevelType w:val="multilevel"/>
    <w:tmpl w:val="3DAC6316"/>
    <w:lvl w:ilvl="0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284F223A"/>
    <w:multiLevelType w:val="multilevel"/>
    <w:tmpl w:val="38D812DE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74" w:hanging="180"/>
      </w:pPr>
      <w:rPr>
        <w:rFonts w:hint="default"/>
      </w:rPr>
    </w:lvl>
  </w:abstractNum>
  <w:abstractNum w:abstractNumId="30" w15:restartNumberingAfterBreak="0">
    <w:nsid w:val="29E208D2"/>
    <w:multiLevelType w:val="hybridMultilevel"/>
    <w:tmpl w:val="56325382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2AFD56BC"/>
    <w:multiLevelType w:val="hybridMultilevel"/>
    <w:tmpl w:val="EACE9D64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9D5C85"/>
    <w:multiLevelType w:val="multilevel"/>
    <w:tmpl w:val="464C67D0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4" w:hanging="180"/>
      </w:pPr>
      <w:rPr>
        <w:rFonts w:hint="default"/>
      </w:rPr>
    </w:lvl>
  </w:abstractNum>
  <w:abstractNum w:abstractNumId="33" w15:restartNumberingAfterBreak="0">
    <w:nsid w:val="2C18412B"/>
    <w:multiLevelType w:val="multilevel"/>
    <w:tmpl w:val="140EE1F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F4B1F37"/>
    <w:multiLevelType w:val="hybridMultilevel"/>
    <w:tmpl w:val="433CB5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 w15:restartNumberingAfterBreak="0">
    <w:nsid w:val="311066EF"/>
    <w:multiLevelType w:val="hybridMultilevel"/>
    <w:tmpl w:val="27622ACA"/>
    <w:lvl w:ilvl="0" w:tplc="7FE27E9C">
      <w:start w:val="1"/>
      <w:numFmt w:val="decimal"/>
      <w:suff w:val="space"/>
      <w:lvlText w:val="%1)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092FCC"/>
    <w:multiLevelType w:val="hybridMultilevel"/>
    <w:tmpl w:val="13DA0B1E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B603E8"/>
    <w:multiLevelType w:val="hybridMultilevel"/>
    <w:tmpl w:val="07E8CC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 w15:restartNumberingAfterBreak="0">
    <w:nsid w:val="3AAD3943"/>
    <w:multiLevelType w:val="hybridMultilevel"/>
    <w:tmpl w:val="857A2FF4"/>
    <w:lvl w:ilvl="0" w:tplc="AC3AC238">
      <w:start w:val="1"/>
      <w:numFmt w:val="bullet"/>
      <w:suff w:val="space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39" w15:restartNumberingAfterBreak="0">
    <w:nsid w:val="3B7F3CEA"/>
    <w:multiLevelType w:val="hybridMultilevel"/>
    <w:tmpl w:val="07E8CC0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0" w15:restartNumberingAfterBreak="0">
    <w:nsid w:val="3F52614B"/>
    <w:multiLevelType w:val="hybridMultilevel"/>
    <w:tmpl w:val="995CEC7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D8652B"/>
    <w:multiLevelType w:val="hybridMultilevel"/>
    <w:tmpl w:val="8DCAE5C8"/>
    <w:lvl w:ilvl="0" w:tplc="24A64F7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2" w15:restartNumberingAfterBreak="0">
    <w:nsid w:val="40FE1F12"/>
    <w:multiLevelType w:val="multilevel"/>
    <w:tmpl w:val="599042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43" w15:restartNumberingAfterBreak="0">
    <w:nsid w:val="42FC104E"/>
    <w:multiLevelType w:val="multilevel"/>
    <w:tmpl w:val="81CA7F7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430D1DE8"/>
    <w:multiLevelType w:val="hybridMultilevel"/>
    <w:tmpl w:val="AC1E95B8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43DB7630"/>
    <w:multiLevelType w:val="hybridMultilevel"/>
    <w:tmpl w:val="433CB504"/>
    <w:lvl w:ilvl="0" w:tplc="08C0F1F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6" w15:restartNumberingAfterBreak="0">
    <w:nsid w:val="470B3BB9"/>
    <w:multiLevelType w:val="multilevel"/>
    <w:tmpl w:val="247890CE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4" w:hanging="180"/>
      </w:pPr>
      <w:rPr>
        <w:rFonts w:hint="default"/>
      </w:rPr>
    </w:lvl>
  </w:abstractNum>
  <w:abstractNum w:abstractNumId="47" w15:restartNumberingAfterBreak="0">
    <w:nsid w:val="4A1834FC"/>
    <w:multiLevelType w:val="multilevel"/>
    <w:tmpl w:val="045C8FBC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455A1C"/>
    <w:multiLevelType w:val="hybridMultilevel"/>
    <w:tmpl w:val="EACE9D64"/>
    <w:lvl w:ilvl="0" w:tplc="06647998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2E4921"/>
    <w:multiLevelType w:val="hybridMultilevel"/>
    <w:tmpl w:val="8708A5E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CE24BBB"/>
    <w:multiLevelType w:val="hybridMultilevel"/>
    <w:tmpl w:val="8DCAE5C8"/>
    <w:lvl w:ilvl="0" w:tplc="24A64F7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1" w15:restartNumberingAfterBreak="0">
    <w:nsid w:val="4D8E17F0"/>
    <w:multiLevelType w:val="hybridMultilevel"/>
    <w:tmpl w:val="EACE9D64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0665F"/>
    <w:multiLevelType w:val="hybridMultilevel"/>
    <w:tmpl w:val="433CB504"/>
    <w:lvl w:ilvl="0" w:tplc="08C0F1F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3" w15:restartNumberingAfterBreak="0">
    <w:nsid w:val="53C20E81"/>
    <w:multiLevelType w:val="multilevel"/>
    <w:tmpl w:val="3A846CAE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565414E6"/>
    <w:multiLevelType w:val="hybridMultilevel"/>
    <w:tmpl w:val="1E74BB0C"/>
    <w:lvl w:ilvl="0" w:tplc="C6D8C0F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72104E"/>
    <w:multiLevelType w:val="hybridMultilevel"/>
    <w:tmpl w:val="995CEC7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6929A2"/>
    <w:multiLevelType w:val="hybridMultilevel"/>
    <w:tmpl w:val="3DAA2974"/>
    <w:lvl w:ilvl="0" w:tplc="8788122E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6D05B5"/>
    <w:multiLevelType w:val="hybridMultilevel"/>
    <w:tmpl w:val="8708A5E4"/>
    <w:lvl w:ilvl="0" w:tplc="419EC0D6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A9E16D6"/>
    <w:multiLevelType w:val="multilevel"/>
    <w:tmpl w:val="E9167C1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C5C74F8"/>
    <w:multiLevelType w:val="multilevel"/>
    <w:tmpl w:val="474EC7D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5CB56004"/>
    <w:multiLevelType w:val="multilevel"/>
    <w:tmpl w:val="491E94B4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1" w15:restartNumberingAfterBreak="0">
    <w:nsid w:val="5E786C21"/>
    <w:multiLevelType w:val="hybridMultilevel"/>
    <w:tmpl w:val="DB34F7BE"/>
    <w:lvl w:ilvl="0" w:tplc="0456CEA4">
      <w:start w:val="1"/>
      <w:numFmt w:val="bullet"/>
      <w:suff w:val="space"/>
      <w:lvlText w:val=""/>
      <w:lvlJc w:val="left"/>
      <w:pPr>
        <w:ind w:left="14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62" w15:restartNumberingAfterBreak="0">
    <w:nsid w:val="5F632462"/>
    <w:multiLevelType w:val="hybridMultilevel"/>
    <w:tmpl w:val="3DAA297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883C81"/>
    <w:multiLevelType w:val="multilevel"/>
    <w:tmpl w:val="985EB98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4" w15:restartNumberingAfterBreak="0">
    <w:nsid w:val="611368F3"/>
    <w:multiLevelType w:val="multilevel"/>
    <w:tmpl w:val="E33881A6"/>
    <w:lvl w:ilvl="0">
      <w:start w:val="2"/>
      <w:numFmt w:val="lowerLetter"/>
      <w:lvlText w:val="%1)"/>
      <w:lvlJc w:val="left"/>
      <w:pPr>
        <w:ind w:left="1458" w:hanging="360"/>
      </w:p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65" w15:restartNumberingAfterBreak="0">
    <w:nsid w:val="650F2ADE"/>
    <w:multiLevelType w:val="multilevel"/>
    <w:tmpl w:val="67B85322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6649466D"/>
    <w:multiLevelType w:val="hybridMultilevel"/>
    <w:tmpl w:val="8708A5E4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6A93F61"/>
    <w:multiLevelType w:val="hybridMultilevel"/>
    <w:tmpl w:val="995CEC7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CD22F6"/>
    <w:multiLevelType w:val="hybridMultilevel"/>
    <w:tmpl w:val="EACE9D64"/>
    <w:lvl w:ilvl="0" w:tplc="06647998">
      <w:start w:val="1"/>
      <w:numFmt w:val="decimal"/>
      <w:suff w:val="space"/>
      <w:lvlText w:val="%1)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307" w:hanging="360"/>
      </w:pPr>
    </w:lvl>
    <w:lvl w:ilvl="2" w:tplc="0415001B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9" w15:restartNumberingAfterBreak="0">
    <w:nsid w:val="66D844C1"/>
    <w:multiLevelType w:val="hybridMultilevel"/>
    <w:tmpl w:val="07E8CC04"/>
    <w:lvl w:ilvl="0" w:tplc="5C7A404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4" w:hanging="360"/>
      </w:pPr>
    </w:lvl>
    <w:lvl w:ilvl="2" w:tplc="FFFFFFFF" w:tentative="1">
      <w:start w:val="1"/>
      <w:numFmt w:val="lowerRoman"/>
      <w:lvlText w:val="%3."/>
      <w:lvlJc w:val="right"/>
      <w:pPr>
        <w:ind w:left="2194" w:hanging="180"/>
      </w:pPr>
    </w:lvl>
    <w:lvl w:ilvl="3" w:tplc="FFFFFFFF" w:tentative="1">
      <w:start w:val="1"/>
      <w:numFmt w:val="decimal"/>
      <w:lvlText w:val="%4."/>
      <w:lvlJc w:val="left"/>
      <w:pPr>
        <w:ind w:left="2914" w:hanging="360"/>
      </w:pPr>
    </w:lvl>
    <w:lvl w:ilvl="4" w:tplc="FFFFFFFF" w:tentative="1">
      <w:start w:val="1"/>
      <w:numFmt w:val="lowerLetter"/>
      <w:lvlText w:val="%5."/>
      <w:lvlJc w:val="left"/>
      <w:pPr>
        <w:ind w:left="3634" w:hanging="360"/>
      </w:pPr>
    </w:lvl>
    <w:lvl w:ilvl="5" w:tplc="FFFFFFFF" w:tentative="1">
      <w:start w:val="1"/>
      <w:numFmt w:val="lowerRoman"/>
      <w:lvlText w:val="%6."/>
      <w:lvlJc w:val="right"/>
      <w:pPr>
        <w:ind w:left="4354" w:hanging="180"/>
      </w:pPr>
    </w:lvl>
    <w:lvl w:ilvl="6" w:tplc="FFFFFFFF" w:tentative="1">
      <w:start w:val="1"/>
      <w:numFmt w:val="decimal"/>
      <w:lvlText w:val="%7."/>
      <w:lvlJc w:val="left"/>
      <w:pPr>
        <w:ind w:left="5074" w:hanging="360"/>
      </w:pPr>
    </w:lvl>
    <w:lvl w:ilvl="7" w:tplc="FFFFFFFF" w:tentative="1">
      <w:start w:val="1"/>
      <w:numFmt w:val="lowerLetter"/>
      <w:lvlText w:val="%8."/>
      <w:lvlJc w:val="left"/>
      <w:pPr>
        <w:ind w:left="5794" w:hanging="360"/>
      </w:pPr>
    </w:lvl>
    <w:lvl w:ilvl="8" w:tplc="FFFFFFFF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0" w15:restartNumberingAfterBreak="0">
    <w:nsid w:val="67416999"/>
    <w:multiLevelType w:val="hybridMultilevel"/>
    <w:tmpl w:val="6568DAC4"/>
    <w:lvl w:ilvl="0" w:tplc="361C33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F44CCA"/>
    <w:multiLevelType w:val="hybridMultilevel"/>
    <w:tmpl w:val="BEEE227C"/>
    <w:lvl w:ilvl="0" w:tplc="19F8A28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2" w15:restartNumberingAfterBreak="0">
    <w:nsid w:val="68026640"/>
    <w:multiLevelType w:val="hybridMultilevel"/>
    <w:tmpl w:val="A48C2E2C"/>
    <w:lvl w:ilvl="0" w:tplc="DA0C9E7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3" w15:restartNumberingAfterBreak="0">
    <w:nsid w:val="680974E0"/>
    <w:multiLevelType w:val="hybridMultilevel"/>
    <w:tmpl w:val="532079F0"/>
    <w:lvl w:ilvl="0" w:tplc="F1F26D54">
      <w:start w:val="1"/>
      <w:numFmt w:val="lowerLetter"/>
      <w:suff w:val="space"/>
      <w:lvlText w:val="%1)"/>
      <w:lvlJc w:val="left"/>
      <w:pPr>
        <w:ind w:left="227" w:firstLine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11" w:hanging="360"/>
      </w:pPr>
    </w:lvl>
    <w:lvl w:ilvl="2" w:tplc="0415001B" w:tentative="1">
      <w:start w:val="1"/>
      <w:numFmt w:val="lowerRoman"/>
      <w:lvlText w:val="%3."/>
      <w:lvlJc w:val="right"/>
      <w:pPr>
        <w:ind w:left="2331" w:hanging="180"/>
      </w:pPr>
    </w:lvl>
    <w:lvl w:ilvl="3" w:tplc="0415000F" w:tentative="1">
      <w:start w:val="1"/>
      <w:numFmt w:val="decimal"/>
      <w:lvlText w:val="%4."/>
      <w:lvlJc w:val="left"/>
      <w:pPr>
        <w:ind w:left="3051" w:hanging="360"/>
      </w:pPr>
    </w:lvl>
    <w:lvl w:ilvl="4" w:tplc="04150019" w:tentative="1">
      <w:start w:val="1"/>
      <w:numFmt w:val="lowerLetter"/>
      <w:lvlText w:val="%5."/>
      <w:lvlJc w:val="left"/>
      <w:pPr>
        <w:ind w:left="3771" w:hanging="360"/>
      </w:pPr>
    </w:lvl>
    <w:lvl w:ilvl="5" w:tplc="0415001B" w:tentative="1">
      <w:start w:val="1"/>
      <w:numFmt w:val="lowerRoman"/>
      <w:lvlText w:val="%6."/>
      <w:lvlJc w:val="right"/>
      <w:pPr>
        <w:ind w:left="4491" w:hanging="180"/>
      </w:pPr>
    </w:lvl>
    <w:lvl w:ilvl="6" w:tplc="0415000F" w:tentative="1">
      <w:start w:val="1"/>
      <w:numFmt w:val="decimal"/>
      <w:lvlText w:val="%7."/>
      <w:lvlJc w:val="left"/>
      <w:pPr>
        <w:ind w:left="5211" w:hanging="360"/>
      </w:pPr>
    </w:lvl>
    <w:lvl w:ilvl="7" w:tplc="04150019" w:tentative="1">
      <w:start w:val="1"/>
      <w:numFmt w:val="lowerLetter"/>
      <w:lvlText w:val="%8."/>
      <w:lvlJc w:val="left"/>
      <w:pPr>
        <w:ind w:left="5931" w:hanging="360"/>
      </w:pPr>
    </w:lvl>
    <w:lvl w:ilvl="8" w:tplc="0415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74" w15:restartNumberingAfterBreak="0">
    <w:nsid w:val="6A70195F"/>
    <w:multiLevelType w:val="hybridMultilevel"/>
    <w:tmpl w:val="4208A6D0"/>
    <w:lvl w:ilvl="0" w:tplc="6220D5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2A6FA3"/>
    <w:multiLevelType w:val="multilevel"/>
    <w:tmpl w:val="3C5E58F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6" w15:restartNumberingAfterBreak="0">
    <w:nsid w:val="6B54429F"/>
    <w:multiLevelType w:val="hybridMultilevel"/>
    <w:tmpl w:val="EACE9D64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DF1898"/>
    <w:multiLevelType w:val="hybridMultilevel"/>
    <w:tmpl w:val="4238D692"/>
    <w:lvl w:ilvl="0" w:tplc="9BF6B17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B5D7D"/>
    <w:multiLevelType w:val="hybridMultilevel"/>
    <w:tmpl w:val="995CEC7A"/>
    <w:lvl w:ilvl="0" w:tplc="8DB6007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38027B"/>
    <w:multiLevelType w:val="hybridMultilevel"/>
    <w:tmpl w:val="FA0E722E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0F3DA7"/>
    <w:multiLevelType w:val="multilevel"/>
    <w:tmpl w:val="C0C4BC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81" w15:restartNumberingAfterBreak="0">
    <w:nsid w:val="79C13165"/>
    <w:multiLevelType w:val="multilevel"/>
    <w:tmpl w:val="464C67D0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4" w:hanging="180"/>
      </w:pPr>
      <w:rPr>
        <w:rFonts w:hint="default"/>
      </w:rPr>
    </w:lvl>
  </w:abstractNum>
  <w:abstractNum w:abstractNumId="82" w15:restartNumberingAfterBreak="0">
    <w:nsid w:val="7A667AD2"/>
    <w:multiLevelType w:val="multilevel"/>
    <w:tmpl w:val="F57C5CF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sz w:val="22"/>
      </w:rPr>
    </w:lvl>
  </w:abstractNum>
  <w:abstractNum w:abstractNumId="83" w15:restartNumberingAfterBreak="0">
    <w:nsid w:val="7C907795"/>
    <w:multiLevelType w:val="hybridMultilevel"/>
    <w:tmpl w:val="0D2CCAD8"/>
    <w:lvl w:ilvl="0" w:tplc="18BA01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EAAA0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4A4875"/>
    <w:multiLevelType w:val="hybridMultilevel"/>
    <w:tmpl w:val="13DA0B1E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E695335"/>
    <w:multiLevelType w:val="multilevel"/>
    <w:tmpl w:val="0A48BBE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7EC361F7"/>
    <w:multiLevelType w:val="hybridMultilevel"/>
    <w:tmpl w:val="FA0E722E"/>
    <w:lvl w:ilvl="0" w:tplc="FFFFFFFF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D75C4C"/>
    <w:multiLevelType w:val="hybridMultilevel"/>
    <w:tmpl w:val="13DA0B1E"/>
    <w:lvl w:ilvl="0" w:tplc="936AE41A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349896">
    <w:abstractNumId w:val="82"/>
  </w:num>
  <w:num w:numId="2" w16cid:durableId="46420430">
    <w:abstractNumId w:val="20"/>
  </w:num>
  <w:num w:numId="3" w16cid:durableId="2047559579">
    <w:abstractNumId w:val="48"/>
  </w:num>
  <w:num w:numId="4" w16cid:durableId="1030688009">
    <w:abstractNumId w:val="73"/>
  </w:num>
  <w:num w:numId="5" w16cid:durableId="1741711825">
    <w:abstractNumId w:val="61"/>
  </w:num>
  <w:num w:numId="6" w16cid:durableId="739980442">
    <w:abstractNumId w:val="77"/>
  </w:num>
  <w:num w:numId="7" w16cid:durableId="377432805">
    <w:abstractNumId w:val="45"/>
  </w:num>
  <w:num w:numId="8" w16cid:durableId="404574334">
    <w:abstractNumId w:val="71"/>
  </w:num>
  <w:num w:numId="9" w16cid:durableId="1158769411">
    <w:abstractNumId w:val="47"/>
  </w:num>
  <w:num w:numId="10" w16cid:durableId="2048066722">
    <w:abstractNumId w:val="70"/>
  </w:num>
  <w:num w:numId="11" w16cid:durableId="1938708715">
    <w:abstractNumId w:val="41"/>
  </w:num>
  <w:num w:numId="12" w16cid:durableId="2002349571">
    <w:abstractNumId w:val="15"/>
  </w:num>
  <w:num w:numId="13" w16cid:durableId="958142590">
    <w:abstractNumId w:val="78"/>
  </w:num>
  <w:num w:numId="14" w16cid:durableId="1005858702">
    <w:abstractNumId w:val="57"/>
  </w:num>
  <w:num w:numId="15" w16cid:durableId="1470393096">
    <w:abstractNumId w:val="56"/>
  </w:num>
  <w:num w:numId="16" w16cid:durableId="1141844083">
    <w:abstractNumId w:val="26"/>
  </w:num>
  <w:num w:numId="17" w16cid:durableId="1005404718">
    <w:abstractNumId w:val="1"/>
  </w:num>
  <w:num w:numId="18" w16cid:durableId="1922979871">
    <w:abstractNumId w:val="63"/>
  </w:num>
  <w:num w:numId="19" w16cid:durableId="1546674955">
    <w:abstractNumId w:val="6"/>
  </w:num>
  <w:num w:numId="20" w16cid:durableId="106584032">
    <w:abstractNumId w:val="3"/>
  </w:num>
  <w:num w:numId="21" w16cid:durableId="405342743">
    <w:abstractNumId w:val="72"/>
  </w:num>
  <w:num w:numId="22" w16cid:durableId="952513533">
    <w:abstractNumId w:val="38"/>
  </w:num>
  <w:num w:numId="23" w16cid:durableId="180898271">
    <w:abstractNumId w:val="10"/>
  </w:num>
  <w:num w:numId="24" w16cid:durableId="1284458999">
    <w:abstractNumId w:val="83"/>
  </w:num>
  <w:num w:numId="25" w16cid:durableId="779031256">
    <w:abstractNumId w:val="18"/>
  </w:num>
  <w:num w:numId="26" w16cid:durableId="995839307">
    <w:abstractNumId w:val="21"/>
  </w:num>
  <w:num w:numId="27" w16cid:durableId="651912900">
    <w:abstractNumId w:val="35"/>
  </w:num>
  <w:num w:numId="28" w16cid:durableId="2072923572">
    <w:abstractNumId w:val="75"/>
  </w:num>
  <w:num w:numId="29" w16cid:durableId="1925916727">
    <w:abstractNumId w:val="69"/>
  </w:num>
  <w:num w:numId="30" w16cid:durableId="837231357">
    <w:abstractNumId w:val="87"/>
  </w:num>
  <w:num w:numId="31" w16cid:durableId="840319925">
    <w:abstractNumId w:val="85"/>
  </w:num>
  <w:num w:numId="32" w16cid:durableId="516576761">
    <w:abstractNumId w:val="51"/>
  </w:num>
  <w:num w:numId="33" w16cid:durableId="593824315">
    <w:abstractNumId w:val="63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440"/>
        </w:pPr>
        <w:rPr>
          <w:rFonts w:hint="default"/>
        </w:rPr>
      </w:lvl>
    </w:lvlOverride>
  </w:num>
  <w:num w:numId="34" w16cid:durableId="603002137">
    <w:abstractNumId w:val="84"/>
  </w:num>
  <w:num w:numId="35" w16cid:durableId="406272133">
    <w:abstractNumId w:val="22"/>
  </w:num>
  <w:num w:numId="36" w16cid:durableId="788816771">
    <w:abstractNumId w:val="19"/>
  </w:num>
  <w:num w:numId="37" w16cid:durableId="945187540">
    <w:abstractNumId w:val="34"/>
  </w:num>
  <w:num w:numId="38" w16cid:durableId="2029868768">
    <w:abstractNumId w:val="67"/>
  </w:num>
  <w:num w:numId="39" w16cid:durableId="1527451738">
    <w:abstractNumId w:val="14"/>
  </w:num>
  <w:num w:numId="40" w16cid:durableId="2029410270">
    <w:abstractNumId w:val="37"/>
  </w:num>
  <w:num w:numId="41" w16cid:durableId="736560238">
    <w:abstractNumId w:val="2"/>
  </w:num>
  <w:num w:numId="42" w16cid:durableId="929003020">
    <w:abstractNumId w:val="39"/>
  </w:num>
  <w:num w:numId="43" w16cid:durableId="1249196226">
    <w:abstractNumId w:val="36"/>
  </w:num>
  <w:num w:numId="44" w16cid:durableId="798572211">
    <w:abstractNumId w:val="4"/>
  </w:num>
  <w:num w:numId="45" w16cid:durableId="1762488635">
    <w:abstractNumId w:val="0"/>
  </w:num>
  <w:num w:numId="46" w16cid:durableId="1414858220">
    <w:abstractNumId w:val="8"/>
  </w:num>
  <w:num w:numId="47" w16cid:durableId="1796632422">
    <w:abstractNumId w:val="40"/>
  </w:num>
  <w:num w:numId="48" w16cid:durableId="1095394962">
    <w:abstractNumId w:val="55"/>
  </w:num>
  <w:num w:numId="49" w16cid:durableId="173038831">
    <w:abstractNumId w:val="30"/>
  </w:num>
  <w:num w:numId="50" w16cid:durableId="281114471">
    <w:abstractNumId w:val="66"/>
  </w:num>
  <w:num w:numId="51" w16cid:durableId="133183566">
    <w:abstractNumId w:val="79"/>
  </w:num>
  <w:num w:numId="52" w16cid:durableId="621036498">
    <w:abstractNumId w:val="44"/>
  </w:num>
  <w:num w:numId="53" w16cid:durableId="1628664860">
    <w:abstractNumId w:val="49"/>
  </w:num>
  <w:num w:numId="54" w16cid:durableId="1577007463">
    <w:abstractNumId w:val="62"/>
  </w:num>
  <w:num w:numId="55" w16cid:durableId="997420710">
    <w:abstractNumId w:val="86"/>
  </w:num>
  <w:num w:numId="56" w16cid:durableId="137459407">
    <w:abstractNumId w:val="74"/>
  </w:num>
  <w:num w:numId="57" w16cid:durableId="424885275">
    <w:abstractNumId w:val="43"/>
  </w:num>
  <w:num w:numId="58" w16cid:durableId="690379179">
    <w:abstractNumId w:val="46"/>
  </w:num>
  <w:num w:numId="59" w16cid:durableId="1988124992">
    <w:abstractNumId w:val="59"/>
  </w:num>
  <w:num w:numId="60" w16cid:durableId="2113891677">
    <w:abstractNumId w:val="42"/>
  </w:num>
  <w:num w:numId="61" w16cid:durableId="1001199788">
    <w:abstractNumId w:val="80"/>
  </w:num>
  <w:num w:numId="62" w16cid:durableId="959454605">
    <w:abstractNumId w:val="13"/>
  </w:num>
  <w:num w:numId="63" w16cid:durableId="180124380">
    <w:abstractNumId w:val="5"/>
  </w:num>
  <w:num w:numId="64" w16cid:durableId="2024088438">
    <w:abstractNumId w:val="53"/>
  </w:num>
  <w:num w:numId="65" w16cid:durableId="1124541702">
    <w:abstractNumId w:val="27"/>
  </w:num>
  <w:num w:numId="66" w16cid:durableId="1002319360">
    <w:abstractNumId w:val="24"/>
  </w:num>
  <w:num w:numId="67" w16cid:durableId="1618367831">
    <w:abstractNumId w:val="29"/>
  </w:num>
  <w:num w:numId="68" w16cid:durableId="320159653">
    <w:abstractNumId w:val="33"/>
  </w:num>
  <w:num w:numId="69" w16cid:durableId="1967080253">
    <w:abstractNumId w:val="58"/>
  </w:num>
  <w:num w:numId="70" w16cid:durableId="899366448">
    <w:abstractNumId w:val="64"/>
  </w:num>
  <w:num w:numId="71" w16cid:durableId="884415618">
    <w:abstractNumId w:val="16"/>
  </w:num>
  <w:num w:numId="72" w16cid:durableId="1777752747">
    <w:abstractNumId w:val="9"/>
  </w:num>
  <w:num w:numId="73" w16cid:durableId="184175901">
    <w:abstractNumId w:val="76"/>
  </w:num>
  <w:num w:numId="74" w16cid:durableId="819688184">
    <w:abstractNumId w:val="28"/>
  </w:num>
  <w:num w:numId="75" w16cid:durableId="1522939129">
    <w:abstractNumId w:val="60"/>
  </w:num>
  <w:num w:numId="76" w16cid:durableId="2074693989">
    <w:abstractNumId w:val="17"/>
  </w:num>
  <w:num w:numId="77" w16cid:durableId="128668029">
    <w:abstractNumId w:val="68"/>
  </w:num>
  <w:num w:numId="78" w16cid:durableId="594676069">
    <w:abstractNumId w:val="12"/>
  </w:num>
  <w:num w:numId="79" w16cid:durableId="875778284">
    <w:abstractNumId w:val="54"/>
  </w:num>
  <w:num w:numId="80" w16cid:durableId="1957593039">
    <w:abstractNumId w:val="65"/>
  </w:num>
  <w:num w:numId="81" w16cid:durableId="49808426">
    <w:abstractNumId w:val="31"/>
  </w:num>
  <w:num w:numId="82" w16cid:durableId="2092577386">
    <w:abstractNumId w:val="11"/>
  </w:num>
  <w:num w:numId="83" w16cid:durableId="1333483075">
    <w:abstractNumId w:val="25"/>
  </w:num>
  <w:num w:numId="84" w16cid:durableId="1708338136">
    <w:abstractNumId w:val="23"/>
  </w:num>
  <w:num w:numId="85" w16cid:durableId="611864019">
    <w:abstractNumId w:val="52"/>
  </w:num>
  <w:num w:numId="86" w16cid:durableId="1445265932">
    <w:abstractNumId w:val="50"/>
  </w:num>
  <w:num w:numId="87" w16cid:durableId="1446198712">
    <w:abstractNumId w:val="7"/>
  </w:num>
  <w:num w:numId="88" w16cid:durableId="531655376">
    <w:abstractNumId w:val="32"/>
  </w:num>
  <w:num w:numId="89" w16cid:durableId="504328121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774E"/>
    <w:rsid w:val="00016E7D"/>
    <w:rsid w:val="0001743B"/>
    <w:rsid w:val="00022FFD"/>
    <w:rsid w:val="0002328C"/>
    <w:rsid w:val="00026323"/>
    <w:rsid w:val="0004348E"/>
    <w:rsid w:val="0004522F"/>
    <w:rsid w:val="00057345"/>
    <w:rsid w:val="000608BE"/>
    <w:rsid w:val="000620CA"/>
    <w:rsid w:val="00063493"/>
    <w:rsid w:val="000641A9"/>
    <w:rsid w:val="0006667C"/>
    <w:rsid w:val="00071DE2"/>
    <w:rsid w:val="000754AD"/>
    <w:rsid w:val="00083D54"/>
    <w:rsid w:val="0008481F"/>
    <w:rsid w:val="000860BC"/>
    <w:rsid w:val="00090E05"/>
    <w:rsid w:val="000919E3"/>
    <w:rsid w:val="00091FE7"/>
    <w:rsid w:val="0009357D"/>
    <w:rsid w:val="00097CEA"/>
    <w:rsid w:val="000A14E1"/>
    <w:rsid w:val="000A3B50"/>
    <w:rsid w:val="000B0443"/>
    <w:rsid w:val="000B54B9"/>
    <w:rsid w:val="000C26A5"/>
    <w:rsid w:val="000E1E9D"/>
    <w:rsid w:val="000F2CBF"/>
    <w:rsid w:val="000F34A8"/>
    <w:rsid w:val="00101A8D"/>
    <w:rsid w:val="00102D95"/>
    <w:rsid w:val="00105874"/>
    <w:rsid w:val="00105F86"/>
    <w:rsid w:val="001122F3"/>
    <w:rsid w:val="0012196A"/>
    <w:rsid w:val="0012700F"/>
    <w:rsid w:val="00130D12"/>
    <w:rsid w:val="00133F4C"/>
    <w:rsid w:val="00136003"/>
    <w:rsid w:val="001372C9"/>
    <w:rsid w:val="001378F3"/>
    <w:rsid w:val="00143700"/>
    <w:rsid w:val="00151EB2"/>
    <w:rsid w:val="0016251B"/>
    <w:rsid w:val="001637F5"/>
    <w:rsid w:val="00164B87"/>
    <w:rsid w:val="00165BB5"/>
    <w:rsid w:val="00171A23"/>
    <w:rsid w:val="001763D3"/>
    <w:rsid w:val="001807E9"/>
    <w:rsid w:val="001823BC"/>
    <w:rsid w:val="00184FCE"/>
    <w:rsid w:val="001B1B22"/>
    <w:rsid w:val="001B56AA"/>
    <w:rsid w:val="001D2025"/>
    <w:rsid w:val="001D297C"/>
    <w:rsid w:val="001E75E2"/>
    <w:rsid w:val="001E77A1"/>
    <w:rsid w:val="001E7C9A"/>
    <w:rsid w:val="001F2F3D"/>
    <w:rsid w:val="001F319F"/>
    <w:rsid w:val="002026CD"/>
    <w:rsid w:val="0020289B"/>
    <w:rsid w:val="00205A84"/>
    <w:rsid w:val="002103A9"/>
    <w:rsid w:val="00211ACB"/>
    <w:rsid w:val="00212A19"/>
    <w:rsid w:val="00213BFB"/>
    <w:rsid w:val="00222625"/>
    <w:rsid w:val="00230B01"/>
    <w:rsid w:val="00230E28"/>
    <w:rsid w:val="00237709"/>
    <w:rsid w:val="0024115A"/>
    <w:rsid w:val="00242455"/>
    <w:rsid w:val="002540F9"/>
    <w:rsid w:val="00265957"/>
    <w:rsid w:val="002673C9"/>
    <w:rsid w:val="0027100C"/>
    <w:rsid w:val="00276F01"/>
    <w:rsid w:val="00282981"/>
    <w:rsid w:val="00287315"/>
    <w:rsid w:val="00291924"/>
    <w:rsid w:val="002A253A"/>
    <w:rsid w:val="002A4ECE"/>
    <w:rsid w:val="002B3FE9"/>
    <w:rsid w:val="002B65E9"/>
    <w:rsid w:val="002C6734"/>
    <w:rsid w:val="002D1778"/>
    <w:rsid w:val="002D4858"/>
    <w:rsid w:val="002D5B09"/>
    <w:rsid w:val="002E0408"/>
    <w:rsid w:val="002E2D0D"/>
    <w:rsid w:val="002E31C9"/>
    <w:rsid w:val="002E31FF"/>
    <w:rsid w:val="002F15EF"/>
    <w:rsid w:val="003072DA"/>
    <w:rsid w:val="003145DE"/>
    <w:rsid w:val="00320E06"/>
    <w:rsid w:val="00333F0F"/>
    <w:rsid w:val="003359C3"/>
    <w:rsid w:val="00336452"/>
    <w:rsid w:val="00344669"/>
    <w:rsid w:val="00351642"/>
    <w:rsid w:val="00353695"/>
    <w:rsid w:val="00367687"/>
    <w:rsid w:val="003874C8"/>
    <w:rsid w:val="00392D9A"/>
    <w:rsid w:val="00397F53"/>
    <w:rsid w:val="003A3258"/>
    <w:rsid w:val="003C1824"/>
    <w:rsid w:val="003C53D3"/>
    <w:rsid w:val="003D7CCF"/>
    <w:rsid w:val="003E4C68"/>
    <w:rsid w:val="003F7C4B"/>
    <w:rsid w:val="004003FF"/>
    <w:rsid w:val="00403769"/>
    <w:rsid w:val="00413AA5"/>
    <w:rsid w:val="00430558"/>
    <w:rsid w:val="00430FF9"/>
    <w:rsid w:val="0044017D"/>
    <w:rsid w:val="00440404"/>
    <w:rsid w:val="00445050"/>
    <w:rsid w:val="00446004"/>
    <w:rsid w:val="00450FF9"/>
    <w:rsid w:val="0045589D"/>
    <w:rsid w:val="004575F2"/>
    <w:rsid w:val="004605DF"/>
    <w:rsid w:val="004659C2"/>
    <w:rsid w:val="00466B9D"/>
    <w:rsid w:val="004736A6"/>
    <w:rsid w:val="00475A61"/>
    <w:rsid w:val="00480C2E"/>
    <w:rsid w:val="004874D5"/>
    <w:rsid w:val="004921FB"/>
    <w:rsid w:val="004A0A74"/>
    <w:rsid w:val="004B7DC8"/>
    <w:rsid w:val="004C4CA5"/>
    <w:rsid w:val="004E48AB"/>
    <w:rsid w:val="004E554D"/>
    <w:rsid w:val="004F5F88"/>
    <w:rsid w:val="00502252"/>
    <w:rsid w:val="0050236E"/>
    <w:rsid w:val="00502DAD"/>
    <w:rsid w:val="00510D96"/>
    <w:rsid w:val="00511432"/>
    <w:rsid w:val="00514AA5"/>
    <w:rsid w:val="0052217A"/>
    <w:rsid w:val="00550329"/>
    <w:rsid w:val="00550A8A"/>
    <w:rsid w:val="00553F95"/>
    <w:rsid w:val="00561A2F"/>
    <w:rsid w:val="00570057"/>
    <w:rsid w:val="0057219F"/>
    <w:rsid w:val="005733DB"/>
    <w:rsid w:val="00575855"/>
    <w:rsid w:val="00586582"/>
    <w:rsid w:val="00587EC9"/>
    <w:rsid w:val="005935F2"/>
    <w:rsid w:val="005941FB"/>
    <w:rsid w:val="005B305E"/>
    <w:rsid w:val="005C7F0A"/>
    <w:rsid w:val="005E2AE0"/>
    <w:rsid w:val="00604FC6"/>
    <w:rsid w:val="006078EC"/>
    <w:rsid w:val="00610377"/>
    <w:rsid w:val="006133BA"/>
    <w:rsid w:val="0061367F"/>
    <w:rsid w:val="0061787D"/>
    <w:rsid w:val="00626BA2"/>
    <w:rsid w:val="006301AC"/>
    <w:rsid w:val="006319DB"/>
    <w:rsid w:val="00634862"/>
    <w:rsid w:val="0063721C"/>
    <w:rsid w:val="0064051C"/>
    <w:rsid w:val="00642468"/>
    <w:rsid w:val="00647A32"/>
    <w:rsid w:val="006501FD"/>
    <w:rsid w:val="006526F6"/>
    <w:rsid w:val="0065322F"/>
    <w:rsid w:val="006540FB"/>
    <w:rsid w:val="006544C9"/>
    <w:rsid w:val="0066548C"/>
    <w:rsid w:val="00665AC7"/>
    <w:rsid w:val="00674B1A"/>
    <w:rsid w:val="00675B39"/>
    <w:rsid w:val="006778BC"/>
    <w:rsid w:val="0069354B"/>
    <w:rsid w:val="0069662A"/>
    <w:rsid w:val="006977EB"/>
    <w:rsid w:val="006A08EF"/>
    <w:rsid w:val="006B21DC"/>
    <w:rsid w:val="006C3862"/>
    <w:rsid w:val="006D4329"/>
    <w:rsid w:val="006E1D5D"/>
    <w:rsid w:val="006E363A"/>
    <w:rsid w:val="006E5693"/>
    <w:rsid w:val="006F4E84"/>
    <w:rsid w:val="00702670"/>
    <w:rsid w:val="00706E6D"/>
    <w:rsid w:val="00733B56"/>
    <w:rsid w:val="00735EC9"/>
    <w:rsid w:val="00776914"/>
    <w:rsid w:val="00786487"/>
    <w:rsid w:val="0079193D"/>
    <w:rsid w:val="0079652C"/>
    <w:rsid w:val="007A3FFE"/>
    <w:rsid w:val="007A41E4"/>
    <w:rsid w:val="007B64C3"/>
    <w:rsid w:val="007B7E5B"/>
    <w:rsid w:val="007C7350"/>
    <w:rsid w:val="00803A34"/>
    <w:rsid w:val="00804B1A"/>
    <w:rsid w:val="008137BC"/>
    <w:rsid w:val="00827FCE"/>
    <w:rsid w:val="008301E3"/>
    <w:rsid w:val="00832928"/>
    <w:rsid w:val="0083577B"/>
    <w:rsid w:val="008474A1"/>
    <w:rsid w:val="00847A8D"/>
    <w:rsid w:val="00857AA8"/>
    <w:rsid w:val="008628A9"/>
    <w:rsid w:val="00863FA2"/>
    <w:rsid w:val="00874EB3"/>
    <w:rsid w:val="00885AFB"/>
    <w:rsid w:val="0089522F"/>
    <w:rsid w:val="008B5EDA"/>
    <w:rsid w:val="008D3D48"/>
    <w:rsid w:val="008D7754"/>
    <w:rsid w:val="008E35C6"/>
    <w:rsid w:val="008E3C9B"/>
    <w:rsid w:val="008E6086"/>
    <w:rsid w:val="008E67C6"/>
    <w:rsid w:val="009032E5"/>
    <w:rsid w:val="00903429"/>
    <w:rsid w:val="00906740"/>
    <w:rsid w:val="00916770"/>
    <w:rsid w:val="00917DEF"/>
    <w:rsid w:val="00921383"/>
    <w:rsid w:val="0092492F"/>
    <w:rsid w:val="009265C2"/>
    <w:rsid w:val="009352B8"/>
    <w:rsid w:val="00937E84"/>
    <w:rsid w:val="009402EC"/>
    <w:rsid w:val="009434BE"/>
    <w:rsid w:val="00943F0D"/>
    <w:rsid w:val="009440F9"/>
    <w:rsid w:val="009520EF"/>
    <w:rsid w:val="00957F4A"/>
    <w:rsid w:val="0096094A"/>
    <w:rsid w:val="00966741"/>
    <w:rsid w:val="00970FA7"/>
    <w:rsid w:val="009815E4"/>
    <w:rsid w:val="00986B20"/>
    <w:rsid w:val="00990321"/>
    <w:rsid w:val="00991A5D"/>
    <w:rsid w:val="00994575"/>
    <w:rsid w:val="009A2A0C"/>
    <w:rsid w:val="009A4CE1"/>
    <w:rsid w:val="009A5CA2"/>
    <w:rsid w:val="009B1711"/>
    <w:rsid w:val="009B602E"/>
    <w:rsid w:val="009B6E4C"/>
    <w:rsid w:val="009C3E5B"/>
    <w:rsid w:val="009C567B"/>
    <w:rsid w:val="009C69C6"/>
    <w:rsid w:val="009D2E54"/>
    <w:rsid w:val="009D37FB"/>
    <w:rsid w:val="009E0EF0"/>
    <w:rsid w:val="009E1FF3"/>
    <w:rsid w:val="009E5589"/>
    <w:rsid w:val="009E6617"/>
    <w:rsid w:val="009F0719"/>
    <w:rsid w:val="009F2000"/>
    <w:rsid w:val="009F2D70"/>
    <w:rsid w:val="00A01EB9"/>
    <w:rsid w:val="00A16F5B"/>
    <w:rsid w:val="00A36C05"/>
    <w:rsid w:val="00A41066"/>
    <w:rsid w:val="00A41C16"/>
    <w:rsid w:val="00A44C44"/>
    <w:rsid w:val="00A45067"/>
    <w:rsid w:val="00A50EF9"/>
    <w:rsid w:val="00A704EC"/>
    <w:rsid w:val="00A72CE9"/>
    <w:rsid w:val="00A86A02"/>
    <w:rsid w:val="00A91CDC"/>
    <w:rsid w:val="00A92F41"/>
    <w:rsid w:val="00A9435D"/>
    <w:rsid w:val="00AA423E"/>
    <w:rsid w:val="00AB06A0"/>
    <w:rsid w:val="00AB0E0C"/>
    <w:rsid w:val="00AC0A47"/>
    <w:rsid w:val="00AC1C08"/>
    <w:rsid w:val="00AD07CA"/>
    <w:rsid w:val="00AD7081"/>
    <w:rsid w:val="00AE5D08"/>
    <w:rsid w:val="00AF268E"/>
    <w:rsid w:val="00AF2FCC"/>
    <w:rsid w:val="00B07645"/>
    <w:rsid w:val="00B15BEA"/>
    <w:rsid w:val="00B27C17"/>
    <w:rsid w:val="00B346FE"/>
    <w:rsid w:val="00B42A57"/>
    <w:rsid w:val="00B47F02"/>
    <w:rsid w:val="00B5090C"/>
    <w:rsid w:val="00B61AC7"/>
    <w:rsid w:val="00B74261"/>
    <w:rsid w:val="00B750CC"/>
    <w:rsid w:val="00B83DBD"/>
    <w:rsid w:val="00B83FC5"/>
    <w:rsid w:val="00B8422E"/>
    <w:rsid w:val="00B967BB"/>
    <w:rsid w:val="00BB2DB6"/>
    <w:rsid w:val="00BC029A"/>
    <w:rsid w:val="00BD08EF"/>
    <w:rsid w:val="00BD1B44"/>
    <w:rsid w:val="00BD7F6C"/>
    <w:rsid w:val="00C02F73"/>
    <w:rsid w:val="00C10C3C"/>
    <w:rsid w:val="00C123FF"/>
    <w:rsid w:val="00C138A1"/>
    <w:rsid w:val="00C166A1"/>
    <w:rsid w:val="00C21AF9"/>
    <w:rsid w:val="00C2669C"/>
    <w:rsid w:val="00C32310"/>
    <w:rsid w:val="00C33D4B"/>
    <w:rsid w:val="00C36BE5"/>
    <w:rsid w:val="00C45D55"/>
    <w:rsid w:val="00C53B9F"/>
    <w:rsid w:val="00C60C03"/>
    <w:rsid w:val="00C63FF0"/>
    <w:rsid w:val="00C64FB5"/>
    <w:rsid w:val="00C66DA9"/>
    <w:rsid w:val="00C70BA5"/>
    <w:rsid w:val="00C71295"/>
    <w:rsid w:val="00C74648"/>
    <w:rsid w:val="00C76D55"/>
    <w:rsid w:val="00C876D4"/>
    <w:rsid w:val="00C91E66"/>
    <w:rsid w:val="00CA0A0C"/>
    <w:rsid w:val="00CA1D97"/>
    <w:rsid w:val="00CB01B0"/>
    <w:rsid w:val="00CB3FE8"/>
    <w:rsid w:val="00CB413C"/>
    <w:rsid w:val="00CB50EF"/>
    <w:rsid w:val="00CC2361"/>
    <w:rsid w:val="00CC4E84"/>
    <w:rsid w:val="00CD3E38"/>
    <w:rsid w:val="00CD3F29"/>
    <w:rsid w:val="00CD5BB3"/>
    <w:rsid w:val="00CE74AD"/>
    <w:rsid w:val="00D025F6"/>
    <w:rsid w:val="00D11E58"/>
    <w:rsid w:val="00D17380"/>
    <w:rsid w:val="00D23D33"/>
    <w:rsid w:val="00D24802"/>
    <w:rsid w:val="00D3000F"/>
    <w:rsid w:val="00D3192D"/>
    <w:rsid w:val="00D40121"/>
    <w:rsid w:val="00D41DF5"/>
    <w:rsid w:val="00D44A25"/>
    <w:rsid w:val="00D56B8C"/>
    <w:rsid w:val="00D72287"/>
    <w:rsid w:val="00D831D4"/>
    <w:rsid w:val="00D90491"/>
    <w:rsid w:val="00DA2CD9"/>
    <w:rsid w:val="00DA42F4"/>
    <w:rsid w:val="00DC135D"/>
    <w:rsid w:val="00DD04FC"/>
    <w:rsid w:val="00DE0DCF"/>
    <w:rsid w:val="00DE1992"/>
    <w:rsid w:val="00DE6C55"/>
    <w:rsid w:val="00E05816"/>
    <w:rsid w:val="00E14577"/>
    <w:rsid w:val="00E21710"/>
    <w:rsid w:val="00E334B6"/>
    <w:rsid w:val="00E36697"/>
    <w:rsid w:val="00E370B0"/>
    <w:rsid w:val="00E40EA2"/>
    <w:rsid w:val="00E45FC7"/>
    <w:rsid w:val="00E54496"/>
    <w:rsid w:val="00E65769"/>
    <w:rsid w:val="00E70753"/>
    <w:rsid w:val="00E75CE1"/>
    <w:rsid w:val="00E76BBC"/>
    <w:rsid w:val="00E76F51"/>
    <w:rsid w:val="00EA1DA5"/>
    <w:rsid w:val="00EA44FA"/>
    <w:rsid w:val="00EA50E5"/>
    <w:rsid w:val="00EA62AA"/>
    <w:rsid w:val="00EB75DF"/>
    <w:rsid w:val="00EC1C50"/>
    <w:rsid w:val="00EC6693"/>
    <w:rsid w:val="00ED71D4"/>
    <w:rsid w:val="00EF3B83"/>
    <w:rsid w:val="00EF4B76"/>
    <w:rsid w:val="00EF71D4"/>
    <w:rsid w:val="00F20A3A"/>
    <w:rsid w:val="00F22740"/>
    <w:rsid w:val="00F323AC"/>
    <w:rsid w:val="00F33D11"/>
    <w:rsid w:val="00F37C14"/>
    <w:rsid w:val="00F438F6"/>
    <w:rsid w:val="00F456D5"/>
    <w:rsid w:val="00F45ED6"/>
    <w:rsid w:val="00F52EB0"/>
    <w:rsid w:val="00F564E7"/>
    <w:rsid w:val="00F57FAD"/>
    <w:rsid w:val="00F621CC"/>
    <w:rsid w:val="00F664C0"/>
    <w:rsid w:val="00F67AA5"/>
    <w:rsid w:val="00F70324"/>
    <w:rsid w:val="00F71E5E"/>
    <w:rsid w:val="00F866BC"/>
    <w:rsid w:val="00FA0578"/>
    <w:rsid w:val="00FA1D99"/>
    <w:rsid w:val="00FA40A3"/>
    <w:rsid w:val="00FA6765"/>
    <w:rsid w:val="00FB029C"/>
    <w:rsid w:val="00FB0350"/>
    <w:rsid w:val="00FB43FF"/>
    <w:rsid w:val="00FB6766"/>
    <w:rsid w:val="00FD18A1"/>
    <w:rsid w:val="00FD2B5C"/>
    <w:rsid w:val="00FD323E"/>
    <w:rsid w:val="00FD6AB4"/>
    <w:rsid w:val="00FE4A89"/>
    <w:rsid w:val="00FE53DE"/>
    <w:rsid w:val="00FF3C6D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5154E7"/>
  <w15:docId w15:val="{C74BD1EA-D505-4FEC-8A02-3217923F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paragraph" w:styleId="Bezodstpw">
    <w:name w:val="No Spacing"/>
    <w:basedOn w:val="Normalny"/>
    <w:uiPriority w:val="1"/>
    <w:qFormat/>
    <w:rsid w:val="00090E05"/>
    <w:pPr>
      <w:autoSpaceDE w:val="0"/>
      <w:autoSpaceDN w:val="0"/>
      <w:adjustRightInd w:val="0"/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table" w:styleId="Jasnecieniowanie">
    <w:name w:val="Light Shading"/>
    <w:basedOn w:val="Standardowy"/>
    <w:uiPriority w:val="60"/>
    <w:rsid w:val="00090E05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9A2A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A2A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A2A0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A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A0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CC2361"/>
    <w:pPr>
      <w:spacing w:after="0" w:line="240" w:lineRule="auto"/>
    </w:pPr>
  </w:style>
  <w:style w:type="paragraph" w:customStyle="1" w:styleId="Default">
    <w:name w:val="Default"/>
    <w:uiPriority w:val="99"/>
    <w:rsid w:val="006540FB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04CF-9F52-4E4F-9688-25E112B1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6242</Words>
  <Characters>37455</Characters>
  <Application>Microsoft Office Word</Application>
  <DocSecurity>0</DocSecurity>
  <Lines>312</Lines>
  <Paragraphs>87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Nowak Magdalena</dc:creator>
  <cp:lastModifiedBy>Wilk Justyna</cp:lastModifiedBy>
  <cp:revision>4</cp:revision>
  <cp:lastPrinted>2016-07-05T10:53:00Z</cp:lastPrinted>
  <dcterms:created xsi:type="dcterms:W3CDTF">2025-09-16T05:58:00Z</dcterms:created>
  <dcterms:modified xsi:type="dcterms:W3CDTF">2025-09-16T06:29:00Z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64d07c66befed355724354d432d8204c28ebf469c028f2d3cdfd13407400fe9a</vt:lpwstr>
  </property>
</Properties>
</file>