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53EE" w14:textId="77777777" w:rsidR="00ED2C58" w:rsidRDefault="00ED2C58" w:rsidP="00ED2C58">
      <w:pPr>
        <w:tabs>
          <w:tab w:val="left" w:pos="5865"/>
        </w:tabs>
        <w:spacing w:after="0" w:line="240" w:lineRule="auto"/>
        <w:jc w:val="both"/>
        <w:rPr>
          <w:rFonts w:ascii="Times New Roman" w:eastAsia="Times New Roman" w:hAnsi="Times New Roman" w:cs="Times New Roman"/>
          <w:szCs w:val="20"/>
          <w:lang w:eastAsia="pl-PL"/>
        </w:rPr>
      </w:pPr>
      <w:r>
        <w:rPr>
          <w:rFonts w:ascii="Times New Roman" w:eastAsia="Times New Roman" w:hAnsi="Times New Roman" w:cs="Times New Roman"/>
          <w:szCs w:val="20"/>
          <w:lang w:eastAsia="pl-PL"/>
        </w:rPr>
        <w:t>Załącznik B.97</w:t>
      </w:r>
      <w:r w:rsidRPr="006501FD">
        <w:rPr>
          <w:rFonts w:ascii="Times New Roman" w:eastAsia="Times New Roman" w:hAnsi="Times New Roman" w:cs="Times New Roman"/>
          <w:szCs w:val="20"/>
          <w:lang w:eastAsia="pl-PL"/>
        </w:rPr>
        <w:t>.</w:t>
      </w:r>
    </w:p>
    <w:p w14:paraId="194E7F18" w14:textId="77777777" w:rsidR="00ED2C58" w:rsidRPr="00011A17" w:rsidRDefault="00ED2C58" w:rsidP="00ED2C58">
      <w:pPr>
        <w:tabs>
          <w:tab w:val="left" w:pos="5865"/>
        </w:tabs>
        <w:spacing w:after="0" w:line="240" w:lineRule="auto"/>
        <w:jc w:val="both"/>
        <w:rPr>
          <w:rFonts w:ascii="Times New Roman" w:eastAsia="Times New Roman" w:hAnsi="Times New Roman" w:cs="Times New Roman"/>
          <w:bCs/>
          <w:lang w:eastAsia="pl-PL"/>
        </w:rPr>
      </w:pPr>
    </w:p>
    <w:p w14:paraId="736E86F2" w14:textId="77777777" w:rsidR="00ED2C58" w:rsidRPr="009B6E4C" w:rsidRDefault="00ED2C58" w:rsidP="00ED2C58">
      <w:pPr>
        <w:tabs>
          <w:tab w:val="left" w:pos="5865"/>
        </w:tabs>
        <w:spacing w:after="240" w:line="240" w:lineRule="auto"/>
        <w:jc w:val="both"/>
        <w:rPr>
          <w:rFonts w:ascii="Times New Roman" w:eastAsia="Times New Roman" w:hAnsi="Times New Roman" w:cs="Times New Roman"/>
          <w:b/>
          <w:sz w:val="28"/>
          <w:szCs w:val="24"/>
          <w:lang w:eastAsia="pl-PL"/>
        </w:rPr>
      </w:pPr>
      <w:r w:rsidRPr="009B6E4C">
        <w:rPr>
          <w:rFonts w:ascii="Times New Roman" w:eastAsia="Times New Roman" w:hAnsi="Times New Roman" w:cs="Times New Roman"/>
          <w:b/>
          <w:sz w:val="28"/>
          <w:szCs w:val="24"/>
          <w:lang w:eastAsia="pl-PL"/>
        </w:rPr>
        <w:t>LECZENIE</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DOROSŁYCH</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CHORYCH</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NA</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PIERWOTNĄ</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MAŁOPŁYTKOWOŚĆ</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IMMUNOLOGICZNĄ</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(ICD-10</w:t>
      </w:r>
      <w:r>
        <w:rPr>
          <w:rFonts w:ascii="Times New Roman" w:eastAsia="Times New Roman" w:hAnsi="Times New Roman" w:cs="Times New Roman"/>
          <w:b/>
          <w:sz w:val="28"/>
          <w:szCs w:val="24"/>
          <w:lang w:eastAsia="pl-PL"/>
        </w:rPr>
        <w:t xml:space="preserve">: </w:t>
      </w:r>
      <w:r w:rsidRPr="0015336C">
        <w:rPr>
          <w:rFonts w:ascii="Times New Roman" w:eastAsia="Times New Roman" w:hAnsi="Times New Roman" w:cs="Times New Roman"/>
          <w:b/>
          <w:sz w:val="28"/>
          <w:szCs w:val="24"/>
          <w:lang w:eastAsia="pl-PL"/>
        </w:rPr>
        <w:t>D69.3)</w:t>
      </w:r>
    </w:p>
    <w:tbl>
      <w:tblPr>
        <w:tblStyle w:val="Tabela-Siatka"/>
        <w:tblW w:w="0" w:type="auto"/>
        <w:tblLayout w:type="fixed"/>
        <w:tblLook w:val="04A0" w:firstRow="1" w:lastRow="0" w:firstColumn="1" w:lastColumn="0" w:noHBand="0" w:noVBand="1"/>
      </w:tblPr>
      <w:tblGrid>
        <w:gridCol w:w="5129"/>
        <w:gridCol w:w="5129"/>
        <w:gridCol w:w="5130"/>
      </w:tblGrid>
      <w:tr w:rsidR="00ED2C58" w:rsidRPr="00214612" w14:paraId="7EDA20BB" w14:textId="77777777" w:rsidTr="00261969">
        <w:trPr>
          <w:trHeight w:val="567"/>
        </w:trPr>
        <w:tc>
          <w:tcPr>
            <w:tcW w:w="15388" w:type="dxa"/>
            <w:gridSpan w:val="3"/>
            <w:vAlign w:val="center"/>
          </w:tcPr>
          <w:p w14:paraId="723BE557" w14:textId="77777777" w:rsidR="00ED2C58" w:rsidRPr="00214612" w:rsidRDefault="00ED2C58" w:rsidP="00ED2C58">
            <w:pPr>
              <w:widowControl w:val="0"/>
              <w:spacing w:after="0"/>
              <w:jc w:val="center"/>
              <w:rPr>
                <w:rFonts w:ascii="Times New Roman" w:eastAsia="Times New Roman" w:hAnsi="Times New Roman" w:cs="Times New Roman"/>
                <w:b/>
                <w:color w:val="C00000"/>
                <w:sz w:val="20"/>
                <w:szCs w:val="20"/>
                <w:lang w:eastAsia="pl-PL"/>
              </w:rPr>
            </w:pPr>
            <w:r w:rsidRPr="00214612">
              <w:rPr>
                <w:rFonts w:ascii="Times New Roman" w:eastAsia="Times New Roman" w:hAnsi="Times New Roman" w:cs="Times New Roman"/>
                <w:b/>
                <w:color w:val="000000"/>
                <w:sz w:val="20"/>
                <w:szCs w:val="20"/>
                <w:lang w:eastAsia="pl-PL"/>
              </w:rPr>
              <w:t>ZAKRES ŚWIADCZENIA GWARANTOWANEGO</w:t>
            </w:r>
          </w:p>
        </w:tc>
      </w:tr>
      <w:tr w:rsidR="00ED2C58" w:rsidRPr="00214612" w14:paraId="37309ED9" w14:textId="77777777" w:rsidTr="00011A17">
        <w:trPr>
          <w:trHeight w:val="567"/>
        </w:trPr>
        <w:tc>
          <w:tcPr>
            <w:tcW w:w="5129" w:type="dxa"/>
            <w:vAlign w:val="center"/>
          </w:tcPr>
          <w:p w14:paraId="112695F4" w14:textId="77777777" w:rsidR="00ED2C58" w:rsidRPr="00214612" w:rsidRDefault="00ED2C58" w:rsidP="00ED2C58">
            <w:pPr>
              <w:widowControl w:val="0"/>
              <w:spacing w:after="0"/>
              <w:jc w:val="center"/>
              <w:rPr>
                <w:rFonts w:ascii="Times New Roman" w:eastAsia="Times New Roman" w:hAnsi="Times New Roman" w:cs="Times New Roman"/>
                <w:b/>
                <w:sz w:val="20"/>
                <w:szCs w:val="20"/>
                <w:lang w:eastAsia="pl-PL"/>
              </w:rPr>
            </w:pPr>
            <w:r w:rsidRPr="00214612">
              <w:rPr>
                <w:rFonts w:ascii="Times New Roman" w:eastAsia="Times New Roman" w:hAnsi="Times New Roman" w:cs="Times New Roman"/>
                <w:b/>
                <w:sz w:val="20"/>
                <w:szCs w:val="20"/>
                <w:lang w:eastAsia="pl-PL"/>
              </w:rPr>
              <w:t>ŚWIADCZENIOBIORCY</w:t>
            </w:r>
          </w:p>
        </w:tc>
        <w:tc>
          <w:tcPr>
            <w:tcW w:w="5129" w:type="dxa"/>
            <w:vAlign w:val="center"/>
          </w:tcPr>
          <w:p w14:paraId="10537A66" w14:textId="77777777" w:rsidR="00ED2C58" w:rsidRPr="00214612" w:rsidRDefault="00ED2C58" w:rsidP="00ED2C58">
            <w:pPr>
              <w:widowControl w:val="0"/>
              <w:spacing w:after="0"/>
              <w:jc w:val="center"/>
              <w:rPr>
                <w:rFonts w:ascii="Times New Roman" w:eastAsia="Times New Roman" w:hAnsi="Times New Roman" w:cs="Times New Roman"/>
                <w:b/>
                <w:color w:val="000000"/>
                <w:sz w:val="20"/>
                <w:szCs w:val="20"/>
                <w:lang w:eastAsia="pl-PL"/>
              </w:rPr>
            </w:pPr>
            <w:r w:rsidRPr="00214612">
              <w:rPr>
                <w:rFonts w:ascii="Times New Roman" w:eastAsia="Times New Roman" w:hAnsi="Times New Roman" w:cs="Times New Roman"/>
                <w:b/>
                <w:color w:val="000000"/>
                <w:sz w:val="20"/>
                <w:szCs w:val="20"/>
                <w:lang w:eastAsia="pl-PL"/>
              </w:rPr>
              <w:t>SCHEMAT DAWKOWANIA LEKÓW</w:t>
            </w:r>
          </w:p>
          <w:p w14:paraId="6D8B5CD7" w14:textId="77777777" w:rsidR="00ED2C58" w:rsidRPr="00214612" w:rsidRDefault="00ED2C58" w:rsidP="00ED2C58">
            <w:pPr>
              <w:widowControl w:val="0"/>
              <w:spacing w:after="0"/>
              <w:jc w:val="center"/>
              <w:rPr>
                <w:rFonts w:ascii="Times New Roman" w:eastAsia="Times New Roman" w:hAnsi="Times New Roman" w:cs="Times New Roman"/>
                <w:b/>
                <w:color w:val="000000"/>
                <w:sz w:val="20"/>
                <w:szCs w:val="20"/>
                <w:lang w:eastAsia="pl-PL"/>
              </w:rPr>
            </w:pPr>
            <w:r w:rsidRPr="00214612">
              <w:rPr>
                <w:rFonts w:ascii="Times New Roman" w:eastAsia="Times New Roman" w:hAnsi="Times New Roman" w:cs="Times New Roman"/>
                <w:b/>
                <w:color w:val="000000"/>
                <w:sz w:val="20"/>
                <w:szCs w:val="20"/>
                <w:lang w:eastAsia="pl-PL"/>
              </w:rPr>
              <w:t xml:space="preserve"> W PROGRAMIE</w:t>
            </w:r>
          </w:p>
        </w:tc>
        <w:tc>
          <w:tcPr>
            <w:tcW w:w="5130" w:type="dxa"/>
            <w:vAlign w:val="center"/>
          </w:tcPr>
          <w:p w14:paraId="16759061" w14:textId="4441952A" w:rsidR="00ED2C58" w:rsidRPr="00214612" w:rsidRDefault="00ED2C58" w:rsidP="00ED2C58">
            <w:pPr>
              <w:widowControl w:val="0"/>
              <w:spacing w:after="0"/>
              <w:jc w:val="center"/>
              <w:rPr>
                <w:rFonts w:ascii="Times New Roman" w:eastAsia="Times New Roman" w:hAnsi="Times New Roman" w:cs="Times New Roman"/>
                <w:b/>
                <w:color w:val="000000"/>
                <w:sz w:val="20"/>
                <w:szCs w:val="20"/>
                <w:lang w:eastAsia="pl-PL"/>
              </w:rPr>
            </w:pPr>
            <w:r w:rsidRPr="00214612">
              <w:rPr>
                <w:rFonts w:ascii="Times New Roman" w:eastAsia="Times New Roman" w:hAnsi="Times New Roman" w:cs="Times New Roman"/>
                <w:b/>
                <w:color w:val="000000"/>
                <w:sz w:val="20"/>
                <w:szCs w:val="20"/>
                <w:lang w:eastAsia="pl-PL"/>
              </w:rPr>
              <w:t>BADANIA DIAGNOSTYCZNE WYKONYWANE</w:t>
            </w:r>
            <w:r w:rsidR="000072E1" w:rsidRPr="00214612">
              <w:rPr>
                <w:rFonts w:ascii="Times New Roman" w:eastAsia="Times New Roman" w:hAnsi="Times New Roman" w:cs="Times New Roman"/>
                <w:b/>
                <w:color w:val="000000"/>
                <w:sz w:val="20"/>
                <w:szCs w:val="20"/>
                <w:lang w:eastAsia="pl-PL"/>
              </w:rPr>
              <w:t xml:space="preserve"> </w:t>
            </w:r>
            <w:r w:rsidR="000072E1" w:rsidRPr="00214612">
              <w:rPr>
                <w:rFonts w:ascii="Times New Roman" w:eastAsia="Times New Roman" w:hAnsi="Times New Roman" w:cs="Times New Roman"/>
                <w:b/>
                <w:color w:val="000000"/>
                <w:sz w:val="20"/>
                <w:szCs w:val="20"/>
                <w:lang w:eastAsia="pl-PL"/>
              </w:rPr>
              <w:br/>
            </w:r>
            <w:r w:rsidRPr="00214612">
              <w:rPr>
                <w:rFonts w:ascii="Times New Roman" w:eastAsia="Times New Roman" w:hAnsi="Times New Roman" w:cs="Times New Roman"/>
                <w:b/>
                <w:color w:val="000000"/>
                <w:sz w:val="20"/>
                <w:szCs w:val="20"/>
                <w:lang w:eastAsia="pl-PL"/>
              </w:rPr>
              <w:t>W RAMACH PROGRAMU</w:t>
            </w:r>
          </w:p>
        </w:tc>
      </w:tr>
      <w:tr w:rsidR="00ED2C58" w:rsidRPr="00214612" w14:paraId="1C225D5A" w14:textId="77777777" w:rsidTr="00011A17">
        <w:trPr>
          <w:trHeight w:val="283"/>
        </w:trPr>
        <w:tc>
          <w:tcPr>
            <w:tcW w:w="5129" w:type="dxa"/>
          </w:tcPr>
          <w:p w14:paraId="71D9C485" w14:textId="6239CD39" w:rsidR="00ED2C58" w:rsidRPr="00214612" w:rsidRDefault="00ED2C58" w:rsidP="000072E1">
            <w:pPr>
              <w:pStyle w:val="Standard"/>
              <w:spacing w:before="120" w:after="60" w:line="276" w:lineRule="auto"/>
              <w:jc w:val="both"/>
              <w:rPr>
                <w:rFonts w:cs="Times New Roman"/>
                <w:sz w:val="20"/>
                <w:szCs w:val="20"/>
              </w:rPr>
            </w:pPr>
            <w:r w:rsidRPr="00214612">
              <w:rPr>
                <w:rFonts w:cs="Times New Roman"/>
                <w:sz w:val="20"/>
                <w:szCs w:val="20"/>
              </w:rPr>
              <w:t xml:space="preserve">W programie finansuje się leczenie chorych na pierwotną małopłytkowość immunologiczną </w:t>
            </w:r>
            <w:r w:rsidR="00E17837" w:rsidRPr="00214612">
              <w:rPr>
                <w:rFonts w:cs="Times New Roman"/>
                <w:sz w:val="20"/>
                <w:szCs w:val="20"/>
              </w:rPr>
              <w:t>substancjami czynnymi:</w:t>
            </w:r>
          </w:p>
          <w:p w14:paraId="4A5521C5" w14:textId="1C1843A3" w:rsidR="00ED2C58" w:rsidRPr="00214612" w:rsidRDefault="00ED2C58" w:rsidP="00EA14DF">
            <w:pPr>
              <w:pStyle w:val="Standard"/>
              <w:numPr>
                <w:ilvl w:val="3"/>
                <w:numId w:val="53"/>
              </w:numPr>
              <w:spacing w:after="60" w:line="276" w:lineRule="auto"/>
              <w:jc w:val="both"/>
              <w:rPr>
                <w:rFonts w:cs="Times New Roman"/>
                <w:sz w:val="20"/>
                <w:szCs w:val="20"/>
              </w:rPr>
            </w:pPr>
            <w:proofErr w:type="spellStart"/>
            <w:r w:rsidRPr="00214612">
              <w:rPr>
                <w:rFonts w:cs="Times New Roman"/>
                <w:sz w:val="20"/>
                <w:szCs w:val="20"/>
              </w:rPr>
              <w:t>eltrombopag</w:t>
            </w:r>
            <w:proofErr w:type="spellEnd"/>
            <w:r w:rsidR="00011A17">
              <w:rPr>
                <w:rFonts w:cs="Times New Roman"/>
                <w:sz w:val="20"/>
                <w:szCs w:val="20"/>
              </w:rPr>
              <w:t>;</w:t>
            </w:r>
          </w:p>
          <w:p w14:paraId="3EFD5B5B" w14:textId="15104DDD" w:rsidR="00ED2C58" w:rsidRPr="00214612" w:rsidRDefault="00ED2C58" w:rsidP="00EA14DF">
            <w:pPr>
              <w:pStyle w:val="Standard"/>
              <w:numPr>
                <w:ilvl w:val="3"/>
                <w:numId w:val="53"/>
              </w:numPr>
              <w:spacing w:after="60" w:line="276" w:lineRule="auto"/>
              <w:jc w:val="both"/>
              <w:rPr>
                <w:rFonts w:cs="Times New Roman"/>
                <w:sz w:val="20"/>
                <w:szCs w:val="20"/>
              </w:rPr>
            </w:pPr>
            <w:proofErr w:type="spellStart"/>
            <w:r w:rsidRPr="00214612">
              <w:rPr>
                <w:rFonts w:cs="Times New Roman"/>
                <w:sz w:val="20"/>
                <w:szCs w:val="20"/>
              </w:rPr>
              <w:t>romiplostym</w:t>
            </w:r>
            <w:proofErr w:type="spellEnd"/>
            <w:r w:rsidR="00011A17">
              <w:rPr>
                <w:rFonts w:cs="Times New Roman"/>
                <w:sz w:val="20"/>
                <w:szCs w:val="20"/>
              </w:rPr>
              <w:t>;</w:t>
            </w:r>
          </w:p>
          <w:p w14:paraId="3899479A" w14:textId="4D4C6E95" w:rsidR="00E17837" w:rsidRPr="00214612" w:rsidRDefault="00ED2C58" w:rsidP="00EA14DF">
            <w:pPr>
              <w:pStyle w:val="Standard"/>
              <w:numPr>
                <w:ilvl w:val="3"/>
                <w:numId w:val="53"/>
              </w:numPr>
              <w:spacing w:after="60" w:line="276" w:lineRule="auto"/>
              <w:jc w:val="both"/>
              <w:rPr>
                <w:rFonts w:cs="Times New Roman"/>
                <w:sz w:val="20"/>
                <w:szCs w:val="20"/>
              </w:rPr>
            </w:pPr>
            <w:proofErr w:type="spellStart"/>
            <w:r w:rsidRPr="00214612">
              <w:rPr>
                <w:rFonts w:cs="Times New Roman"/>
                <w:sz w:val="20"/>
                <w:szCs w:val="20"/>
              </w:rPr>
              <w:t>awatrombopag</w:t>
            </w:r>
            <w:proofErr w:type="spellEnd"/>
            <w:r w:rsidR="00011A17">
              <w:rPr>
                <w:rFonts w:cs="Times New Roman"/>
                <w:sz w:val="20"/>
                <w:szCs w:val="20"/>
              </w:rPr>
              <w:t>;</w:t>
            </w:r>
          </w:p>
          <w:p w14:paraId="55680AC9" w14:textId="5207923A" w:rsidR="00ED2C58" w:rsidRDefault="00E17837" w:rsidP="00EA14DF">
            <w:pPr>
              <w:pStyle w:val="Standard"/>
              <w:numPr>
                <w:ilvl w:val="3"/>
                <w:numId w:val="53"/>
              </w:numPr>
              <w:spacing w:after="60" w:line="276" w:lineRule="auto"/>
              <w:jc w:val="both"/>
              <w:rPr>
                <w:rFonts w:cs="Times New Roman"/>
                <w:sz w:val="20"/>
                <w:szCs w:val="20"/>
              </w:rPr>
            </w:pPr>
            <w:proofErr w:type="spellStart"/>
            <w:r w:rsidRPr="00214612">
              <w:rPr>
                <w:rFonts w:cs="Times New Roman"/>
                <w:sz w:val="20"/>
                <w:szCs w:val="20"/>
              </w:rPr>
              <w:t>rytuksymab</w:t>
            </w:r>
            <w:proofErr w:type="spellEnd"/>
            <w:r w:rsidRPr="00214612">
              <w:rPr>
                <w:rFonts w:cs="Times New Roman"/>
                <w:sz w:val="20"/>
                <w:szCs w:val="20"/>
              </w:rPr>
              <w:t>.</w:t>
            </w:r>
          </w:p>
          <w:p w14:paraId="28376460" w14:textId="77777777" w:rsidR="00A9439B" w:rsidRPr="00214612" w:rsidRDefault="00A9439B" w:rsidP="00A9439B">
            <w:pPr>
              <w:pStyle w:val="Standard"/>
              <w:spacing w:after="60" w:line="276" w:lineRule="auto"/>
              <w:ind w:left="454"/>
              <w:jc w:val="both"/>
              <w:rPr>
                <w:rFonts w:cs="Times New Roman"/>
                <w:sz w:val="20"/>
                <w:szCs w:val="20"/>
              </w:rPr>
            </w:pPr>
          </w:p>
          <w:p w14:paraId="5F4ABADB" w14:textId="11B0D1B0" w:rsidR="00ED2C58" w:rsidRPr="00214612" w:rsidRDefault="00ED2C58" w:rsidP="00A9439B">
            <w:pPr>
              <w:pStyle w:val="Standard"/>
              <w:numPr>
                <w:ilvl w:val="0"/>
                <w:numId w:val="60"/>
              </w:numPr>
              <w:spacing w:after="60" w:line="276" w:lineRule="auto"/>
              <w:jc w:val="both"/>
              <w:rPr>
                <w:rFonts w:cs="Times New Roman"/>
                <w:b/>
                <w:bCs/>
                <w:sz w:val="20"/>
                <w:szCs w:val="20"/>
              </w:rPr>
            </w:pPr>
            <w:r w:rsidRPr="00214612">
              <w:rPr>
                <w:rFonts w:cs="Times New Roman"/>
                <w:b/>
                <w:bCs/>
                <w:sz w:val="20"/>
                <w:szCs w:val="20"/>
              </w:rPr>
              <w:t xml:space="preserve">Kryteria kwalifikacji </w:t>
            </w:r>
          </w:p>
          <w:p w14:paraId="50EF3D19" w14:textId="77777777"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wiek ≥18 lat;</w:t>
            </w:r>
          </w:p>
          <w:p w14:paraId="0507C43F" w14:textId="5D82455E"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rozpoznanie pierwotnej małopłytkowości immunologicznej (ITP);</w:t>
            </w:r>
          </w:p>
          <w:p w14:paraId="557F71E9" w14:textId="77777777" w:rsidR="00E17837"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 xml:space="preserve">niedostateczna odpowiedź na </w:t>
            </w:r>
            <w:r w:rsidR="007A66D4" w:rsidRPr="00214612">
              <w:rPr>
                <w:rFonts w:cs="Times New Roman"/>
                <w:sz w:val="20"/>
                <w:szCs w:val="20"/>
              </w:rPr>
              <w:t xml:space="preserve">co najmniej jedną wcześniejszą terapię farmakologiczną, w tym brak odpowiedzi na kortykosteroidy lub stwierdzenie </w:t>
            </w:r>
            <w:proofErr w:type="spellStart"/>
            <w:r w:rsidR="007A66D4" w:rsidRPr="00214612">
              <w:rPr>
                <w:rFonts w:cs="Times New Roman"/>
                <w:sz w:val="20"/>
                <w:szCs w:val="20"/>
              </w:rPr>
              <w:t>steroidozależności</w:t>
            </w:r>
            <w:proofErr w:type="spellEnd"/>
            <w:r w:rsidR="007A66D4" w:rsidRPr="00214612">
              <w:rPr>
                <w:rFonts w:cs="Times New Roman"/>
                <w:sz w:val="20"/>
                <w:szCs w:val="20"/>
              </w:rPr>
              <w:t xml:space="preserve"> lub nietolerancji</w:t>
            </w:r>
            <w:r w:rsidR="005925B8" w:rsidRPr="00214612">
              <w:rPr>
                <w:rFonts w:cs="Times New Roman"/>
                <w:sz w:val="20"/>
                <w:szCs w:val="20"/>
              </w:rPr>
              <w:t xml:space="preserve"> kortykosteroidów</w:t>
            </w:r>
            <w:r w:rsidR="00E17837" w:rsidRPr="00214612">
              <w:rPr>
                <w:rFonts w:cs="Times New Roman"/>
                <w:sz w:val="20"/>
                <w:szCs w:val="20"/>
              </w:rPr>
              <w:t>;</w:t>
            </w:r>
          </w:p>
          <w:p w14:paraId="1D2A4501" w14:textId="6EF38E8B" w:rsidR="00E17837" w:rsidRPr="00214612" w:rsidRDefault="00E17837" w:rsidP="00A9439B">
            <w:pPr>
              <w:pStyle w:val="Standard"/>
              <w:numPr>
                <w:ilvl w:val="3"/>
                <w:numId w:val="60"/>
              </w:numPr>
              <w:spacing w:after="60" w:line="276" w:lineRule="auto"/>
              <w:jc w:val="both"/>
              <w:rPr>
                <w:rFonts w:cs="Times New Roman"/>
                <w:sz w:val="20"/>
                <w:szCs w:val="20"/>
              </w:rPr>
            </w:pPr>
            <w:r w:rsidRPr="00A9439B">
              <w:rPr>
                <w:rFonts w:cs="Times New Roman"/>
                <w:sz w:val="20"/>
                <w:szCs w:val="20"/>
              </w:rPr>
              <w:t>adekwatna wydolność narządowa określona na podstawie wyników badań laboratoryjnych krwi umożliwiająca w opinii lekarza prowadzącego bezpieczne rozpoczęcie terapii</w:t>
            </w:r>
            <w:r w:rsidRPr="00214612">
              <w:rPr>
                <w:rFonts w:cs="Times New Roman"/>
                <w:sz w:val="20"/>
                <w:szCs w:val="20"/>
              </w:rPr>
              <w:t>;</w:t>
            </w:r>
          </w:p>
          <w:p w14:paraId="1C990AA1" w14:textId="2FB1F7A8" w:rsidR="00EA14DF" w:rsidRPr="00214612" w:rsidRDefault="00EA14DF"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lastRenderedPageBreak/>
              <w:t xml:space="preserve">nieobecność aktywnych, ciężkich zakażeń, w tym aktywnego zapalenia wątroby typu B – w przypadku kwalifikacji do leczenia </w:t>
            </w:r>
            <w:proofErr w:type="spellStart"/>
            <w:r w:rsidRPr="00A9439B">
              <w:rPr>
                <w:rFonts w:cs="Times New Roman"/>
                <w:b/>
                <w:bCs/>
                <w:sz w:val="20"/>
                <w:szCs w:val="20"/>
              </w:rPr>
              <w:t>rytuksymabem</w:t>
            </w:r>
            <w:proofErr w:type="spellEnd"/>
            <w:r w:rsidRPr="00A9439B">
              <w:rPr>
                <w:rFonts w:cs="Times New Roman"/>
                <w:b/>
                <w:bCs/>
                <w:sz w:val="20"/>
                <w:szCs w:val="20"/>
              </w:rPr>
              <w:t>;</w:t>
            </w:r>
          </w:p>
          <w:p w14:paraId="16006866" w14:textId="5E30862A" w:rsidR="00ED2C58" w:rsidRPr="00214612" w:rsidRDefault="00E17837"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 xml:space="preserve">zgoda pacjentki na stosowanie wysoce skutecznej metody zapobiegania ciąży podczas stosowania </w:t>
            </w:r>
            <w:proofErr w:type="spellStart"/>
            <w:r w:rsidRPr="00A9439B">
              <w:rPr>
                <w:rFonts w:cs="Times New Roman"/>
                <w:b/>
                <w:bCs/>
                <w:sz w:val="20"/>
                <w:szCs w:val="20"/>
              </w:rPr>
              <w:t>rytuksymabu</w:t>
            </w:r>
            <w:proofErr w:type="spellEnd"/>
            <w:r w:rsidRPr="00214612">
              <w:rPr>
                <w:rFonts w:cs="Times New Roman"/>
                <w:sz w:val="20"/>
                <w:szCs w:val="20"/>
              </w:rPr>
              <w:t xml:space="preserve"> i przez 12 miesięcy od zakończenia</w:t>
            </w:r>
            <w:r w:rsidR="007534E7" w:rsidRPr="00214612">
              <w:rPr>
                <w:rFonts w:cs="Times New Roman"/>
                <w:sz w:val="20"/>
                <w:szCs w:val="20"/>
              </w:rPr>
              <w:t xml:space="preserve"> leczenia</w:t>
            </w:r>
            <w:r w:rsidRPr="00214612">
              <w:rPr>
                <w:rFonts w:cs="Times New Roman"/>
                <w:sz w:val="20"/>
                <w:szCs w:val="20"/>
              </w:rPr>
              <w:t xml:space="preserve"> (w przypadku kobiet w wieku rozrodczym)</w:t>
            </w:r>
            <w:r w:rsidR="00011A17">
              <w:rPr>
                <w:rFonts w:cs="Times New Roman"/>
                <w:sz w:val="20"/>
                <w:szCs w:val="20"/>
              </w:rPr>
              <w:t>.</w:t>
            </w:r>
          </w:p>
          <w:p w14:paraId="36BDE697" w14:textId="3780A848" w:rsidR="00ED2C58" w:rsidRPr="00214612" w:rsidRDefault="00ED2C58" w:rsidP="000072E1">
            <w:pPr>
              <w:pStyle w:val="Standard"/>
              <w:spacing w:after="60" w:line="276" w:lineRule="auto"/>
              <w:jc w:val="both"/>
              <w:rPr>
                <w:rFonts w:cs="Times New Roman"/>
                <w:sz w:val="20"/>
                <w:szCs w:val="20"/>
              </w:rPr>
            </w:pPr>
            <w:r w:rsidRPr="00214612">
              <w:rPr>
                <w:rFonts w:cs="Times New Roman"/>
                <w:sz w:val="20"/>
                <w:szCs w:val="20"/>
              </w:rPr>
              <w:t>Kryteria kwalifikacji muszą być spełnione łącznie.</w:t>
            </w:r>
          </w:p>
          <w:p w14:paraId="2E43FD28" w14:textId="77777777" w:rsidR="00ED2C58" w:rsidRPr="00214612" w:rsidRDefault="00ED2C58" w:rsidP="000072E1">
            <w:pPr>
              <w:pStyle w:val="Standard"/>
              <w:spacing w:after="60" w:line="276" w:lineRule="auto"/>
              <w:jc w:val="both"/>
              <w:rPr>
                <w:rFonts w:cs="Times New Roman"/>
                <w:sz w:val="20"/>
                <w:szCs w:val="20"/>
              </w:rPr>
            </w:pPr>
            <w:r w:rsidRPr="00214612">
              <w:rPr>
                <w:rFonts w:cs="Times New Roman"/>
                <w:sz w:val="20"/>
                <w:szCs w:val="20"/>
              </w:rPr>
              <w:t>Dodatkowo, w celu kontynuacji terapii do programu lekowego mogą zostać zakwalifikowani pacjenci leczeni w ramach programu lekowego „Leczenie pediatrycznych chorych na przewlekłą pierwotną małopłytkowość immunologiczną (ICD-10 D69.3)”, którzy osiągnęli pełnoletniość, bez konieczności spełnienia pozostałych kryteriów kwalifikacji do programu lekowego - pod warunkiem niespełniania kryteriów wyłączenia z programu.</w:t>
            </w:r>
          </w:p>
          <w:p w14:paraId="0153BA42" w14:textId="77777777" w:rsidR="00ED2C58" w:rsidRPr="00214612" w:rsidRDefault="00ED2C58" w:rsidP="005E1CFB">
            <w:pPr>
              <w:pStyle w:val="Standard"/>
              <w:spacing w:after="60" w:line="276" w:lineRule="auto"/>
              <w:jc w:val="both"/>
              <w:rPr>
                <w:rFonts w:cs="Times New Roman"/>
                <w:sz w:val="20"/>
                <w:szCs w:val="20"/>
              </w:rPr>
            </w:pPr>
          </w:p>
          <w:p w14:paraId="041D1779" w14:textId="77777777" w:rsidR="00ED2C58" w:rsidRPr="00214612" w:rsidRDefault="00ED2C58" w:rsidP="00A9439B">
            <w:pPr>
              <w:pStyle w:val="Standard"/>
              <w:numPr>
                <w:ilvl w:val="0"/>
                <w:numId w:val="60"/>
              </w:numPr>
              <w:spacing w:after="60" w:line="276" w:lineRule="auto"/>
              <w:jc w:val="both"/>
              <w:rPr>
                <w:rFonts w:cs="Times New Roman"/>
                <w:b/>
                <w:bCs/>
                <w:sz w:val="20"/>
                <w:szCs w:val="20"/>
              </w:rPr>
            </w:pPr>
            <w:r w:rsidRPr="00214612">
              <w:rPr>
                <w:rFonts w:cs="Times New Roman"/>
                <w:b/>
                <w:bCs/>
                <w:sz w:val="20"/>
                <w:szCs w:val="20"/>
              </w:rPr>
              <w:t>Określenie czasu leczenia w programie</w:t>
            </w:r>
          </w:p>
          <w:p w14:paraId="6B1A37D9" w14:textId="0A151D5E" w:rsidR="00ED2C58" w:rsidRPr="00214612" w:rsidRDefault="00ED2C58" w:rsidP="000072E1">
            <w:pPr>
              <w:pStyle w:val="Standard"/>
              <w:spacing w:after="60" w:line="276" w:lineRule="auto"/>
              <w:jc w:val="both"/>
              <w:rPr>
                <w:rFonts w:cs="Times New Roman"/>
                <w:sz w:val="20"/>
                <w:szCs w:val="20"/>
              </w:rPr>
            </w:pPr>
            <w:r w:rsidRPr="00214612">
              <w:rPr>
                <w:rFonts w:cs="Times New Roman"/>
                <w:sz w:val="20"/>
                <w:szCs w:val="20"/>
              </w:rPr>
              <w:t xml:space="preserve">Leczenie trwa do czasu podjęcia przez lekarza prowadzącego decyzji o wyłączeniu pacjenta z programu, zgodnie z kryteriami wyłączenia z programu określonymi w punkcie </w:t>
            </w:r>
            <w:r w:rsidR="00A9439B">
              <w:rPr>
                <w:rFonts w:cs="Times New Roman"/>
                <w:sz w:val="20"/>
                <w:szCs w:val="20"/>
              </w:rPr>
              <w:t>3</w:t>
            </w:r>
            <w:r w:rsidRPr="00214612">
              <w:rPr>
                <w:rFonts w:cs="Times New Roman"/>
                <w:sz w:val="20"/>
                <w:szCs w:val="20"/>
              </w:rPr>
              <w:t>.</w:t>
            </w:r>
          </w:p>
          <w:p w14:paraId="12046631" w14:textId="1192F739" w:rsidR="00214612" w:rsidRPr="00F75EE0" w:rsidRDefault="00E17837" w:rsidP="00F75EE0">
            <w:pPr>
              <w:pStyle w:val="Standard"/>
              <w:spacing w:after="60" w:line="276" w:lineRule="auto"/>
              <w:jc w:val="both"/>
              <w:rPr>
                <w:rFonts w:cs="Times New Roman"/>
                <w:sz w:val="20"/>
                <w:szCs w:val="20"/>
              </w:rPr>
            </w:pPr>
            <w:r w:rsidRPr="00F75EE0">
              <w:rPr>
                <w:rFonts w:cs="Times New Roman"/>
                <w:sz w:val="20"/>
                <w:szCs w:val="20"/>
              </w:rPr>
              <w:t xml:space="preserve">W przypadku leczenia </w:t>
            </w:r>
            <w:proofErr w:type="spellStart"/>
            <w:r w:rsidRPr="00F75EE0">
              <w:rPr>
                <w:rFonts w:cs="Times New Roman"/>
                <w:sz w:val="20"/>
                <w:szCs w:val="20"/>
              </w:rPr>
              <w:t>rytuksymabem</w:t>
            </w:r>
            <w:proofErr w:type="spellEnd"/>
            <w:r w:rsidRPr="00F75EE0">
              <w:rPr>
                <w:rFonts w:cs="Times New Roman"/>
                <w:sz w:val="20"/>
                <w:szCs w:val="20"/>
              </w:rPr>
              <w:t xml:space="preserve"> czas terapii </w:t>
            </w:r>
            <w:r w:rsidR="00EA14DF" w:rsidRPr="00F75EE0">
              <w:rPr>
                <w:rFonts w:cs="Times New Roman"/>
                <w:sz w:val="20"/>
                <w:szCs w:val="20"/>
              </w:rPr>
              <w:t xml:space="preserve">trwa </w:t>
            </w:r>
            <w:proofErr w:type="gramStart"/>
            <w:r w:rsidRPr="00F75EE0">
              <w:rPr>
                <w:rFonts w:cs="Times New Roman"/>
                <w:sz w:val="20"/>
                <w:szCs w:val="20"/>
              </w:rPr>
              <w:t>4</w:t>
            </w:r>
            <w:proofErr w:type="gramEnd"/>
            <w:r w:rsidRPr="00F75EE0">
              <w:rPr>
                <w:rFonts w:cs="Times New Roman"/>
                <w:sz w:val="20"/>
                <w:szCs w:val="20"/>
              </w:rPr>
              <w:t xml:space="preserve"> tygodnie</w:t>
            </w:r>
            <w:r w:rsidR="00EA14DF" w:rsidRPr="00F75EE0">
              <w:rPr>
                <w:rFonts w:cs="Times New Roman"/>
                <w:sz w:val="20"/>
                <w:szCs w:val="20"/>
              </w:rPr>
              <w:t xml:space="preserve"> i jest ograniczony do jednego cyklu</w:t>
            </w:r>
            <w:r w:rsidRPr="00F75EE0">
              <w:rPr>
                <w:rFonts w:cs="Times New Roman"/>
                <w:sz w:val="20"/>
                <w:szCs w:val="20"/>
              </w:rPr>
              <w:t xml:space="preserve">. </w:t>
            </w:r>
          </w:p>
          <w:p w14:paraId="67DD82B0" w14:textId="77777777" w:rsidR="00ED2C58" w:rsidRPr="00214612" w:rsidRDefault="00ED2C58" w:rsidP="005E1CFB">
            <w:pPr>
              <w:pStyle w:val="Standard"/>
              <w:spacing w:after="60" w:line="276" w:lineRule="auto"/>
              <w:jc w:val="both"/>
              <w:rPr>
                <w:rFonts w:cs="Times New Roman"/>
                <w:sz w:val="20"/>
                <w:szCs w:val="20"/>
              </w:rPr>
            </w:pPr>
          </w:p>
          <w:p w14:paraId="37EB8875" w14:textId="77777777" w:rsidR="00ED2C58" w:rsidRPr="00214612" w:rsidRDefault="00ED2C58" w:rsidP="00A9439B">
            <w:pPr>
              <w:pStyle w:val="Standard"/>
              <w:numPr>
                <w:ilvl w:val="0"/>
                <w:numId w:val="60"/>
              </w:numPr>
              <w:spacing w:after="60" w:line="276" w:lineRule="auto"/>
              <w:jc w:val="both"/>
              <w:rPr>
                <w:rFonts w:cs="Times New Roman"/>
                <w:b/>
                <w:bCs/>
                <w:sz w:val="20"/>
                <w:szCs w:val="20"/>
              </w:rPr>
            </w:pPr>
            <w:r w:rsidRPr="00214612">
              <w:rPr>
                <w:rFonts w:cs="Times New Roman"/>
                <w:b/>
                <w:bCs/>
                <w:sz w:val="20"/>
                <w:szCs w:val="20"/>
              </w:rPr>
              <w:t>Kryteria wyłączenia z programu</w:t>
            </w:r>
          </w:p>
          <w:p w14:paraId="61DEC745" w14:textId="77777777"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nadwrażliwość na substancję czynną lub którąkolwiek substancję pomocniczą;</w:t>
            </w:r>
          </w:p>
          <w:p w14:paraId="740992F6" w14:textId="5040E243" w:rsidR="00E17837" w:rsidRPr="00214612" w:rsidRDefault="00E17837"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wystąpienie chorób lub stanów, które w opinii lekarza prowadzącego uniemożliwiają dalsze prowadzenie leczenia;</w:t>
            </w:r>
          </w:p>
          <w:p w14:paraId="09DC850C" w14:textId="3C8E21D3" w:rsidR="00E17837" w:rsidRPr="00214612" w:rsidRDefault="00E17837"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lastRenderedPageBreak/>
              <w:t>wystąpienie nieakceptowalnej lub zagrażającej życiu toksyczności, pomimo zastosowania adekwatnego postępowania</w:t>
            </w:r>
            <w:r w:rsidR="00011A17">
              <w:rPr>
                <w:rFonts w:cs="Times New Roman"/>
                <w:sz w:val="20"/>
                <w:szCs w:val="20"/>
              </w:rPr>
              <w:t>;</w:t>
            </w:r>
          </w:p>
          <w:p w14:paraId="3A8F88F2" w14:textId="77777777"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zaburzenia czynności wątroby:</w:t>
            </w:r>
          </w:p>
          <w:p w14:paraId="2F856E74" w14:textId="2CD876C6" w:rsidR="00ED2C58" w:rsidRPr="00214612"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wynik w skali Child-</w:t>
            </w:r>
            <w:proofErr w:type="spellStart"/>
            <w:r w:rsidRPr="00214612">
              <w:rPr>
                <w:rFonts w:cs="Times New Roman"/>
                <w:sz w:val="20"/>
                <w:szCs w:val="20"/>
              </w:rPr>
              <w:t>Pugh</w:t>
            </w:r>
            <w:proofErr w:type="spellEnd"/>
            <w:r w:rsidRPr="00214612">
              <w:rPr>
                <w:rFonts w:cs="Times New Roman"/>
                <w:sz w:val="20"/>
                <w:szCs w:val="20"/>
              </w:rPr>
              <w:t xml:space="preserve"> ≥ 5 – dotyczy leczenia </w:t>
            </w:r>
            <w:proofErr w:type="spellStart"/>
            <w:r w:rsidRPr="00214612">
              <w:rPr>
                <w:rFonts w:cs="Times New Roman"/>
                <w:sz w:val="20"/>
                <w:szCs w:val="20"/>
              </w:rPr>
              <w:t>eltrombopagiem</w:t>
            </w:r>
            <w:proofErr w:type="spellEnd"/>
            <w:r w:rsidR="00011A17">
              <w:rPr>
                <w:rFonts w:cs="Times New Roman"/>
                <w:sz w:val="20"/>
                <w:szCs w:val="20"/>
              </w:rPr>
              <w:t>,</w:t>
            </w:r>
          </w:p>
          <w:p w14:paraId="2CEB1702" w14:textId="77777777" w:rsidR="00ED2C58" w:rsidRPr="00214612"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wynik w skali Child-</w:t>
            </w:r>
            <w:proofErr w:type="spellStart"/>
            <w:r w:rsidRPr="00214612">
              <w:rPr>
                <w:rFonts w:cs="Times New Roman"/>
                <w:sz w:val="20"/>
                <w:szCs w:val="20"/>
              </w:rPr>
              <w:t>Pugh</w:t>
            </w:r>
            <w:proofErr w:type="spellEnd"/>
            <w:r w:rsidRPr="00214612">
              <w:rPr>
                <w:rFonts w:cs="Times New Roman"/>
                <w:sz w:val="20"/>
                <w:szCs w:val="20"/>
              </w:rPr>
              <w:t xml:space="preserve"> ≥ 7 – dotyczy leczenia </w:t>
            </w:r>
            <w:proofErr w:type="spellStart"/>
            <w:r w:rsidRPr="00214612">
              <w:rPr>
                <w:rFonts w:cs="Times New Roman"/>
                <w:sz w:val="20"/>
                <w:szCs w:val="20"/>
              </w:rPr>
              <w:t>romiplostymem</w:t>
            </w:r>
            <w:proofErr w:type="spellEnd"/>
            <w:r w:rsidRPr="00214612">
              <w:rPr>
                <w:rFonts w:cs="Times New Roman"/>
                <w:sz w:val="20"/>
                <w:szCs w:val="20"/>
              </w:rPr>
              <w:t>;</w:t>
            </w:r>
          </w:p>
          <w:p w14:paraId="51DE6A69" w14:textId="77777777"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 xml:space="preserve">istotne zwiększenie się aktywności </w:t>
            </w:r>
            <w:proofErr w:type="spellStart"/>
            <w:r w:rsidRPr="00214612">
              <w:rPr>
                <w:rFonts w:cs="Times New Roman"/>
                <w:sz w:val="20"/>
                <w:szCs w:val="20"/>
              </w:rPr>
              <w:t>AlAT</w:t>
            </w:r>
            <w:proofErr w:type="spellEnd"/>
            <w:r w:rsidRPr="00214612">
              <w:rPr>
                <w:rFonts w:cs="Times New Roman"/>
                <w:sz w:val="20"/>
                <w:szCs w:val="20"/>
              </w:rPr>
              <w:t xml:space="preserve"> (powyżej trzykrotności górnej granicy normy dla lokalnego laboratorium) w przypadkach, gdy przekroczenie normy:</w:t>
            </w:r>
          </w:p>
          <w:p w14:paraId="5CA5314F" w14:textId="77777777" w:rsidR="00ED2C58" w:rsidRPr="00214612"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będzie narastać,</w:t>
            </w:r>
          </w:p>
          <w:p w14:paraId="48618482" w14:textId="77777777" w:rsidR="00ED2C58" w:rsidRPr="00214612" w:rsidRDefault="00ED2C58" w:rsidP="000072E1">
            <w:pPr>
              <w:pStyle w:val="Standard"/>
              <w:spacing w:after="60" w:line="276" w:lineRule="auto"/>
              <w:ind w:left="454"/>
              <w:jc w:val="both"/>
              <w:rPr>
                <w:rFonts w:cs="Times New Roman"/>
                <w:sz w:val="20"/>
                <w:szCs w:val="20"/>
              </w:rPr>
            </w:pPr>
            <w:r w:rsidRPr="00214612">
              <w:rPr>
                <w:rFonts w:cs="Times New Roman"/>
                <w:sz w:val="20"/>
                <w:szCs w:val="20"/>
              </w:rPr>
              <w:t>albo</w:t>
            </w:r>
          </w:p>
          <w:p w14:paraId="60253CC7" w14:textId="075160C6" w:rsidR="00ED2C58" w:rsidRPr="00214612"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będzie utrzymywać się ≥ 4 tygodni,</w:t>
            </w:r>
          </w:p>
          <w:p w14:paraId="0F99780F" w14:textId="77777777" w:rsidR="00ED2C58" w:rsidRPr="00214612" w:rsidRDefault="00ED2C58" w:rsidP="000072E1">
            <w:pPr>
              <w:pStyle w:val="Standard"/>
              <w:spacing w:after="60" w:line="276" w:lineRule="auto"/>
              <w:ind w:left="454"/>
              <w:jc w:val="both"/>
              <w:rPr>
                <w:rFonts w:cs="Times New Roman"/>
                <w:sz w:val="20"/>
                <w:szCs w:val="20"/>
              </w:rPr>
            </w:pPr>
            <w:r w:rsidRPr="00214612">
              <w:rPr>
                <w:rFonts w:cs="Times New Roman"/>
                <w:sz w:val="20"/>
                <w:szCs w:val="20"/>
              </w:rPr>
              <w:t xml:space="preserve">albo </w:t>
            </w:r>
          </w:p>
          <w:p w14:paraId="0D9FA228" w14:textId="77777777" w:rsidR="00ED2C58" w:rsidRPr="00214612"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będzie związane ze zwiększeniem stężenia bilirubiny bezpośredniej,</w:t>
            </w:r>
          </w:p>
          <w:p w14:paraId="401C8FAE" w14:textId="77777777" w:rsidR="00ED2C58" w:rsidRPr="00214612" w:rsidRDefault="00ED2C58" w:rsidP="000072E1">
            <w:pPr>
              <w:pStyle w:val="Standard"/>
              <w:spacing w:after="60" w:line="276" w:lineRule="auto"/>
              <w:ind w:left="454"/>
              <w:jc w:val="both"/>
              <w:rPr>
                <w:rFonts w:cs="Times New Roman"/>
                <w:sz w:val="20"/>
                <w:szCs w:val="20"/>
              </w:rPr>
            </w:pPr>
            <w:r w:rsidRPr="00214612">
              <w:rPr>
                <w:rFonts w:cs="Times New Roman"/>
                <w:sz w:val="20"/>
                <w:szCs w:val="20"/>
              </w:rPr>
              <w:t>albo</w:t>
            </w:r>
          </w:p>
          <w:p w14:paraId="4958BA8B" w14:textId="64D02167" w:rsidR="00E17837" w:rsidRDefault="00ED2C58" w:rsidP="00A9439B">
            <w:pPr>
              <w:pStyle w:val="Standard"/>
              <w:numPr>
                <w:ilvl w:val="4"/>
                <w:numId w:val="60"/>
              </w:numPr>
              <w:spacing w:after="60" w:line="276" w:lineRule="auto"/>
              <w:jc w:val="both"/>
              <w:rPr>
                <w:rFonts w:cs="Times New Roman"/>
                <w:sz w:val="20"/>
                <w:szCs w:val="20"/>
              </w:rPr>
            </w:pPr>
            <w:r w:rsidRPr="00214612">
              <w:rPr>
                <w:rFonts w:cs="Times New Roman"/>
                <w:sz w:val="20"/>
                <w:szCs w:val="20"/>
              </w:rPr>
              <w:t>będzie związane z objawami klinicznymi uszkodzenia wątroby lub objawami dekompensacji wątroby</w:t>
            </w:r>
            <w:r w:rsidR="00011A17">
              <w:rPr>
                <w:rFonts w:cs="Times New Roman"/>
                <w:sz w:val="20"/>
                <w:szCs w:val="20"/>
              </w:rPr>
              <w:t>,</w:t>
            </w:r>
          </w:p>
          <w:p w14:paraId="519803FF" w14:textId="1F9E66EE" w:rsidR="00221CAF" w:rsidRPr="00214612" w:rsidRDefault="00221CAF" w:rsidP="00011A17">
            <w:pPr>
              <w:pStyle w:val="Standard"/>
              <w:spacing w:after="60" w:line="276" w:lineRule="auto"/>
              <w:ind w:left="447"/>
              <w:jc w:val="both"/>
              <w:rPr>
                <w:rFonts w:cs="Times New Roman"/>
                <w:sz w:val="20"/>
                <w:szCs w:val="20"/>
              </w:rPr>
            </w:pPr>
            <w:r w:rsidRPr="00A9439B">
              <w:rPr>
                <w:rFonts w:cs="Times New Roman"/>
                <w:sz w:val="20"/>
                <w:szCs w:val="20"/>
                <w:u w:val="single"/>
              </w:rPr>
              <w:t>-</w:t>
            </w:r>
            <w:r w:rsidR="00011A17">
              <w:rPr>
                <w:rFonts w:cs="Times New Roman"/>
                <w:sz w:val="20"/>
                <w:szCs w:val="20"/>
                <w:u w:val="single"/>
              </w:rPr>
              <w:t xml:space="preserve"> </w:t>
            </w:r>
            <w:r w:rsidRPr="00A9439B">
              <w:rPr>
                <w:rFonts w:cs="Times New Roman"/>
                <w:sz w:val="20"/>
                <w:szCs w:val="20"/>
                <w:u w:val="single"/>
              </w:rPr>
              <w:t xml:space="preserve">dotyczy wyłącznie chorych leczonych </w:t>
            </w:r>
            <w:proofErr w:type="spellStart"/>
            <w:r w:rsidRPr="00A9439B">
              <w:rPr>
                <w:rFonts w:cs="Times New Roman"/>
                <w:b/>
                <w:bCs/>
                <w:sz w:val="20"/>
                <w:szCs w:val="20"/>
                <w:u w:val="single"/>
              </w:rPr>
              <w:t>eltrombopagiem</w:t>
            </w:r>
            <w:proofErr w:type="spellEnd"/>
            <w:r w:rsidR="00011A17">
              <w:rPr>
                <w:rFonts w:cs="Times New Roman"/>
                <w:b/>
                <w:bCs/>
                <w:sz w:val="20"/>
                <w:szCs w:val="20"/>
                <w:u w:val="single"/>
              </w:rPr>
              <w:t>;</w:t>
            </w:r>
          </w:p>
          <w:p w14:paraId="180E5E6F" w14:textId="7E20D54D" w:rsidR="00E17837" w:rsidRPr="00214612" w:rsidRDefault="00E17837"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okres ciąży lub karmienia piersią;</w:t>
            </w:r>
          </w:p>
          <w:p w14:paraId="6A00A369" w14:textId="77777777" w:rsidR="00ED2C58" w:rsidRPr="00214612" w:rsidRDefault="00ED2C58"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brak odpowiedzi na leczenie:</w:t>
            </w:r>
          </w:p>
          <w:p w14:paraId="3589D946" w14:textId="77777777" w:rsidR="00ED2C58" w:rsidRPr="00214612" w:rsidRDefault="00ED2C58" w:rsidP="00A9439B">
            <w:pPr>
              <w:pStyle w:val="Standard"/>
              <w:numPr>
                <w:ilvl w:val="4"/>
                <w:numId w:val="60"/>
              </w:numPr>
              <w:spacing w:after="60" w:line="276" w:lineRule="auto"/>
              <w:jc w:val="both"/>
              <w:rPr>
                <w:rFonts w:cs="Times New Roman"/>
                <w:sz w:val="20"/>
                <w:szCs w:val="20"/>
              </w:rPr>
            </w:pPr>
            <w:proofErr w:type="spellStart"/>
            <w:r w:rsidRPr="00214612">
              <w:rPr>
                <w:rFonts w:cs="Times New Roman"/>
                <w:sz w:val="20"/>
                <w:szCs w:val="20"/>
              </w:rPr>
              <w:t>eltrombopagiem</w:t>
            </w:r>
            <w:proofErr w:type="spellEnd"/>
            <w:r w:rsidRPr="00214612">
              <w:rPr>
                <w:rFonts w:cs="Times New Roman"/>
                <w:sz w:val="20"/>
                <w:szCs w:val="20"/>
              </w:rPr>
              <w:t xml:space="preserve"> w dawce 75 mg podawanej przez 4 kolejne tygodnie leczenia (4 pomiary),</w:t>
            </w:r>
          </w:p>
          <w:p w14:paraId="04611C03" w14:textId="77777777" w:rsidR="00ED2C58" w:rsidRPr="00214612" w:rsidRDefault="00ED2C58" w:rsidP="000072E1">
            <w:pPr>
              <w:pStyle w:val="Standard"/>
              <w:spacing w:after="60" w:line="276" w:lineRule="auto"/>
              <w:ind w:left="454"/>
              <w:jc w:val="both"/>
              <w:rPr>
                <w:rFonts w:cs="Times New Roman"/>
                <w:sz w:val="20"/>
                <w:szCs w:val="20"/>
              </w:rPr>
            </w:pPr>
            <w:r w:rsidRPr="00214612">
              <w:rPr>
                <w:rFonts w:cs="Times New Roman"/>
                <w:sz w:val="20"/>
                <w:szCs w:val="20"/>
              </w:rPr>
              <w:t>albo</w:t>
            </w:r>
          </w:p>
          <w:p w14:paraId="1C7C60CE" w14:textId="77777777" w:rsidR="00ED2C58" w:rsidRPr="00214612" w:rsidRDefault="00ED2C58" w:rsidP="00A9439B">
            <w:pPr>
              <w:pStyle w:val="Standard"/>
              <w:numPr>
                <w:ilvl w:val="4"/>
                <w:numId w:val="60"/>
              </w:numPr>
              <w:spacing w:after="60" w:line="276" w:lineRule="auto"/>
              <w:jc w:val="both"/>
              <w:rPr>
                <w:rFonts w:eastAsia="Times New Roman" w:cs="Times New Roman"/>
                <w:sz w:val="20"/>
                <w:szCs w:val="20"/>
                <w:lang w:eastAsia="pl-PL"/>
              </w:rPr>
            </w:pPr>
            <w:proofErr w:type="spellStart"/>
            <w:r w:rsidRPr="00214612">
              <w:rPr>
                <w:rFonts w:cs="Times New Roman"/>
                <w:sz w:val="20"/>
                <w:szCs w:val="20"/>
              </w:rPr>
              <w:lastRenderedPageBreak/>
              <w:t>romiplostymem</w:t>
            </w:r>
            <w:proofErr w:type="spellEnd"/>
            <w:r w:rsidRPr="00214612">
              <w:rPr>
                <w:rFonts w:cs="Times New Roman"/>
                <w:sz w:val="20"/>
                <w:szCs w:val="20"/>
              </w:rPr>
              <w:t xml:space="preserve"> pomimo stosowania maksymalnej dawki (10 </w:t>
            </w:r>
            <w:proofErr w:type="spellStart"/>
            <w:r w:rsidRPr="00214612">
              <w:rPr>
                <w:rFonts w:cs="Times New Roman"/>
                <w:sz w:val="20"/>
                <w:szCs w:val="20"/>
              </w:rPr>
              <w:t>μg</w:t>
            </w:r>
            <w:proofErr w:type="spellEnd"/>
            <w:r w:rsidRPr="00214612">
              <w:rPr>
                <w:rFonts w:cs="Times New Roman"/>
                <w:sz w:val="20"/>
                <w:szCs w:val="20"/>
              </w:rPr>
              <w:t>/kg mc.) przez 4 kolejne tygodnie leczenia,</w:t>
            </w:r>
          </w:p>
          <w:p w14:paraId="6A9A7DC6" w14:textId="77777777" w:rsidR="00ED2C58" w:rsidRPr="00214612" w:rsidRDefault="00ED2C58" w:rsidP="000072E1">
            <w:pPr>
              <w:pStyle w:val="Standard"/>
              <w:spacing w:after="60" w:line="276" w:lineRule="auto"/>
              <w:ind w:left="454"/>
              <w:jc w:val="both"/>
              <w:rPr>
                <w:rFonts w:eastAsia="Times New Roman" w:cs="Times New Roman"/>
                <w:sz w:val="20"/>
                <w:szCs w:val="20"/>
                <w:lang w:eastAsia="pl-PL"/>
              </w:rPr>
            </w:pPr>
            <w:r w:rsidRPr="00214612">
              <w:rPr>
                <w:rFonts w:cs="Times New Roman"/>
                <w:sz w:val="20"/>
                <w:szCs w:val="20"/>
              </w:rPr>
              <w:t>albo</w:t>
            </w:r>
          </w:p>
          <w:p w14:paraId="43D804F3" w14:textId="0500F0CC" w:rsidR="00ED2C58" w:rsidRPr="00214612" w:rsidRDefault="00ED2C58" w:rsidP="00A9439B">
            <w:pPr>
              <w:pStyle w:val="Standard"/>
              <w:numPr>
                <w:ilvl w:val="4"/>
                <w:numId w:val="60"/>
              </w:numPr>
              <w:spacing w:after="60" w:line="276" w:lineRule="auto"/>
              <w:jc w:val="both"/>
              <w:rPr>
                <w:rFonts w:eastAsia="Times New Roman" w:cs="Times New Roman"/>
                <w:sz w:val="20"/>
                <w:szCs w:val="20"/>
                <w:lang w:eastAsia="pl-PL"/>
              </w:rPr>
            </w:pPr>
            <w:proofErr w:type="spellStart"/>
            <w:r w:rsidRPr="00214612">
              <w:rPr>
                <w:rFonts w:eastAsia="Times New Roman" w:cs="Times New Roman"/>
                <w:sz w:val="20"/>
                <w:szCs w:val="20"/>
                <w:lang w:eastAsia="pl-PL"/>
              </w:rPr>
              <w:t>awatrombopagiem</w:t>
            </w:r>
            <w:proofErr w:type="spellEnd"/>
            <w:r w:rsidRPr="00214612">
              <w:rPr>
                <w:rFonts w:eastAsia="Times New Roman" w:cs="Times New Roman"/>
                <w:sz w:val="20"/>
                <w:szCs w:val="20"/>
                <w:lang w:eastAsia="pl-PL"/>
              </w:rPr>
              <w:t xml:space="preserve"> w dawce 40 mg raz na dobę, podawanej przez 4 kolejne tygodnie </w:t>
            </w:r>
            <w:r w:rsidR="000072E1" w:rsidRPr="00214612">
              <w:rPr>
                <w:rFonts w:eastAsia="Times New Roman" w:cs="Times New Roman"/>
                <w:sz w:val="20"/>
                <w:szCs w:val="20"/>
                <w:lang w:eastAsia="pl-PL"/>
              </w:rPr>
              <w:t>leczenia,</w:t>
            </w:r>
            <w:r w:rsidRPr="00214612">
              <w:rPr>
                <w:rFonts w:eastAsia="Times New Roman" w:cs="Times New Roman"/>
                <w:sz w:val="20"/>
                <w:szCs w:val="20"/>
                <w:lang w:eastAsia="pl-PL"/>
              </w:rPr>
              <w:t xml:space="preserve"> jeśli liczba płytek krwi nie zwiększy się do ≥ 50 x 10</w:t>
            </w:r>
            <w:r w:rsidRPr="00214612">
              <w:rPr>
                <w:rFonts w:eastAsia="Times New Roman" w:cs="Times New Roman"/>
                <w:sz w:val="20"/>
                <w:szCs w:val="20"/>
                <w:vertAlign w:val="superscript"/>
                <w:lang w:eastAsia="pl-PL"/>
              </w:rPr>
              <w:t>9</w:t>
            </w:r>
            <w:r w:rsidRPr="00214612">
              <w:rPr>
                <w:rFonts w:eastAsia="Times New Roman" w:cs="Times New Roman"/>
                <w:sz w:val="20"/>
                <w:szCs w:val="20"/>
                <w:lang w:eastAsia="pl-PL"/>
              </w:rPr>
              <w:t>/L;</w:t>
            </w:r>
          </w:p>
          <w:p w14:paraId="5142A6F5" w14:textId="1E6CDB8B" w:rsidR="00ED2C58" w:rsidRPr="00A9439B" w:rsidRDefault="00ED2C58" w:rsidP="00A9439B">
            <w:pPr>
              <w:pStyle w:val="Standard"/>
              <w:numPr>
                <w:ilvl w:val="3"/>
                <w:numId w:val="60"/>
              </w:numPr>
              <w:spacing w:after="60" w:line="276" w:lineRule="auto"/>
              <w:jc w:val="both"/>
              <w:rPr>
                <w:rFonts w:eastAsia="Times New Roman" w:cs="Times New Roman"/>
                <w:sz w:val="20"/>
                <w:szCs w:val="20"/>
                <w:lang w:eastAsia="pl-PL"/>
              </w:rPr>
            </w:pPr>
            <w:r w:rsidRPr="00214612">
              <w:rPr>
                <w:rFonts w:cs="Times New Roman"/>
                <w:sz w:val="20"/>
                <w:szCs w:val="20"/>
              </w:rPr>
              <w:t>trwała remisja choroby niewymagająca jakiegokolwiek leczenia</w:t>
            </w:r>
            <w:r w:rsidR="00011A17">
              <w:rPr>
                <w:rFonts w:cs="Times New Roman"/>
                <w:sz w:val="20"/>
                <w:szCs w:val="20"/>
              </w:rPr>
              <w:t>;</w:t>
            </w:r>
          </w:p>
          <w:p w14:paraId="70FBA126" w14:textId="1E6C3D9F" w:rsidR="00221CAF" w:rsidRPr="00214612" w:rsidRDefault="00221CAF" w:rsidP="00A9439B">
            <w:pPr>
              <w:pStyle w:val="Standard"/>
              <w:numPr>
                <w:ilvl w:val="3"/>
                <w:numId w:val="60"/>
              </w:numPr>
              <w:spacing w:after="60" w:line="276" w:lineRule="auto"/>
              <w:jc w:val="both"/>
              <w:rPr>
                <w:rFonts w:cs="Times New Roman"/>
                <w:sz w:val="20"/>
                <w:szCs w:val="20"/>
              </w:rPr>
            </w:pPr>
            <w:r w:rsidRPr="00214612">
              <w:rPr>
                <w:rFonts w:cs="Times New Roman"/>
                <w:sz w:val="20"/>
                <w:szCs w:val="20"/>
              </w:rPr>
              <w:t>brak współpracy lub nieprzestrzeganie zaleceń lekarskich, w tym dotyczących okresowych badań kontrolnych oceniających skuteczność i bezpieczeństwo leczenia, ze strony świadczeniobiorcy lub jego opiekuna prawnego</w:t>
            </w:r>
            <w:r w:rsidR="00A9439B">
              <w:rPr>
                <w:rFonts w:cs="Times New Roman"/>
                <w:sz w:val="20"/>
                <w:szCs w:val="20"/>
              </w:rPr>
              <w:t>.</w:t>
            </w:r>
          </w:p>
          <w:p w14:paraId="050BE631" w14:textId="77777777" w:rsidR="00ED2C58" w:rsidRPr="00214612" w:rsidRDefault="00ED2C58" w:rsidP="005E1CFB">
            <w:pPr>
              <w:pStyle w:val="Standard"/>
              <w:spacing w:after="60" w:line="276" w:lineRule="auto"/>
              <w:jc w:val="both"/>
              <w:rPr>
                <w:rFonts w:cs="Times New Roman"/>
                <w:sz w:val="20"/>
                <w:szCs w:val="20"/>
              </w:rPr>
            </w:pPr>
          </w:p>
          <w:p w14:paraId="2D3B85CE" w14:textId="77777777" w:rsidR="00ED2C58" w:rsidRPr="00214612" w:rsidRDefault="001F735D" w:rsidP="000072E1">
            <w:pPr>
              <w:pStyle w:val="Standard"/>
              <w:spacing w:after="60" w:line="276" w:lineRule="auto"/>
              <w:jc w:val="both"/>
              <w:rPr>
                <w:rFonts w:cs="Times New Roman"/>
                <w:sz w:val="20"/>
                <w:szCs w:val="20"/>
              </w:rPr>
            </w:pPr>
            <w:r w:rsidRPr="00214612">
              <w:rPr>
                <w:rFonts w:cs="Times New Roman"/>
                <w:sz w:val="20"/>
                <w:szCs w:val="20"/>
              </w:rPr>
              <w:t>W przypadku braku odpowiedzi na leczenie, wystąpienia działań niepożądanych lub przeciwskazań do stosowania danego leku, lekarz prowadzący może podjąć decyzję o zmianie leku w ramach programu lekowego</w:t>
            </w:r>
            <w:r w:rsidR="000072E1" w:rsidRPr="00214612">
              <w:rPr>
                <w:rFonts w:cs="Times New Roman"/>
                <w:sz w:val="20"/>
                <w:szCs w:val="20"/>
              </w:rPr>
              <w:t>.</w:t>
            </w:r>
          </w:p>
          <w:p w14:paraId="41C885C1" w14:textId="132929F6" w:rsidR="000072E1" w:rsidRPr="00214612" w:rsidRDefault="000072E1" w:rsidP="000072E1">
            <w:pPr>
              <w:pStyle w:val="Standard"/>
              <w:spacing w:after="60" w:line="276" w:lineRule="auto"/>
              <w:jc w:val="both"/>
              <w:rPr>
                <w:rFonts w:eastAsia="Times New Roman" w:cs="Times New Roman"/>
                <w:sz w:val="20"/>
                <w:szCs w:val="20"/>
                <w:lang w:eastAsia="pl-PL"/>
              </w:rPr>
            </w:pPr>
          </w:p>
        </w:tc>
        <w:tc>
          <w:tcPr>
            <w:tcW w:w="5129" w:type="dxa"/>
          </w:tcPr>
          <w:p w14:paraId="44C009B1" w14:textId="178FB2D4" w:rsidR="00ED2C58" w:rsidRPr="00214612" w:rsidRDefault="00ED2C58" w:rsidP="006F6043">
            <w:pPr>
              <w:pStyle w:val="Standard"/>
              <w:numPr>
                <w:ilvl w:val="0"/>
                <w:numId w:val="54"/>
              </w:numPr>
              <w:spacing w:before="120" w:after="60" w:line="276" w:lineRule="auto"/>
              <w:jc w:val="both"/>
              <w:rPr>
                <w:rFonts w:cs="Times New Roman"/>
                <w:b/>
                <w:bCs/>
                <w:sz w:val="20"/>
                <w:szCs w:val="20"/>
              </w:rPr>
            </w:pPr>
            <w:r w:rsidRPr="00214612">
              <w:rPr>
                <w:rFonts w:cs="Times New Roman"/>
                <w:b/>
                <w:bCs/>
                <w:sz w:val="20"/>
                <w:szCs w:val="20"/>
              </w:rPr>
              <w:lastRenderedPageBreak/>
              <w:t xml:space="preserve">Dawkowanie </w:t>
            </w:r>
            <w:proofErr w:type="spellStart"/>
            <w:r w:rsidRPr="00214612">
              <w:rPr>
                <w:rFonts w:cs="Times New Roman"/>
                <w:b/>
                <w:bCs/>
                <w:sz w:val="20"/>
                <w:szCs w:val="20"/>
              </w:rPr>
              <w:t>eltrombopagu</w:t>
            </w:r>
            <w:proofErr w:type="spellEnd"/>
          </w:p>
          <w:p w14:paraId="16409735" w14:textId="7ECC2689" w:rsidR="00ED2C58" w:rsidRPr="00214612" w:rsidRDefault="0002406F"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z</w:t>
            </w:r>
            <w:r w:rsidR="00ED2C58" w:rsidRPr="00214612">
              <w:rPr>
                <w:rFonts w:cs="Times New Roman"/>
                <w:sz w:val="20"/>
                <w:szCs w:val="20"/>
              </w:rPr>
              <w:t>alecana dawka początkowa</w:t>
            </w:r>
            <w:r w:rsidR="00C750F5" w:rsidRPr="00214612">
              <w:rPr>
                <w:rFonts w:cs="Times New Roman"/>
                <w:sz w:val="20"/>
                <w:szCs w:val="20"/>
              </w:rPr>
              <w:t>:</w:t>
            </w:r>
            <w:r w:rsidR="00ED2C58" w:rsidRPr="00214612">
              <w:rPr>
                <w:rFonts w:cs="Times New Roman"/>
                <w:sz w:val="20"/>
                <w:szCs w:val="20"/>
              </w:rPr>
              <w:t xml:space="preserve"> 50 mg raz na dobę;</w:t>
            </w:r>
          </w:p>
          <w:p w14:paraId="0C3432CD" w14:textId="4DC98E60" w:rsidR="00F16085" w:rsidRPr="00214612" w:rsidRDefault="00ED2C58"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dawkę leku ustala się indywidualnie w zależności od liczby płytek krwi u pacjenta – sposób modyfikacji dawkowania oraz postępowanie w okresie czasowego przerwania leczenia zostały określone w aktualnej na dzień wydania decyzji Charakterystyce Produktu Leczniczego.</w:t>
            </w:r>
            <w:r w:rsidR="00C750F5" w:rsidRPr="00214612" w:rsidDel="00C750F5">
              <w:rPr>
                <w:rFonts w:cs="Times New Roman"/>
                <w:sz w:val="20"/>
                <w:szCs w:val="20"/>
              </w:rPr>
              <w:t xml:space="preserve"> </w:t>
            </w:r>
          </w:p>
          <w:p w14:paraId="5334DA7A" w14:textId="77777777" w:rsidR="00ED2C58" w:rsidRPr="00214612" w:rsidRDefault="00ED2C58" w:rsidP="005E1CFB">
            <w:pPr>
              <w:pStyle w:val="Standard"/>
              <w:spacing w:after="60" w:line="276" w:lineRule="auto"/>
              <w:ind w:left="397"/>
              <w:jc w:val="both"/>
              <w:rPr>
                <w:rFonts w:cs="Times New Roman"/>
                <w:sz w:val="20"/>
                <w:szCs w:val="20"/>
              </w:rPr>
            </w:pPr>
          </w:p>
          <w:p w14:paraId="30E2102E" w14:textId="084334F6" w:rsidR="00F16085" w:rsidRPr="00214612" w:rsidRDefault="00ED2C58" w:rsidP="006F6043">
            <w:pPr>
              <w:pStyle w:val="Standard"/>
              <w:numPr>
                <w:ilvl w:val="0"/>
                <w:numId w:val="54"/>
              </w:numPr>
              <w:spacing w:after="60" w:line="276" w:lineRule="auto"/>
              <w:jc w:val="both"/>
              <w:rPr>
                <w:rFonts w:cs="Times New Roman"/>
                <w:b/>
                <w:bCs/>
                <w:sz w:val="20"/>
                <w:szCs w:val="20"/>
              </w:rPr>
            </w:pPr>
            <w:r w:rsidRPr="00214612">
              <w:rPr>
                <w:rFonts w:cs="Times New Roman"/>
                <w:b/>
                <w:bCs/>
                <w:sz w:val="20"/>
                <w:szCs w:val="20"/>
              </w:rPr>
              <w:t xml:space="preserve">Dawkowanie </w:t>
            </w:r>
            <w:proofErr w:type="spellStart"/>
            <w:r w:rsidRPr="00214612">
              <w:rPr>
                <w:rFonts w:cs="Times New Roman"/>
                <w:b/>
                <w:bCs/>
                <w:sz w:val="20"/>
                <w:szCs w:val="20"/>
              </w:rPr>
              <w:t>romiplostymu</w:t>
            </w:r>
            <w:proofErr w:type="spellEnd"/>
          </w:p>
          <w:p w14:paraId="6B939358" w14:textId="3AB325E3" w:rsidR="00F16085" w:rsidRPr="00214612" w:rsidRDefault="00C750F5"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d</w:t>
            </w:r>
            <w:r w:rsidR="00F16085" w:rsidRPr="00214612">
              <w:rPr>
                <w:rFonts w:cs="Times New Roman"/>
                <w:sz w:val="20"/>
                <w:szCs w:val="20"/>
              </w:rPr>
              <w:t>awka początkowa: 1 µg/kg mc. raz w tygodniu</w:t>
            </w:r>
            <w:r w:rsidRPr="00214612">
              <w:rPr>
                <w:rFonts w:cs="Times New Roman"/>
                <w:sz w:val="20"/>
                <w:szCs w:val="20"/>
              </w:rPr>
              <w:t xml:space="preserve"> podskórnie</w:t>
            </w:r>
            <w:r w:rsidR="00F16085" w:rsidRPr="00214612">
              <w:rPr>
                <w:rFonts w:cs="Times New Roman"/>
                <w:sz w:val="20"/>
                <w:szCs w:val="20"/>
              </w:rPr>
              <w:t>, z uwzględnieniem masy ciała pacjenta na początku leczenia</w:t>
            </w:r>
            <w:r w:rsidR="0002406F" w:rsidRPr="00214612">
              <w:rPr>
                <w:rFonts w:cs="Times New Roman"/>
                <w:sz w:val="20"/>
                <w:szCs w:val="20"/>
              </w:rPr>
              <w:t>;</w:t>
            </w:r>
          </w:p>
          <w:p w14:paraId="1788809F" w14:textId="5100342E" w:rsidR="00F16085" w:rsidRPr="00214612" w:rsidRDefault="00C750F5"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n</w:t>
            </w:r>
            <w:r w:rsidR="00F16085" w:rsidRPr="00214612">
              <w:rPr>
                <w:rFonts w:cs="Times New Roman"/>
                <w:sz w:val="20"/>
                <w:szCs w:val="20"/>
              </w:rPr>
              <w:t>astępnie dawkę leku ustala się indywidualnie</w:t>
            </w:r>
            <w:r w:rsidR="00F16085" w:rsidRPr="00214612">
              <w:rPr>
                <w:rFonts w:cs="Times New Roman"/>
                <w:b/>
                <w:bCs/>
                <w:sz w:val="20"/>
                <w:szCs w:val="20"/>
              </w:rPr>
              <w:t xml:space="preserve"> </w:t>
            </w:r>
            <w:r w:rsidR="00F16085" w:rsidRPr="00214612">
              <w:rPr>
                <w:rFonts w:cs="Times New Roman"/>
                <w:sz w:val="20"/>
                <w:szCs w:val="20"/>
              </w:rPr>
              <w:t>w zależności od liczby płytek krwi u chorego - zgodnie z aktualną na dzień wydania decyzji Charakterystyką Produktu Leczniczego.</w:t>
            </w:r>
          </w:p>
          <w:p w14:paraId="6CD031A9" w14:textId="28C873E8" w:rsidR="00ED2C58" w:rsidRPr="00214612" w:rsidRDefault="00F16085" w:rsidP="000072E1">
            <w:pPr>
              <w:pStyle w:val="Standard"/>
              <w:spacing w:after="60" w:line="276" w:lineRule="auto"/>
              <w:jc w:val="both"/>
              <w:rPr>
                <w:rFonts w:cs="Times New Roman"/>
                <w:sz w:val="20"/>
                <w:szCs w:val="20"/>
              </w:rPr>
            </w:pPr>
            <w:r w:rsidRPr="00214612">
              <w:rPr>
                <w:rFonts w:cs="Times New Roman"/>
                <w:sz w:val="20"/>
                <w:szCs w:val="20"/>
              </w:rPr>
              <w:t>Po wyrażeniu zgody przez lekarza prowadzącego możliwe jest wydanie leku pacjentowi do samodzielnego podania, po odpowiednim przeszkoleniu</w:t>
            </w:r>
            <w:r w:rsidR="00C750F5" w:rsidRPr="00214612">
              <w:rPr>
                <w:rFonts w:cs="Times New Roman"/>
                <w:sz w:val="20"/>
                <w:szCs w:val="20"/>
              </w:rPr>
              <w:t xml:space="preserve"> pacjenta</w:t>
            </w:r>
            <w:r w:rsidRPr="00214612">
              <w:rPr>
                <w:rFonts w:cs="Times New Roman"/>
                <w:sz w:val="20"/>
                <w:szCs w:val="20"/>
              </w:rPr>
              <w:t xml:space="preserve">, o ile nie stanowi to zagrożenia dla </w:t>
            </w:r>
            <w:r w:rsidR="00C750F5" w:rsidRPr="00214612">
              <w:rPr>
                <w:rFonts w:cs="Times New Roman"/>
                <w:sz w:val="20"/>
                <w:szCs w:val="20"/>
              </w:rPr>
              <w:t xml:space="preserve">jego </w:t>
            </w:r>
            <w:r w:rsidRPr="00214612">
              <w:rPr>
                <w:rFonts w:cs="Times New Roman"/>
                <w:sz w:val="20"/>
                <w:szCs w:val="20"/>
              </w:rPr>
              <w:t xml:space="preserve">zdrowia i pozostaje bez wpływu na skuteczność i bezpieczeństwo prowadzenia terapii. Lek powinien być wydany w ilości każdorazowo nie większej niż </w:t>
            </w:r>
            <w:r w:rsidRPr="00214612">
              <w:rPr>
                <w:rFonts w:cs="Times New Roman"/>
                <w:sz w:val="20"/>
                <w:szCs w:val="20"/>
              </w:rPr>
              <w:lastRenderedPageBreak/>
              <w:t xml:space="preserve">niezbędna do zabezpieczenia 3 miesięcy terapii. Opisane powyżej postępowanie powinno zostać odnotowane w dokumentacji medycznej pacjenta oraz </w:t>
            </w:r>
            <w:r w:rsidR="0078158D" w:rsidRPr="00214612">
              <w:rPr>
                <w:rFonts w:cs="Times New Roman"/>
                <w:sz w:val="20"/>
                <w:szCs w:val="20"/>
              </w:rPr>
              <w:t>w elektronicznym systemie monitorowania programów lekowych</w:t>
            </w:r>
            <w:r w:rsidRPr="00214612">
              <w:rPr>
                <w:rFonts w:cs="Times New Roman"/>
                <w:sz w:val="20"/>
                <w:szCs w:val="20"/>
              </w:rPr>
              <w:t>. Osobiste stawiennictwo pacjenta w ośrodku prowadzącym terapię nie może być jednak rzadsze niż 4 razy w ciągu każdych kolejnych 12 miesięcy</w:t>
            </w:r>
            <w:r w:rsidR="000072E1" w:rsidRPr="00214612">
              <w:rPr>
                <w:rFonts w:cs="Times New Roman"/>
                <w:sz w:val="20"/>
                <w:szCs w:val="20"/>
              </w:rPr>
              <w:t>.</w:t>
            </w:r>
          </w:p>
          <w:p w14:paraId="2D136486" w14:textId="77777777" w:rsidR="000072E1" w:rsidRPr="00214612" w:rsidRDefault="000072E1" w:rsidP="000072E1">
            <w:pPr>
              <w:pStyle w:val="Standard"/>
              <w:spacing w:after="60" w:line="276" w:lineRule="auto"/>
              <w:jc w:val="both"/>
              <w:rPr>
                <w:rFonts w:cs="Times New Roman"/>
                <w:sz w:val="20"/>
                <w:szCs w:val="20"/>
              </w:rPr>
            </w:pPr>
          </w:p>
          <w:p w14:paraId="0B982AB0" w14:textId="1AFD4BC1" w:rsidR="00C750F5" w:rsidRPr="00214612" w:rsidRDefault="00ED2C58" w:rsidP="006F6043">
            <w:pPr>
              <w:pStyle w:val="Standard"/>
              <w:numPr>
                <w:ilvl w:val="0"/>
                <w:numId w:val="54"/>
              </w:numPr>
              <w:spacing w:after="60" w:line="276" w:lineRule="auto"/>
              <w:jc w:val="both"/>
              <w:rPr>
                <w:rFonts w:cs="Times New Roman"/>
                <w:b/>
                <w:bCs/>
                <w:sz w:val="20"/>
                <w:szCs w:val="20"/>
              </w:rPr>
            </w:pPr>
            <w:r w:rsidRPr="00214612">
              <w:rPr>
                <w:rFonts w:cs="Times New Roman"/>
                <w:b/>
                <w:bCs/>
                <w:sz w:val="20"/>
                <w:szCs w:val="20"/>
              </w:rPr>
              <w:t xml:space="preserve">Dawkowanie </w:t>
            </w:r>
            <w:proofErr w:type="spellStart"/>
            <w:r w:rsidRPr="00214612">
              <w:rPr>
                <w:rFonts w:cs="Times New Roman"/>
                <w:b/>
                <w:bCs/>
                <w:sz w:val="20"/>
                <w:szCs w:val="20"/>
              </w:rPr>
              <w:t>awatrombopagu</w:t>
            </w:r>
            <w:proofErr w:type="spellEnd"/>
          </w:p>
          <w:p w14:paraId="18EDE566" w14:textId="629965B0" w:rsidR="00C95007" w:rsidRPr="00214612" w:rsidRDefault="00F13714"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zalecana d</w:t>
            </w:r>
            <w:r w:rsidR="00C95007" w:rsidRPr="00214612">
              <w:rPr>
                <w:rFonts w:cs="Times New Roman"/>
                <w:sz w:val="20"/>
                <w:szCs w:val="20"/>
              </w:rPr>
              <w:t>awka początkowa: 20 mg raz na dobę</w:t>
            </w:r>
            <w:r w:rsidR="0002406F" w:rsidRPr="00214612">
              <w:rPr>
                <w:rFonts w:cs="Times New Roman"/>
                <w:sz w:val="20"/>
                <w:szCs w:val="20"/>
              </w:rPr>
              <w:t>;</w:t>
            </w:r>
          </w:p>
          <w:p w14:paraId="798631B9" w14:textId="54BE4DF7" w:rsidR="00C95007" w:rsidRPr="00214612" w:rsidRDefault="00F13714"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d</w:t>
            </w:r>
            <w:r w:rsidR="00C95007" w:rsidRPr="00214612">
              <w:rPr>
                <w:rFonts w:cs="Times New Roman"/>
                <w:sz w:val="20"/>
                <w:szCs w:val="20"/>
              </w:rPr>
              <w:t>awkę leku ustala się indywidualnie w zależności od liczby płytek krwi u pacjenta - zgodnie z aktualną na dzień wydania decyzji Charakterystyką Produktu Leczniczego</w:t>
            </w:r>
            <w:r w:rsidR="0002406F" w:rsidRPr="00214612">
              <w:rPr>
                <w:rFonts w:cs="Times New Roman"/>
                <w:sz w:val="20"/>
                <w:szCs w:val="20"/>
              </w:rPr>
              <w:t>;</w:t>
            </w:r>
          </w:p>
          <w:p w14:paraId="0F0E37C6" w14:textId="299ADAA3" w:rsidR="00E17837" w:rsidRDefault="00F13714" w:rsidP="006F6043">
            <w:pPr>
              <w:pStyle w:val="Standard"/>
              <w:numPr>
                <w:ilvl w:val="3"/>
                <w:numId w:val="54"/>
              </w:numPr>
              <w:spacing w:after="60" w:line="276" w:lineRule="auto"/>
              <w:jc w:val="both"/>
              <w:rPr>
                <w:rFonts w:cs="Times New Roman"/>
                <w:sz w:val="20"/>
                <w:szCs w:val="20"/>
              </w:rPr>
            </w:pPr>
            <w:r w:rsidRPr="00214612">
              <w:rPr>
                <w:rFonts w:cs="Times New Roman"/>
                <w:sz w:val="20"/>
                <w:szCs w:val="20"/>
              </w:rPr>
              <w:t>sposób modyfikacji dawkowania oraz postępowanie w okresie czasowego przerwania leczenia zostały określone w aktualnej na dzień wydania decyzji Charakterystyce Produktu Leczniczego</w:t>
            </w:r>
            <w:r w:rsidR="0002406F" w:rsidRPr="00214612">
              <w:rPr>
                <w:rFonts w:cs="Times New Roman"/>
                <w:sz w:val="20"/>
                <w:szCs w:val="20"/>
              </w:rPr>
              <w:t>.</w:t>
            </w:r>
          </w:p>
          <w:p w14:paraId="33933971" w14:textId="77777777" w:rsidR="00F75EE0" w:rsidRPr="00214612" w:rsidRDefault="00F75EE0" w:rsidP="00F75EE0">
            <w:pPr>
              <w:pStyle w:val="Standard"/>
              <w:spacing w:after="60" w:line="276" w:lineRule="auto"/>
              <w:jc w:val="both"/>
              <w:rPr>
                <w:rFonts w:cs="Times New Roman"/>
                <w:sz w:val="20"/>
                <w:szCs w:val="20"/>
              </w:rPr>
            </w:pPr>
          </w:p>
          <w:p w14:paraId="7B2ABABC" w14:textId="2D7C02F9" w:rsidR="00E17837" w:rsidRPr="00214612" w:rsidRDefault="00E17837" w:rsidP="006F6043">
            <w:pPr>
              <w:pStyle w:val="Standard"/>
              <w:numPr>
                <w:ilvl w:val="0"/>
                <w:numId w:val="54"/>
              </w:numPr>
              <w:spacing w:after="60" w:line="276" w:lineRule="auto"/>
              <w:jc w:val="both"/>
              <w:rPr>
                <w:rFonts w:cs="Times New Roman"/>
                <w:b/>
                <w:bCs/>
                <w:sz w:val="20"/>
                <w:szCs w:val="20"/>
              </w:rPr>
            </w:pPr>
            <w:r w:rsidRPr="00A9439B">
              <w:rPr>
                <w:rFonts w:cs="Times New Roman"/>
                <w:b/>
                <w:bCs/>
                <w:sz w:val="20"/>
                <w:szCs w:val="20"/>
              </w:rPr>
              <w:t xml:space="preserve">Dawkowanie </w:t>
            </w:r>
            <w:proofErr w:type="spellStart"/>
            <w:r w:rsidRPr="00A9439B">
              <w:rPr>
                <w:rFonts w:cs="Times New Roman"/>
                <w:b/>
                <w:bCs/>
                <w:sz w:val="20"/>
                <w:szCs w:val="20"/>
              </w:rPr>
              <w:t>rytuksymabu</w:t>
            </w:r>
            <w:proofErr w:type="spellEnd"/>
          </w:p>
          <w:p w14:paraId="4E94119D" w14:textId="77777777" w:rsidR="00214612" w:rsidRPr="00214612" w:rsidRDefault="006F6043">
            <w:pPr>
              <w:pStyle w:val="Standard"/>
              <w:numPr>
                <w:ilvl w:val="3"/>
                <w:numId w:val="54"/>
              </w:numPr>
              <w:spacing w:after="60" w:line="276" w:lineRule="auto"/>
              <w:jc w:val="both"/>
              <w:rPr>
                <w:rFonts w:cs="Times New Roman"/>
                <w:sz w:val="20"/>
                <w:szCs w:val="20"/>
              </w:rPr>
            </w:pPr>
            <w:r w:rsidRPr="00214612">
              <w:rPr>
                <w:rFonts w:cs="Times New Roman"/>
                <w:sz w:val="20"/>
                <w:szCs w:val="20"/>
              </w:rPr>
              <w:t>zalecana dawka: 375 mg/m</w:t>
            </w:r>
            <w:r w:rsidRPr="00214612">
              <w:rPr>
                <w:rFonts w:cs="Times New Roman"/>
                <w:sz w:val="20"/>
                <w:szCs w:val="20"/>
                <w:vertAlign w:val="superscript"/>
              </w:rPr>
              <w:t>2</w:t>
            </w:r>
            <w:r w:rsidRPr="00214612">
              <w:rPr>
                <w:rFonts w:cs="Times New Roman"/>
                <w:sz w:val="20"/>
                <w:szCs w:val="20"/>
              </w:rPr>
              <w:t xml:space="preserve"> we wlewie dożylnym raz w tygodniu</w:t>
            </w:r>
            <w:r w:rsidR="00214612" w:rsidRPr="00214612">
              <w:rPr>
                <w:rFonts w:cs="Times New Roman"/>
                <w:sz w:val="20"/>
                <w:szCs w:val="20"/>
              </w:rPr>
              <w:t>;</w:t>
            </w:r>
          </w:p>
          <w:p w14:paraId="0181419B" w14:textId="1E8F8465" w:rsidR="00A15282" w:rsidRPr="00214612" w:rsidRDefault="001D231B" w:rsidP="00A9439B">
            <w:pPr>
              <w:pStyle w:val="Standard"/>
              <w:numPr>
                <w:ilvl w:val="3"/>
                <w:numId w:val="54"/>
              </w:numPr>
              <w:spacing w:after="60" w:line="276" w:lineRule="auto"/>
              <w:jc w:val="both"/>
              <w:rPr>
                <w:rFonts w:cs="Times New Roman"/>
                <w:sz w:val="20"/>
                <w:szCs w:val="20"/>
              </w:rPr>
            </w:pPr>
            <w:r>
              <w:rPr>
                <w:rFonts w:cs="Times New Roman"/>
                <w:sz w:val="20"/>
                <w:szCs w:val="20"/>
              </w:rPr>
              <w:t xml:space="preserve">czas trwania </w:t>
            </w:r>
            <w:r w:rsidR="00214612" w:rsidRPr="00214612">
              <w:rPr>
                <w:rFonts w:cs="Times New Roman"/>
                <w:sz w:val="20"/>
                <w:szCs w:val="20"/>
              </w:rPr>
              <w:t>cyklu:</w:t>
            </w:r>
            <w:r w:rsidR="00A15282" w:rsidRPr="00214612">
              <w:rPr>
                <w:rFonts w:cs="Times New Roman"/>
                <w:sz w:val="20"/>
                <w:szCs w:val="20"/>
              </w:rPr>
              <w:t xml:space="preserve"> 4 tygodnie</w:t>
            </w:r>
            <w:r w:rsidR="00214612" w:rsidRPr="00214612">
              <w:rPr>
                <w:rFonts w:cs="Times New Roman"/>
                <w:sz w:val="20"/>
                <w:szCs w:val="20"/>
              </w:rPr>
              <w:t>;</w:t>
            </w:r>
            <w:r w:rsidR="00A15282" w:rsidRPr="00214612">
              <w:rPr>
                <w:rFonts w:cs="Times New Roman"/>
                <w:sz w:val="20"/>
                <w:szCs w:val="20"/>
              </w:rPr>
              <w:t xml:space="preserve"> </w:t>
            </w:r>
          </w:p>
          <w:p w14:paraId="66931405" w14:textId="77777777" w:rsidR="006F6043" w:rsidRPr="00214612" w:rsidRDefault="006F6043" w:rsidP="00A15282">
            <w:pPr>
              <w:pStyle w:val="ColorfulList-Accent11"/>
              <w:numPr>
                <w:ilvl w:val="3"/>
                <w:numId w:val="54"/>
              </w:numPr>
              <w:spacing w:before="0" w:line="276" w:lineRule="auto"/>
              <w:contextualSpacing w:val="0"/>
              <w:rPr>
                <w:rFonts w:ascii="Times New Roman" w:hAnsi="Times New Roman"/>
                <w:sz w:val="20"/>
                <w:szCs w:val="20"/>
                <w:lang w:val="pl-PL"/>
              </w:rPr>
            </w:pPr>
            <w:r w:rsidRPr="00214612">
              <w:rPr>
                <w:rFonts w:ascii="Times New Roman" w:hAnsi="Times New Roman"/>
                <w:sz w:val="20"/>
                <w:szCs w:val="20"/>
                <w:lang w:val="pl-PL"/>
              </w:rPr>
              <w:t xml:space="preserve">30 minut przed wlewem </w:t>
            </w:r>
            <w:proofErr w:type="spellStart"/>
            <w:r w:rsidRPr="00214612">
              <w:rPr>
                <w:rFonts w:ascii="Times New Roman" w:hAnsi="Times New Roman"/>
                <w:sz w:val="20"/>
                <w:szCs w:val="20"/>
                <w:lang w:val="pl-PL"/>
              </w:rPr>
              <w:t>rytuksymabu</w:t>
            </w:r>
            <w:proofErr w:type="spellEnd"/>
            <w:r w:rsidRPr="00214612">
              <w:rPr>
                <w:rFonts w:ascii="Times New Roman" w:hAnsi="Times New Roman"/>
                <w:sz w:val="20"/>
                <w:szCs w:val="20"/>
                <w:lang w:val="pl-PL"/>
              </w:rPr>
              <w:t xml:space="preserve"> należy podać </w:t>
            </w:r>
            <w:proofErr w:type="spellStart"/>
            <w:r w:rsidRPr="00214612">
              <w:rPr>
                <w:rFonts w:ascii="Times New Roman" w:hAnsi="Times New Roman"/>
                <w:sz w:val="20"/>
                <w:szCs w:val="20"/>
                <w:lang w:val="pl-PL"/>
              </w:rPr>
              <w:t>metyloprednizolon</w:t>
            </w:r>
            <w:proofErr w:type="spellEnd"/>
            <w:r w:rsidRPr="00214612">
              <w:rPr>
                <w:rFonts w:ascii="Times New Roman" w:hAnsi="Times New Roman"/>
                <w:sz w:val="20"/>
                <w:szCs w:val="20"/>
                <w:lang w:val="pl-PL"/>
              </w:rPr>
              <w:t xml:space="preserve"> w dawce 100 mg dożylnie.</w:t>
            </w:r>
          </w:p>
          <w:p w14:paraId="1FAD92D7" w14:textId="2C2E84D6" w:rsidR="00C95007" w:rsidRPr="00214612" w:rsidRDefault="00C95007" w:rsidP="00011A17">
            <w:pPr>
              <w:pStyle w:val="Standard"/>
              <w:spacing w:after="60" w:line="276" w:lineRule="auto"/>
              <w:ind w:left="227"/>
              <w:jc w:val="both"/>
              <w:rPr>
                <w:rFonts w:cs="Times New Roman"/>
                <w:sz w:val="20"/>
                <w:szCs w:val="20"/>
              </w:rPr>
            </w:pPr>
          </w:p>
        </w:tc>
        <w:tc>
          <w:tcPr>
            <w:tcW w:w="5130" w:type="dxa"/>
          </w:tcPr>
          <w:p w14:paraId="60E70AA2" w14:textId="6B73F6E1" w:rsidR="00ED2C58" w:rsidRPr="00214612" w:rsidRDefault="00ED2C58" w:rsidP="000072E1">
            <w:pPr>
              <w:pStyle w:val="Standard"/>
              <w:numPr>
                <w:ilvl w:val="0"/>
                <w:numId w:val="55"/>
              </w:numPr>
              <w:spacing w:before="120" w:after="60" w:line="276" w:lineRule="auto"/>
              <w:jc w:val="both"/>
              <w:rPr>
                <w:rFonts w:cs="Times New Roman"/>
                <w:b/>
                <w:bCs/>
                <w:sz w:val="20"/>
                <w:szCs w:val="20"/>
              </w:rPr>
            </w:pPr>
            <w:r w:rsidRPr="00214612">
              <w:rPr>
                <w:rFonts w:cs="Times New Roman"/>
                <w:b/>
                <w:bCs/>
                <w:sz w:val="20"/>
                <w:szCs w:val="20"/>
              </w:rPr>
              <w:lastRenderedPageBreak/>
              <w:t xml:space="preserve">Badania przy kwalifikacji </w:t>
            </w:r>
          </w:p>
          <w:p w14:paraId="1A8FE276"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morfologia krwi z rozmazem;</w:t>
            </w:r>
          </w:p>
          <w:p w14:paraId="1CEF9B24"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 xml:space="preserve">parametry czynności wątroby: </w:t>
            </w:r>
          </w:p>
          <w:p w14:paraId="2F1F787D" w14:textId="13DC8DDA" w:rsidR="00ED2C58" w:rsidRPr="00214612" w:rsidRDefault="00ED2C58" w:rsidP="000072E1">
            <w:pPr>
              <w:pStyle w:val="Standard"/>
              <w:numPr>
                <w:ilvl w:val="4"/>
                <w:numId w:val="55"/>
              </w:numPr>
              <w:spacing w:after="60" w:line="276" w:lineRule="auto"/>
              <w:jc w:val="both"/>
              <w:rPr>
                <w:rFonts w:cs="Times New Roman"/>
                <w:sz w:val="20"/>
                <w:szCs w:val="20"/>
              </w:rPr>
            </w:pPr>
            <w:proofErr w:type="spellStart"/>
            <w:r w:rsidRPr="00214612">
              <w:rPr>
                <w:rFonts w:cs="Times New Roman"/>
                <w:sz w:val="20"/>
                <w:szCs w:val="20"/>
              </w:rPr>
              <w:t>AlAT</w:t>
            </w:r>
            <w:proofErr w:type="spellEnd"/>
            <w:r w:rsidRPr="00214612">
              <w:rPr>
                <w:rFonts w:cs="Times New Roman"/>
                <w:sz w:val="20"/>
                <w:szCs w:val="20"/>
              </w:rPr>
              <w:t xml:space="preserve">, </w:t>
            </w:r>
            <w:proofErr w:type="spellStart"/>
            <w:r w:rsidRPr="00214612">
              <w:rPr>
                <w:rFonts w:cs="Times New Roman"/>
                <w:sz w:val="20"/>
                <w:szCs w:val="20"/>
              </w:rPr>
              <w:t>AspAT</w:t>
            </w:r>
            <w:proofErr w:type="spellEnd"/>
            <w:r w:rsidRPr="00214612">
              <w:rPr>
                <w:rFonts w:cs="Times New Roman"/>
                <w:sz w:val="20"/>
                <w:szCs w:val="20"/>
              </w:rPr>
              <w:t xml:space="preserve">, bilirubina całkowita – dotyczy kwalifikacji do leczenia </w:t>
            </w:r>
            <w:proofErr w:type="spellStart"/>
            <w:r w:rsidRPr="00214612">
              <w:rPr>
                <w:rFonts w:cs="Times New Roman"/>
                <w:b/>
                <w:bCs/>
                <w:sz w:val="20"/>
                <w:szCs w:val="20"/>
              </w:rPr>
              <w:t>eltrombopagiem</w:t>
            </w:r>
            <w:proofErr w:type="spellEnd"/>
            <w:r w:rsidR="00424D2F" w:rsidRPr="00214612">
              <w:rPr>
                <w:rFonts w:cs="Times New Roman"/>
                <w:b/>
                <w:bCs/>
                <w:sz w:val="20"/>
                <w:szCs w:val="20"/>
              </w:rPr>
              <w:t xml:space="preserve"> lub </w:t>
            </w:r>
            <w:proofErr w:type="spellStart"/>
            <w:r w:rsidR="00424D2F" w:rsidRPr="00214612">
              <w:rPr>
                <w:rFonts w:cs="Times New Roman"/>
                <w:b/>
                <w:bCs/>
                <w:sz w:val="20"/>
                <w:szCs w:val="20"/>
              </w:rPr>
              <w:t>rytuksymabem</w:t>
            </w:r>
            <w:proofErr w:type="spellEnd"/>
            <w:r w:rsidR="00F75EE0">
              <w:rPr>
                <w:rFonts w:cs="Times New Roman"/>
                <w:b/>
                <w:bCs/>
                <w:sz w:val="20"/>
                <w:szCs w:val="20"/>
              </w:rPr>
              <w:t>,</w:t>
            </w:r>
          </w:p>
          <w:p w14:paraId="4FD53819" w14:textId="77777777" w:rsidR="00214612" w:rsidRPr="00A9439B" w:rsidRDefault="00ED2C58" w:rsidP="00586A98">
            <w:pPr>
              <w:pStyle w:val="Standard"/>
              <w:numPr>
                <w:ilvl w:val="4"/>
                <w:numId w:val="55"/>
              </w:numPr>
              <w:spacing w:after="60" w:line="276" w:lineRule="auto"/>
              <w:jc w:val="both"/>
              <w:rPr>
                <w:rFonts w:cs="Times New Roman"/>
                <w:sz w:val="20"/>
                <w:szCs w:val="20"/>
              </w:rPr>
            </w:pPr>
            <w:r w:rsidRPr="00214612">
              <w:rPr>
                <w:rFonts w:cs="Times New Roman"/>
                <w:sz w:val="20"/>
                <w:szCs w:val="20"/>
              </w:rPr>
              <w:t xml:space="preserve">AST, </w:t>
            </w:r>
            <w:proofErr w:type="spellStart"/>
            <w:r w:rsidRPr="00214612">
              <w:rPr>
                <w:rFonts w:cs="Times New Roman"/>
                <w:sz w:val="20"/>
                <w:szCs w:val="20"/>
              </w:rPr>
              <w:t>AlAT</w:t>
            </w:r>
            <w:proofErr w:type="spellEnd"/>
            <w:r w:rsidRPr="00214612">
              <w:rPr>
                <w:rFonts w:cs="Times New Roman"/>
                <w:sz w:val="20"/>
                <w:szCs w:val="20"/>
              </w:rPr>
              <w:t xml:space="preserve">, bilirubina całkowita, czas </w:t>
            </w:r>
            <w:proofErr w:type="spellStart"/>
            <w:r w:rsidRPr="00214612">
              <w:rPr>
                <w:rFonts w:cs="Times New Roman"/>
                <w:sz w:val="20"/>
                <w:szCs w:val="20"/>
              </w:rPr>
              <w:t>protrombinowy</w:t>
            </w:r>
            <w:proofErr w:type="spellEnd"/>
            <w:r w:rsidRPr="00214612">
              <w:rPr>
                <w:rFonts w:cs="Times New Roman"/>
                <w:sz w:val="20"/>
                <w:szCs w:val="20"/>
              </w:rPr>
              <w:t xml:space="preserve">, stężenie albumin we krwi – dotyczy kwalifikacji do leczenia </w:t>
            </w:r>
            <w:proofErr w:type="spellStart"/>
            <w:proofErr w:type="gramStart"/>
            <w:r w:rsidRPr="00586A98">
              <w:rPr>
                <w:rFonts w:cs="Times New Roman"/>
                <w:b/>
                <w:bCs/>
                <w:sz w:val="20"/>
                <w:szCs w:val="20"/>
              </w:rPr>
              <w:t>romiplostymem</w:t>
            </w:r>
            <w:proofErr w:type="spellEnd"/>
            <w:r w:rsidR="006F6043" w:rsidRPr="00586A98">
              <w:rPr>
                <w:rFonts w:cs="Times New Roman"/>
                <w:b/>
                <w:bCs/>
                <w:sz w:val="20"/>
                <w:szCs w:val="20"/>
              </w:rPr>
              <w:t>,</w:t>
            </w:r>
            <w:proofErr w:type="gramEnd"/>
            <w:r w:rsidRPr="00214612">
              <w:rPr>
                <w:rFonts w:cs="Times New Roman"/>
                <w:sz w:val="20"/>
                <w:szCs w:val="20"/>
              </w:rPr>
              <w:t xml:space="preserve"> lub </w:t>
            </w:r>
            <w:proofErr w:type="spellStart"/>
            <w:r w:rsidRPr="00586A98">
              <w:rPr>
                <w:rFonts w:cs="Times New Roman"/>
                <w:b/>
                <w:bCs/>
                <w:sz w:val="20"/>
                <w:szCs w:val="20"/>
              </w:rPr>
              <w:t>awatrombopagiem</w:t>
            </w:r>
            <w:proofErr w:type="spellEnd"/>
            <w:r w:rsidR="00214612" w:rsidRPr="00586A98">
              <w:rPr>
                <w:rFonts w:cs="Times New Roman"/>
                <w:b/>
                <w:bCs/>
                <w:sz w:val="20"/>
                <w:szCs w:val="20"/>
              </w:rPr>
              <w:t>;</w:t>
            </w:r>
          </w:p>
          <w:p w14:paraId="60777048" w14:textId="0F3AAB01" w:rsidR="006F6043" w:rsidRPr="00214612" w:rsidRDefault="006F6043" w:rsidP="006F6043">
            <w:pPr>
              <w:numPr>
                <w:ilvl w:val="3"/>
                <w:numId w:val="55"/>
              </w:numPr>
              <w:tabs>
                <w:tab w:val="left" w:pos="355"/>
              </w:tabs>
              <w:autoSpaceDE w:val="0"/>
              <w:autoSpaceDN w:val="0"/>
              <w:adjustRightInd w:val="0"/>
              <w:spacing w:after="60"/>
              <w:jc w:val="both"/>
              <w:rPr>
                <w:rFonts w:ascii="Times New Roman" w:hAnsi="Times New Roman" w:cs="Times New Roman"/>
                <w:sz w:val="20"/>
                <w:szCs w:val="20"/>
              </w:rPr>
            </w:pPr>
            <w:r w:rsidRPr="00214612">
              <w:rPr>
                <w:rFonts w:ascii="Times New Roman" w:hAnsi="Times New Roman" w:cs="Times New Roman"/>
                <w:sz w:val="20"/>
                <w:szCs w:val="20"/>
              </w:rPr>
              <w:t xml:space="preserve">badania przesiewowe w kierunku WZW typu B, zawierające co najmniej testy w kierunku </w:t>
            </w:r>
            <w:proofErr w:type="spellStart"/>
            <w:r w:rsidRPr="00214612">
              <w:rPr>
                <w:rFonts w:ascii="Times New Roman" w:hAnsi="Times New Roman" w:cs="Times New Roman"/>
                <w:sz w:val="20"/>
                <w:szCs w:val="20"/>
              </w:rPr>
              <w:t>HbsAg</w:t>
            </w:r>
            <w:proofErr w:type="spellEnd"/>
            <w:r w:rsidRPr="00214612">
              <w:rPr>
                <w:rFonts w:ascii="Times New Roman" w:hAnsi="Times New Roman" w:cs="Times New Roman"/>
                <w:sz w:val="20"/>
                <w:szCs w:val="20"/>
              </w:rPr>
              <w:t xml:space="preserve"> i </w:t>
            </w:r>
            <w:proofErr w:type="spellStart"/>
            <w:r w:rsidRPr="00214612">
              <w:rPr>
                <w:rFonts w:ascii="Times New Roman" w:hAnsi="Times New Roman" w:cs="Times New Roman"/>
                <w:sz w:val="20"/>
                <w:szCs w:val="20"/>
              </w:rPr>
              <w:t>HbcAb</w:t>
            </w:r>
            <w:proofErr w:type="spellEnd"/>
            <w:r w:rsidRPr="00214612">
              <w:rPr>
                <w:rFonts w:ascii="Times New Roman" w:hAnsi="Times New Roman" w:cs="Times New Roman"/>
                <w:sz w:val="20"/>
                <w:szCs w:val="20"/>
              </w:rPr>
              <w:t xml:space="preserve">, a w przypadku dodatniego wyniku </w:t>
            </w:r>
            <w:proofErr w:type="spellStart"/>
            <w:r w:rsidRPr="00214612">
              <w:rPr>
                <w:rFonts w:ascii="Times New Roman" w:hAnsi="Times New Roman" w:cs="Times New Roman"/>
                <w:sz w:val="20"/>
                <w:szCs w:val="20"/>
              </w:rPr>
              <w:t>HbsAg</w:t>
            </w:r>
            <w:proofErr w:type="spellEnd"/>
            <w:r w:rsidRPr="00214612">
              <w:rPr>
                <w:rFonts w:ascii="Times New Roman" w:hAnsi="Times New Roman" w:cs="Times New Roman"/>
                <w:sz w:val="20"/>
                <w:szCs w:val="20"/>
              </w:rPr>
              <w:t xml:space="preserve"> lub </w:t>
            </w:r>
            <w:proofErr w:type="spellStart"/>
            <w:r w:rsidRPr="00214612">
              <w:rPr>
                <w:rFonts w:ascii="Times New Roman" w:hAnsi="Times New Roman" w:cs="Times New Roman"/>
                <w:sz w:val="20"/>
                <w:szCs w:val="20"/>
              </w:rPr>
              <w:t>HBcAb</w:t>
            </w:r>
            <w:proofErr w:type="spellEnd"/>
            <w:r w:rsidRPr="00214612">
              <w:rPr>
                <w:rFonts w:ascii="Times New Roman" w:hAnsi="Times New Roman" w:cs="Times New Roman"/>
                <w:sz w:val="20"/>
                <w:szCs w:val="20"/>
              </w:rPr>
              <w:t xml:space="preserve"> badanie HBV-DNA – dotyczy kwalifikacji do leczenia </w:t>
            </w:r>
            <w:proofErr w:type="spellStart"/>
            <w:r w:rsidRPr="00A9439B">
              <w:rPr>
                <w:rFonts w:ascii="Times New Roman" w:hAnsi="Times New Roman" w:cs="Times New Roman"/>
                <w:b/>
                <w:bCs/>
                <w:sz w:val="20"/>
                <w:szCs w:val="20"/>
              </w:rPr>
              <w:t>rytuksymabem</w:t>
            </w:r>
            <w:proofErr w:type="spellEnd"/>
            <w:r w:rsidRPr="00214612">
              <w:rPr>
                <w:rFonts w:ascii="Times New Roman" w:hAnsi="Times New Roman" w:cs="Times New Roman"/>
                <w:sz w:val="20"/>
                <w:szCs w:val="20"/>
              </w:rPr>
              <w:t>;</w:t>
            </w:r>
          </w:p>
          <w:p w14:paraId="25F1175D" w14:textId="3A3BED7D" w:rsidR="006F6043" w:rsidRPr="00A9439B" w:rsidRDefault="006F6043" w:rsidP="00A9439B">
            <w:pPr>
              <w:numPr>
                <w:ilvl w:val="3"/>
                <w:numId w:val="55"/>
              </w:numPr>
              <w:tabs>
                <w:tab w:val="left" w:pos="355"/>
              </w:tabs>
              <w:autoSpaceDE w:val="0"/>
              <w:autoSpaceDN w:val="0"/>
              <w:adjustRightInd w:val="0"/>
              <w:spacing w:after="60"/>
              <w:jc w:val="both"/>
              <w:rPr>
                <w:rFonts w:cs="Times New Roman"/>
                <w:sz w:val="20"/>
                <w:szCs w:val="20"/>
              </w:rPr>
            </w:pPr>
            <w:r w:rsidRPr="00A9439B">
              <w:rPr>
                <w:rFonts w:ascii="Times New Roman" w:hAnsi="Times New Roman" w:cs="Times New Roman"/>
                <w:sz w:val="20"/>
                <w:szCs w:val="20"/>
              </w:rPr>
              <w:t>oznaczenie stężenia immunoglobulin (</w:t>
            </w:r>
            <w:proofErr w:type="spellStart"/>
            <w:r w:rsidRPr="00A9439B">
              <w:rPr>
                <w:rFonts w:ascii="Times New Roman" w:hAnsi="Times New Roman" w:cs="Times New Roman"/>
                <w:sz w:val="20"/>
                <w:szCs w:val="20"/>
              </w:rPr>
              <w:t>IgG</w:t>
            </w:r>
            <w:proofErr w:type="spellEnd"/>
            <w:r w:rsidRPr="00A9439B">
              <w:rPr>
                <w:rFonts w:ascii="Times New Roman" w:hAnsi="Times New Roman" w:cs="Times New Roman"/>
                <w:sz w:val="20"/>
                <w:szCs w:val="20"/>
              </w:rPr>
              <w:t xml:space="preserve">, </w:t>
            </w:r>
            <w:proofErr w:type="spellStart"/>
            <w:r w:rsidRPr="00A9439B">
              <w:rPr>
                <w:rFonts w:ascii="Times New Roman" w:hAnsi="Times New Roman" w:cs="Times New Roman"/>
                <w:sz w:val="20"/>
                <w:szCs w:val="20"/>
              </w:rPr>
              <w:t>IgA</w:t>
            </w:r>
            <w:proofErr w:type="spellEnd"/>
            <w:r w:rsidRPr="00A9439B">
              <w:rPr>
                <w:rFonts w:ascii="Times New Roman" w:hAnsi="Times New Roman" w:cs="Times New Roman"/>
                <w:sz w:val="20"/>
                <w:szCs w:val="20"/>
              </w:rPr>
              <w:t xml:space="preserve">, </w:t>
            </w:r>
            <w:proofErr w:type="spellStart"/>
            <w:r w:rsidRPr="00A9439B">
              <w:rPr>
                <w:rFonts w:ascii="Times New Roman" w:hAnsi="Times New Roman" w:cs="Times New Roman"/>
                <w:sz w:val="20"/>
                <w:szCs w:val="20"/>
              </w:rPr>
              <w:t>IgM</w:t>
            </w:r>
            <w:proofErr w:type="spellEnd"/>
            <w:r w:rsidRPr="00A9439B">
              <w:rPr>
                <w:rFonts w:ascii="Times New Roman" w:hAnsi="Times New Roman" w:cs="Times New Roman"/>
                <w:sz w:val="20"/>
                <w:szCs w:val="20"/>
              </w:rPr>
              <w:t xml:space="preserve">) w surowicy krwi – dotyczy kwalifikacji do leczenia </w:t>
            </w:r>
            <w:proofErr w:type="spellStart"/>
            <w:r w:rsidRPr="00A9439B">
              <w:rPr>
                <w:rFonts w:ascii="Times New Roman" w:hAnsi="Times New Roman" w:cs="Times New Roman"/>
                <w:b/>
                <w:bCs/>
                <w:sz w:val="20"/>
                <w:szCs w:val="20"/>
              </w:rPr>
              <w:t>rytuksymabem</w:t>
            </w:r>
            <w:proofErr w:type="spellEnd"/>
            <w:r w:rsidRPr="00A9439B">
              <w:rPr>
                <w:rFonts w:ascii="Times New Roman" w:hAnsi="Times New Roman" w:cs="Times New Roman"/>
                <w:sz w:val="20"/>
                <w:szCs w:val="20"/>
              </w:rPr>
              <w:t>;</w:t>
            </w:r>
          </w:p>
          <w:p w14:paraId="680C2CA7"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 xml:space="preserve">biopsja aspiracyjna szpiku i </w:t>
            </w:r>
            <w:proofErr w:type="spellStart"/>
            <w:r w:rsidRPr="00214612">
              <w:rPr>
                <w:rFonts w:cs="Times New Roman"/>
                <w:sz w:val="20"/>
                <w:szCs w:val="20"/>
              </w:rPr>
              <w:t>trepanobiopsja</w:t>
            </w:r>
            <w:proofErr w:type="spellEnd"/>
            <w:r w:rsidRPr="00214612">
              <w:rPr>
                <w:rFonts w:cs="Times New Roman"/>
                <w:sz w:val="20"/>
                <w:szCs w:val="20"/>
              </w:rPr>
              <w:t xml:space="preserve"> (wykonana w okresie 6 miesięcy przed kwalifikacją do programu lekowego) – w przypadku chorych w wieku powyżej 60 </w:t>
            </w:r>
            <w:r w:rsidRPr="00214612">
              <w:rPr>
                <w:rFonts w:cs="Times New Roman"/>
                <w:sz w:val="20"/>
                <w:szCs w:val="20"/>
              </w:rPr>
              <w:lastRenderedPageBreak/>
              <w:t xml:space="preserve">lat, chorych z objawami układowymi i innymi nieprawidłowymi objawami; </w:t>
            </w:r>
          </w:p>
          <w:p w14:paraId="3619FF33" w14:textId="048297CC"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 xml:space="preserve">badanie okulistyczne – dotyczy kwalifikacji do </w:t>
            </w:r>
            <w:r w:rsidR="006F6043" w:rsidRPr="00214612">
              <w:rPr>
                <w:rFonts w:cs="Times New Roman"/>
                <w:sz w:val="20"/>
                <w:szCs w:val="20"/>
              </w:rPr>
              <w:t xml:space="preserve">leczenia </w:t>
            </w:r>
            <w:proofErr w:type="spellStart"/>
            <w:r w:rsidRPr="00214612">
              <w:rPr>
                <w:rFonts w:cs="Times New Roman"/>
                <w:b/>
                <w:bCs/>
                <w:sz w:val="20"/>
                <w:szCs w:val="20"/>
              </w:rPr>
              <w:t>eltrombopag</w:t>
            </w:r>
            <w:r w:rsidR="006F6043" w:rsidRPr="00214612">
              <w:rPr>
                <w:rFonts w:cs="Times New Roman"/>
                <w:b/>
                <w:bCs/>
                <w:sz w:val="20"/>
                <w:szCs w:val="20"/>
              </w:rPr>
              <w:t>iem</w:t>
            </w:r>
            <w:proofErr w:type="spellEnd"/>
            <w:r w:rsidRPr="00214612">
              <w:rPr>
                <w:rFonts w:cs="Times New Roman"/>
                <w:sz w:val="20"/>
                <w:szCs w:val="20"/>
              </w:rPr>
              <w:t>;</w:t>
            </w:r>
          </w:p>
          <w:p w14:paraId="78981B10" w14:textId="5D6F7016" w:rsidR="006F6043" w:rsidRPr="00214612" w:rsidRDefault="006F6043"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 xml:space="preserve">elektrokardiogram (EKG) – dotyczy kwalifikacji do leczenia </w:t>
            </w:r>
            <w:proofErr w:type="spellStart"/>
            <w:r w:rsidRPr="00293316">
              <w:rPr>
                <w:rFonts w:cs="Times New Roman"/>
                <w:b/>
                <w:bCs/>
                <w:sz w:val="20"/>
                <w:szCs w:val="20"/>
              </w:rPr>
              <w:t>rytuksymabem</w:t>
            </w:r>
            <w:proofErr w:type="spellEnd"/>
            <w:r w:rsidRPr="00293316">
              <w:rPr>
                <w:rFonts w:cs="Times New Roman"/>
                <w:b/>
                <w:bCs/>
                <w:sz w:val="20"/>
                <w:szCs w:val="20"/>
              </w:rPr>
              <w:t>;</w:t>
            </w:r>
          </w:p>
          <w:p w14:paraId="1E601D06"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test ciążowy u kobiet w wieku rozrodczym.</w:t>
            </w:r>
          </w:p>
          <w:p w14:paraId="68462C52" w14:textId="77777777" w:rsidR="00ED2C58" w:rsidRPr="00214612" w:rsidRDefault="00ED2C58" w:rsidP="005E1CFB">
            <w:pPr>
              <w:pStyle w:val="Standard"/>
              <w:spacing w:after="60" w:line="276" w:lineRule="auto"/>
              <w:ind w:left="397"/>
              <w:jc w:val="both"/>
              <w:rPr>
                <w:rFonts w:cs="Times New Roman"/>
                <w:sz w:val="20"/>
                <w:szCs w:val="20"/>
              </w:rPr>
            </w:pPr>
          </w:p>
          <w:p w14:paraId="671F2805" w14:textId="77777777" w:rsidR="00ED2C58" w:rsidRPr="00214612" w:rsidRDefault="00ED2C58" w:rsidP="000072E1">
            <w:pPr>
              <w:pStyle w:val="Standard"/>
              <w:numPr>
                <w:ilvl w:val="0"/>
                <w:numId w:val="55"/>
              </w:numPr>
              <w:spacing w:after="60" w:line="276" w:lineRule="auto"/>
              <w:jc w:val="both"/>
              <w:rPr>
                <w:rFonts w:cs="Times New Roman"/>
                <w:b/>
                <w:bCs/>
                <w:sz w:val="20"/>
                <w:szCs w:val="20"/>
              </w:rPr>
            </w:pPr>
            <w:r w:rsidRPr="00214612">
              <w:rPr>
                <w:rFonts w:cs="Times New Roman"/>
                <w:b/>
                <w:bCs/>
                <w:sz w:val="20"/>
                <w:szCs w:val="20"/>
              </w:rPr>
              <w:t xml:space="preserve">Monitorowanie leczenia </w:t>
            </w:r>
          </w:p>
          <w:p w14:paraId="314F26AD"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badania przeprowadzane w okresie do osiągnięcia stabilnej liczby płytek (≥ 50 000/µl przez co najmniej 4 tygodnie):</w:t>
            </w:r>
          </w:p>
          <w:p w14:paraId="448B930A" w14:textId="77777777" w:rsidR="00ED2C58" w:rsidRPr="00214612" w:rsidRDefault="00ED2C58" w:rsidP="000072E1">
            <w:pPr>
              <w:pStyle w:val="Standard"/>
              <w:numPr>
                <w:ilvl w:val="4"/>
                <w:numId w:val="55"/>
              </w:numPr>
              <w:spacing w:after="60" w:line="276" w:lineRule="auto"/>
              <w:jc w:val="both"/>
              <w:rPr>
                <w:rFonts w:cs="Times New Roman"/>
                <w:sz w:val="20"/>
                <w:szCs w:val="20"/>
              </w:rPr>
            </w:pPr>
            <w:r w:rsidRPr="00214612">
              <w:rPr>
                <w:rFonts w:cs="Times New Roman"/>
                <w:sz w:val="20"/>
                <w:szCs w:val="20"/>
              </w:rPr>
              <w:t>wykonywane co 1 tydzień:</w:t>
            </w:r>
          </w:p>
          <w:p w14:paraId="3994B875"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morfologia krwi z rozmazem;</w:t>
            </w:r>
          </w:p>
          <w:p w14:paraId="19752178" w14:textId="77777777" w:rsidR="00ED2C58" w:rsidRPr="00214612" w:rsidRDefault="00ED2C58" w:rsidP="000072E1">
            <w:pPr>
              <w:pStyle w:val="Standard"/>
              <w:numPr>
                <w:ilvl w:val="4"/>
                <w:numId w:val="55"/>
              </w:numPr>
              <w:spacing w:after="60" w:line="276" w:lineRule="auto"/>
              <w:jc w:val="both"/>
              <w:rPr>
                <w:rFonts w:cs="Times New Roman"/>
                <w:sz w:val="20"/>
                <w:szCs w:val="20"/>
              </w:rPr>
            </w:pPr>
            <w:r w:rsidRPr="00214612">
              <w:rPr>
                <w:rFonts w:cs="Times New Roman"/>
                <w:sz w:val="20"/>
                <w:szCs w:val="20"/>
              </w:rPr>
              <w:t xml:space="preserve">w przypadku leczenia </w:t>
            </w:r>
            <w:proofErr w:type="spellStart"/>
            <w:r w:rsidRPr="00214612">
              <w:rPr>
                <w:rFonts w:cs="Times New Roman"/>
                <w:b/>
                <w:bCs/>
                <w:sz w:val="20"/>
                <w:szCs w:val="20"/>
              </w:rPr>
              <w:t>eltrombopagiem</w:t>
            </w:r>
            <w:proofErr w:type="spellEnd"/>
            <w:r w:rsidRPr="00214612">
              <w:rPr>
                <w:rFonts w:cs="Times New Roman"/>
                <w:sz w:val="20"/>
                <w:szCs w:val="20"/>
              </w:rPr>
              <w:t xml:space="preserve"> - wykonywane co 2 tygodnie:</w:t>
            </w:r>
          </w:p>
          <w:p w14:paraId="3D91BE94"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parametry czynności wątroby (</w:t>
            </w:r>
            <w:proofErr w:type="spellStart"/>
            <w:r w:rsidRPr="00214612">
              <w:rPr>
                <w:rFonts w:cs="Times New Roman"/>
                <w:sz w:val="20"/>
                <w:szCs w:val="20"/>
              </w:rPr>
              <w:t>AlAT</w:t>
            </w:r>
            <w:proofErr w:type="spellEnd"/>
            <w:r w:rsidRPr="00214612">
              <w:rPr>
                <w:rFonts w:cs="Times New Roman"/>
                <w:sz w:val="20"/>
                <w:szCs w:val="20"/>
              </w:rPr>
              <w:t xml:space="preserve">, </w:t>
            </w:r>
            <w:proofErr w:type="spellStart"/>
            <w:r w:rsidRPr="00214612">
              <w:rPr>
                <w:rFonts w:cs="Times New Roman"/>
                <w:sz w:val="20"/>
                <w:szCs w:val="20"/>
              </w:rPr>
              <w:t>AspAT</w:t>
            </w:r>
            <w:proofErr w:type="spellEnd"/>
            <w:r w:rsidRPr="00214612">
              <w:rPr>
                <w:rFonts w:cs="Times New Roman"/>
                <w:sz w:val="20"/>
                <w:szCs w:val="20"/>
              </w:rPr>
              <w:t>, bilirubina całkowita);</w:t>
            </w:r>
          </w:p>
          <w:p w14:paraId="1B490045"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badania przeprowadzane po uzyskaniu stabilnej liczby płytek:</w:t>
            </w:r>
          </w:p>
          <w:p w14:paraId="5A9C1C00" w14:textId="77777777" w:rsidR="00ED2C58" w:rsidRPr="00214612" w:rsidRDefault="00ED2C58" w:rsidP="000072E1">
            <w:pPr>
              <w:pStyle w:val="Standard"/>
              <w:numPr>
                <w:ilvl w:val="4"/>
                <w:numId w:val="55"/>
              </w:numPr>
              <w:spacing w:after="60" w:line="276" w:lineRule="auto"/>
              <w:jc w:val="both"/>
              <w:rPr>
                <w:rFonts w:cs="Times New Roman"/>
                <w:sz w:val="20"/>
                <w:szCs w:val="20"/>
              </w:rPr>
            </w:pPr>
            <w:r w:rsidRPr="00214612">
              <w:rPr>
                <w:rFonts w:cs="Times New Roman"/>
                <w:sz w:val="20"/>
                <w:szCs w:val="20"/>
              </w:rPr>
              <w:t>wykonywane co 1 miesiąc:</w:t>
            </w:r>
          </w:p>
          <w:p w14:paraId="31EB0A09"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morfologia krwi z rozmazem,</w:t>
            </w:r>
          </w:p>
          <w:p w14:paraId="20ECD38A"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 xml:space="preserve">w przypadku leczenia </w:t>
            </w:r>
            <w:proofErr w:type="spellStart"/>
            <w:r w:rsidRPr="00214612">
              <w:rPr>
                <w:rFonts w:cs="Times New Roman"/>
                <w:b/>
                <w:bCs/>
                <w:sz w:val="20"/>
                <w:szCs w:val="20"/>
              </w:rPr>
              <w:t>eltrombopagiem</w:t>
            </w:r>
            <w:proofErr w:type="spellEnd"/>
            <w:r w:rsidRPr="00214612">
              <w:rPr>
                <w:rFonts w:cs="Times New Roman"/>
                <w:sz w:val="20"/>
                <w:szCs w:val="20"/>
              </w:rPr>
              <w:t>: parametry czynności wątroby (</w:t>
            </w:r>
            <w:proofErr w:type="spellStart"/>
            <w:r w:rsidRPr="00214612">
              <w:rPr>
                <w:rFonts w:cs="Times New Roman"/>
                <w:sz w:val="20"/>
                <w:szCs w:val="20"/>
              </w:rPr>
              <w:t>AlAT</w:t>
            </w:r>
            <w:proofErr w:type="spellEnd"/>
            <w:r w:rsidRPr="00214612">
              <w:rPr>
                <w:rFonts w:cs="Times New Roman"/>
                <w:sz w:val="20"/>
                <w:szCs w:val="20"/>
              </w:rPr>
              <w:t xml:space="preserve">, </w:t>
            </w:r>
            <w:proofErr w:type="spellStart"/>
            <w:r w:rsidRPr="00214612">
              <w:rPr>
                <w:rFonts w:cs="Times New Roman"/>
                <w:sz w:val="20"/>
                <w:szCs w:val="20"/>
              </w:rPr>
              <w:t>AspAT</w:t>
            </w:r>
            <w:proofErr w:type="spellEnd"/>
            <w:r w:rsidRPr="00214612">
              <w:rPr>
                <w:rFonts w:cs="Times New Roman"/>
                <w:sz w:val="20"/>
                <w:szCs w:val="20"/>
              </w:rPr>
              <w:t>, bilirubina całkowita),</w:t>
            </w:r>
          </w:p>
          <w:p w14:paraId="387C078F"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 xml:space="preserve">w przypadku leczenia </w:t>
            </w:r>
            <w:proofErr w:type="spellStart"/>
            <w:r w:rsidRPr="00214612">
              <w:rPr>
                <w:rFonts w:cs="Times New Roman"/>
                <w:b/>
                <w:bCs/>
                <w:sz w:val="20"/>
                <w:szCs w:val="20"/>
              </w:rPr>
              <w:t>romiplostymem</w:t>
            </w:r>
            <w:proofErr w:type="spellEnd"/>
            <w:r w:rsidRPr="00214612">
              <w:rPr>
                <w:rFonts w:cs="Times New Roman"/>
                <w:sz w:val="20"/>
                <w:szCs w:val="20"/>
              </w:rPr>
              <w:t xml:space="preserve"> lub </w:t>
            </w:r>
            <w:proofErr w:type="spellStart"/>
            <w:r w:rsidRPr="00214612">
              <w:rPr>
                <w:rFonts w:cs="Times New Roman"/>
                <w:b/>
                <w:bCs/>
                <w:sz w:val="20"/>
                <w:szCs w:val="20"/>
              </w:rPr>
              <w:t>awatrombopagiem</w:t>
            </w:r>
            <w:proofErr w:type="spellEnd"/>
            <w:r w:rsidRPr="00214612">
              <w:rPr>
                <w:rFonts w:cs="Times New Roman"/>
                <w:sz w:val="20"/>
                <w:szCs w:val="20"/>
              </w:rPr>
              <w:t xml:space="preserve"> parametry czynności wątroby (</w:t>
            </w:r>
            <w:proofErr w:type="spellStart"/>
            <w:r w:rsidRPr="00214612">
              <w:rPr>
                <w:rFonts w:cs="Times New Roman"/>
                <w:sz w:val="20"/>
                <w:szCs w:val="20"/>
              </w:rPr>
              <w:t>AlAT</w:t>
            </w:r>
            <w:proofErr w:type="spellEnd"/>
            <w:r w:rsidRPr="00214612">
              <w:rPr>
                <w:rFonts w:cs="Times New Roman"/>
                <w:sz w:val="20"/>
                <w:szCs w:val="20"/>
              </w:rPr>
              <w:t xml:space="preserve">, </w:t>
            </w:r>
            <w:proofErr w:type="spellStart"/>
            <w:r w:rsidRPr="00214612">
              <w:rPr>
                <w:rFonts w:cs="Times New Roman"/>
                <w:sz w:val="20"/>
                <w:szCs w:val="20"/>
              </w:rPr>
              <w:t>AspAT</w:t>
            </w:r>
            <w:proofErr w:type="spellEnd"/>
            <w:r w:rsidRPr="00214612">
              <w:rPr>
                <w:rFonts w:cs="Times New Roman"/>
                <w:sz w:val="20"/>
                <w:szCs w:val="20"/>
              </w:rPr>
              <w:t xml:space="preserve">, bilirubina całkowita) – </w:t>
            </w:r>
            <w:r w:rsidRPr="00214612">
              <w:rPr>
                <w:rFonts w:cs="Times New Roman"/>
                <w:sz w:val="20"/>
                <w:szCs w:val="20"/>
              </w:rPr>
              <w:lastRenderedPageBreak/>
              <w:t xml:space="preserve">wykonywane po 6 miesiącach od rozpoczęcia leczenia </w:t>
            </w:r>
            <w:proofErr w:type="spellStart"/>
            <w:r w:rsidRPr="00214612">
              <w:rPr>
                <w:rFonts w:cs="Times New Roman"/>
                <w:sz w:val="20"/>
                <w:szCs w:val="20"/>
              </w:rPr>
              <w:t>romiplostymem</w:t>
            </w:r>
            <w:proofErr w:type="spellEnd"/>
            <w:r w:rsidRPr="00214612">
              <w:rPr>
                <w:rFonts w:cs="Times New Roman"/>
                <w:sz w:val="20"/>
                <w:szCs w:val="20"/>
              </w:rPr>
              <w:t xml:space="preserve"> lub </w:t>
            </w:r>
            <w:proofErr w:type="spellStart"/>
            <w:r w:rsidRPr="00214612">
              <w:rPr>
                <w:rFonts w:cs="Times New Roman"/>
                <w:sz w:val="20"/>
                <w:szCs w:val="20"/>
              </w:rPr>
              <w:t>awatrombopagiem</w:t>
            </w:r>
            <w:proofErr w:type="spellEnd"/>
            <w:r w:rsidRPr="00214612">
              <w:rPr>
                <w:rFonts w:cs="Times New Roman"/>
                <w:sz w:val="20"/>
                <w:szCs w:val="20"/>
              </w:rPr>
              <w:t>;</w:t>
            </w:r>
          </w:p>
          <w:p w14:paraId="093ADC28" w14:textId="77777777"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 xml:space="preserve">w przypadku pojawienia się innych niż małopłytkowość, istotnych nieprawidłowości w morfologii krwi – </w:t>
            </w:r>
            <w:proofErr w:type="spellStart"/>
            <w:r w:rsidRPr="00214612">
              <w:rPr>
                <w:rFonts w:cs="Times New Roman"/>
                <w:sz w:val="20"/>
                <w:szCs w:val="20"/>
              </w:rPr>
              <w:t>trepanobiopsja</w:t>
            </w:r>
            <w:proofErr w:type="spellEnd"/>
            <w:r w:rsidRPr="00214612">
              <w:rPr>
                <w:rFonts w:cs="Times New Roman"/>
                <w:sz w:val="20"/>
                <w:szCs w:val="20"/>
              </w:rPr>
              <w:t xml:space="preserve"> szpiku kostnego wraz z oceną włóknienia </w:t>
            </w:r>
            <w:proofErr w:type="spellStart"/>
            <w:r w:rsidRPr="00214612">
              <w:rPr>
                <w:rFonts w:cs="Times New Roman"/>
                <w:sz w:val="20"/>
                <w:szCs w:val="20"/>
              </w:rPr>
              <w:t>retikulinowego</w:t>
            </w:r>
            <w:proofErr w:type="spellEnd"/>
            <w:r w:rsidRPr="00214612">
              <w:rPr>
                <w:rFonts w:cs="Times New Roman"/>
                <w:sz w:val="20"/>
                <w:szCs w:val="20"/>
              </w:rPr>
              <w:t>;</w:t>
            </w:r>
          </w:p>
          <w:p w14:paraId="321CB0E4" w14:textId="58BF11CA" w:rsidR="00ED2C58" w:rsidRPr="00214612" w:rsidRDefault="00ED2C58" w:rsidP="000072E1">
            <w:pPr>
              <w:pStyle w:val="Standard"/>
              <w:numPr>
                <w:ilvl w:val="3"/>
                <w:numId w:val="55"/>
              </w:numPr>
              <w:spacing w:after="60" w:line="276" w:lineRule="auto"/>
              <w:jc w:val="both"/>
              <w:rPr>
                <w:rFonts w:cs="Times New Roman"/>
                <w:sz w:val="20"/>
                <w:szCs w:val="20"/>
              </w:rPr>
            </w:pPr>
            <w:r w:rsidRPr="00214612">
              <w:rPr>
                <w:rFonts w:cs="Times New Roman"/>
                <w:sz w:val="20"/>
                <w:szCs w:val="20"/>
              </w:rPr>
              <w:t>badania przeprowadzane w okresie czasowego przerwania leczenia:</w:t>
            </w:r>
          </w:p>
          <w:p w14:paraId="11BAE3D0" w14:textId="77777777" w:rsidR="00ED2C58" w:rsidRPr="00214612" w:rsidRDefault="00ED2C58" w:rsidP="000072E1">
            <w:pPr>
              <w:pStyle w:val="Standard"/>
              <w:numPr>
                <w:ilvl w:val="4"/>
                <w:numId w:val="55"/>
              </w:numPr>
              <w:spacing w:after="60" w:line="276" w:lineRule="auto"/>
              <w:jc w:val="both"/>
              <w:rPr>
                <w:rFonts w:cs="Times New Roman"/>
                <w:sz w:val="20"/>
                <w:szCs w:val="20"/>
              </w:rPr>
            </w:pPr>
            <w:r w:rsidRPr="00214612">
              <w:rPr>
                <w:rFonts w:cs="Times New Roman"/>
                <w:sz w:val="20"/>
                <w:szCs w:val="20"/>
              </w:rPr>
              <w:t>wykonywane raz w tygodniu przez 4 tygodnie:</w:t>
            </w:r>
          </w:p>
          <w:p w14:paraId="49C252E4" w14:textId="77777777" w:rsidR="00ED2C58" w:rsidRPr="00214612" w:rsidRDefault="00ED2C58" w:rsidP="000072E1">
            <w:pPr>
              <w:pStyle w:val="Standard"/>
              <w:numPr>
                <w:ilvl w:val="5"/>
                <w:numId w:val="55"/>
              </w:numPr>
              <w:spacing w:after="60" w:line="276" w:lineRule="auto"/>
              <w:jc w:val="both"/>
              <w:rPr>
                <w:rFonts w:cs="Times New Roman"/>
                <w:sz w:val="20"/>
                <w:szCs w:val="20"/>
              </w:rPr>
            </w:pPr>
            <w:r w:rsidRPr="00214612">
              <w:rPr>
                <w:rFonts w:cs="Times New Roman"/>
                <w:sz w:val="20"/>
                <w:szCs w:val="20"/>
              </w:rPr>
              <w:t>morfologia krwi z rozmazem;</w:t>
            </w:r>
          </w:p>
          <w:p w14:paraId="5304D95A" w14:textId="3F4B56D2" w:rsidR="00214612" w:rsidRDefault="00ED2C58" w:rsidP="00214612">
            <w:pPr>
              <w:pStyle w:val="Standard"/>
              <w:numPr>
                <w:ilvl w:val="3"/>
                <w:numId w:val="55"/>
              </w:numPr>
              <w:spacing w:after="60" w:line="276" w:lineRule="auto"/>
              <w:jc w:val="both"/>
              <w:rPr>
                <w:rFonts w:cs="Times New Roman"/>
                <w:sz w:val="20"/>
                <w:szCs w:val="20"/>
              </w:rPr>
            </w:pPr>
            <w:r w:rsidRPr="00214612">
              <w:rPr>
                <w:rFonts w:cs="Times New Roman"/>
                <w:sz w:val="20"/>
                <w:szCs w:val="20"/>
              </w:rPr>
              <w:t>badanie okulistyczne</w:t>
            </w:r>
            <w:r w:rsidR="00F13714" w:rsidRPr="00214612">
              <w:rPr>
                <w:rFonts w:cs="Times New Roman"/>
                <w:sz w:val="20"/>
                <w:szCs w:val="20"/>
              </w:rPr>
              <w:t xml:space="preserve"> co 12 miesięcy </w:t>
            </w:r>
            <w:r w:rsidRPr="00214612">
              <w:rPr>
                <w:rFonts w:cs="Times New Roman"/>
                <w:sz w:val="20"/>
                <w:szCs w:val="20"/>
              </w:rPr>
              <w:t xml:space="preserve">– dotyczy leczenia </w:t>
            </w:r>
            <w:proofErr w:type="spellStart"/>
            <w:r w:rsidRPr="00214612">
              <w:rPr>
                <w:rFonts w:cs="Times New Roman"/>
                <w:b/>
                <w:bCs/>
                <w:sz w:val="20"/>
                <w:szCs w:val="20"/>
              </w:rPr>
              <w:t>eltrombopagiem</w:t>
            </w:r>
            <w:proofErr w:type="spellEnd"/>
            <w:r w:rsidRPr="00214612">
              <w:rPr>
                <w:rFonts w:cs="Times New Roman"/>
                <w:sz w:val="20"/>
                <w:szCs w:val="20"/>
              </w:rPr>
              <w:t>.</w:t>
            </w:r>
          </w:p>
          <w:p w14:paraId="406883FE" w14:textId="77777777" w:rsidR="00214612" w:rsidRPr="00214612" w:rsidRDefault="00214612" w:rsidP="00A9439B">
            <w:pPr>
              <w:pStyle w:val="Standard"/>
              <w:spacing w:after="60" w:line="276" w:lineRule="auto"/>
              <w:ind w:left="454"/>
              <w:jc w:val="both"/>
              <w:rPr>
                <w:rFonts w:cs="Times New Roman"/>
                <w:sz w:val="20"/>
                <w:szCs w:val="20"/>
              </w:rPr>
            </w:pPr>
          </w:p>
          <w:p w14:paraId="2917ACB2" w14:textId="6681D3F7" w:rsidR="00214612" w:rsidRPr="00F75EE0" w:rsidRDefault="00214612" w:rsidP="00F75EE0">
            <w:pPr>
              <w:pStyle w:val="Standard"/>
              <w:spacing w:after="60" w:line="276" w:lineRule="auto"/>
              <w:jc w:val="both"/>
              <w:rPr>
                <w:rFonts w:cs="Times New Roman"/>
                <w:sz w:val="20"/>
                <w:szCs w:val="20"/>
              </w:rPr>
            </w:pPr>
            <w:r w:rsidRPr="00F75EE0">
              <w:rPr>
                <w:rFonts w:cs="Times New Roman"/>
                <w:sz w:val="20"/>
                <w:szCs w:val="20"/>
              </w:rPr>
              <w:t xml:space="preserve">W przypadku pacjentów leczonych </w:t>
            </w:r>
            <w:proofErr w:type="spellStart"/>
            <w:r w:rsidRPr="00F75EE0">
              <w:rPr>
                <w:rFonts w:cs="Times New Roman"/>
                <w:sz w:val="20"/>
                <w:szCs w:val="20"/>
              </w:rPr>
              <w:t>rytuksymabem</w:t>
            </w:r>
            <w:proofErr w:type="spellEnd"/>
            <w:r w:rsidRPr="00F75EE0">
              <w:rPr>
                <w:rFonts w:cs="Times New Roman"/>
                <w:sz w:val="20"/>
                <w:szCs w:val="20"/>
              </w:rPr>
              <w:t xml:space="preserve"> obserwacja pacjenta i ocena odpowiedzi na leczenie </w:t>
            </w:r>
            <w:r w:rsidR="001D231B" w:rsidRPr="00F75EE0">
              <w:rPr>
                <w:rFonts w:cs="Times New Roman"/>
                <w:sz w:val="20"/>
                <w:szCs w:val="20"/>
              </w:rPr>
              <w:t xml:space="preserve">(morfologia krwi z rozmazem) </w:t>
            </w:r>
            <w:r w:rsidRPr="00F75EE0">
              <w:rPr>
                <w:rFonts w:cs="Times New Roman"/>
                <w:sz w:val="20"/>
                <w:szCs w:val="20"/>
              </w:rPr>
              <w:t xml:space="preserve">powinna być prowadzona przez cały czas utrzymywania się odpowiedzi płytkowej lub co najmniej przez 8 tygodni od podania pierwszej dawki leku w przypadku braku odpowiedzi na leczenie. </w:t>
            </w:r>
          </w:p>
          <w:p w14:paraId="60B70668" w14:textId="5F69038F" w:rsidR="002613F6" w:rsidRPr="00214612" w:rsidRDefault="002613F6" w:rsidP="005E1CFB">
            <w:pPr>
              <w:pStyle w:val="Standard"/>
              <w:spacing w:after="60" w:line="276" w:lineRule="auto"/>
              <w:jc w:val="both"/>
              <w:rPr>
                <w:rFonts w:cs="Times New Roman"/>
                <w:sz w:val="20"/>
                <w:szCs w:val="20"/>
              </w:rPr>
            </w:pPr>
          </w:p>
          <w:p w14:paraId="5ABA653B" w14:textId="1693250D" w:rsidR="002613F6" w:rsidRPr="00214612" w:rsidRDefault="002613F6" w:rsidP="000072E1">
            <w:pPr>
              <w:pStyle w:val="Standard"/>
              <w:spacing w:after="60" w:line="276" w:lineRule="auto"/>
              <w:jc w:val="both"/>
              <w:rPr>
                <w:rFonts w:cs="Times New Roman"/>
                <w:sz w:val="20"/>
                <w:szCs w:val="20"/>
              </w:rPr>
            </w:pPr>
            <w:r w:rsidRPr="00214612">
              <w:rPr>
                <w:rFonts w:cs="Times New Roman"/>
                <w:sz w:val="20"/>
                <w:szCs w:val="20"/>
              </w:rPr>
              <w:t xml:space="preserve">W celu monitorowania skuteczności leczenia lekarz prowadzący określa dla indywidualnego pacjenta </w:t>
            </w:r>
            <w:r w:rsidR="00EA53DA" w:rsidRPr="00214612">
              <w:rPr>
                <w:rFonts w:cs="Times New Roman"/>
                <w:sz w:val="20"/>
                <w:szCs w:val="20"/>
              </w:rPr>
              <w:t xml:space="preserve">rodzaj </w:t>
            </w:r>
            <w:r w:rsidRPr="00214612">
              <w:rPr>
                <w:rFonts w:cs="Times New Roman"/>
                <w:sz w:val="20"/>
                <w:szCs w:val="20"/>
              </w:rPr>
              <w:t>odpowiedzi na leczenie w oparciu o liczbę płytek krwi i krwawienia:</w:t>
            </w:r>
          </w:p>
          <w:p w14:paraId="19840E8A" w14:textId="0A55042E" w:rsidR="002613F6" w:rsidRPr="00214612" w:rsidRDefault="002613F6" w:rsidP="000072E1">
            <w:pPr>
              <w:pStyle w:val="Standard"/>
              <w:numPr>
                <w:ilvl w:val="3"/>
                <w:numId w:val="56"/>
              </w:numPr>
              <w:spacing w:after="60" w:line="276" w:lineRule="auto"/>
              <w:jc w:val="both"/>
              <w:rPr>
                <w:rFonts w:cs="Times New Roman"/>
                <w:sz w:val="20"/>
                <w:szCs w:val="20"/>
              </w:rPr>
            </w:pPr>
            <w:r w:rsidRPr="00214612">
              <w:rPr>
                <w:rFonts w:cs="Times New Roman"/>
                <w:sz w:val="20"/>
                <w:szCs w:val="20"/>
              </w:rPr>
              <w:t>R (odpowiedź): liczba płytek ≥</w:t>
            </w:r>
            <w:r w:rsidR="00897D86" w:rsidRPr="00214612">
              <w:rPr>
                <w:rFonts w:cs="Times New Roman"/>
                <w:sz w:val="20"/>
                <w:szCs w:val="20"/>
              </w:rPr>
              <w:t xml:space="preserve"> 30 G/l </w:t>
            </w:r>
            <w:r w:rsidR="00343128" w:rsidRPr="00214612">
              <w:rPr>
                <w:rFonts w:cs="Times New Roman"/>
                <w:sz w:val="20"/>
                <w:szCs w:val="20"/>
              </w:rPr>
              <w:t>oraz</w:t>
            </w:r>
            <w:r w:rsidR="000072E1" w:rsidRPr="00214612">
              <w:rPr>
                <w:rFonts w:cs="Times New Roman"/>
                <w:sz w:val="20"/>
                <w:szCs w:val="20"/>
              </w:rPr>
              <w:t xml:space="preserve"> </w:t>
            </w:r>
            <w:r w:rsidR="00897D86" w:rsidRPr="00214612">
              <w:rPr>
                <w:rFonts w:cs="Times New Roman"/>
                <w:sz w:val="20"/>
                <w:szCs w:val="20"/>
              </w:rPr>
              <w:t xml:space="preserve">co najmniej </w:t>
            </w:r>
            <w:r w:rsidR="00343128" w:rsidRPr="00214612">
              <w:rPr>
                <w:rFonts w:cs="Times New Roman"/>
                <w:sz w:val="20"/>
                <w:szCs w:val="20"/>
              </w:rPr>
              <w:t>jej dwukrotne zwiększenie w stosunku do</w:t>
            </w:r>
            <w:r w:rsidR="000072E1" w:rsidRPr="00214612">
              <w:rPr>
                <w:rFonts w:cs="Times New Roman"/>
                <w:sz w:val="20"/>
                <w:szCs w:val="20"/>
              </w:rPr>
              <w:t xml:space="preserve"> </w:t>
            </w:r>
            <w:r w:rsidR="00897D86" w:rsidRPr="00214612">
              <w:rPr>
                <w:rFonts w:cs="Times New Roman"/>
                <w:sz w:val="20"/>
                <w:szCs w:val="20"/>
              </w:rPr>
              <w:t>wyjściowej liczby płytek i brak krwawień</w:t>
            </w:r>
            <w:r w:rsidR="000072E1" w:rsidRPr="00214612">
              <w:rPr>
                <w:rFonts w:cs="Times New Roman"/>
                <w:sz w:val="20"/>
                <w:szCs w:val="20"/>
              </w:rPr>
              <w:t>;</w:t>
            </w:r>
          </w:p>
          <w:p w14:paraId="29126A88" w14:textId="5C9E194D" w:rsidR="00897D86" w:rsidRPr="00214612" w:rsidRDefault="00897D86" w:rsidP="000072E1">
            <w:pPr>
              <w:pStyle w:val="Standard"/>
              <w:numPr>
                <w:ilvl w:val="3"/>
                <w:numId w:val="56"/>
              </w:numPr>
              <w:spacing w:after="60" w:line="276" w:lineRule="auto"/>
              <w:jc w:val="both"/>
              <w:rPr>
                <w:rFonts w:cs="Times New Roman"/>
                <w:sz w:val="20"/>
                <w:szCs w:val="20"/>
              </w:rPr>
            </w:pPr>
            <w:r w:rsidRPr="00214612">
              <w:rPr>
                <w:rFonts w:cs="Times New Roman"/>
                <w:sz w:val="20"/>
                <w:szCs w:val="20"/>
              </w:rPr>
              <w:t>CR (całkowita odpowiedź): liczba płytek ≥ 100 G/l i brak krwawień</w:t>
            </w:r>
            <w:r w:rsidR="000072E1" w:rsidRPr="00214612">
              <w:rPr>
                <w:rFonts w:cs="Times New Roman"/>
                <w:sz w:val="20"/>
                <w:szCs w:val="20"/>
              </w:rPr>
              <w:t>;</w:t>
            </w:r>
          </w:p>
          <w:p w14:paraId="52DE266C" w14:textId="375BE1BD" w:rsidR="00897D86" w:rsidRPr="00214612" w:rsidRDefault="00897D86" w:rsidP="000072E1">
            <w:pPr>
              <w:pStyle w:val="Standard"/>
              <w:numPr>
                <w:ilvl w:val="3"/>
                <w:numId w:val="56"/>
              </w:numPr>
              <w:spacing w:after="60" w:line="276" w:lineRule="auto"/>
              <w:jc w:val="both"/>
              <w:rPr>
                <w:rFonts w:cs="Times New Roman"/>
                <w:sz w:val="20"/>
                <w:szCs w:val="20"/>
              </w:rPr>
            </w:pPr>
            <w:r w:rsidRPr="00214612">
              <w:rPr>
                <w:rFonts w:cs="Times New Roman"/>
                <w:sz w:val="20"/>
                <w:szCs w:val="20"/>
              </w:rPr>
              <w:lastRenderedPageBreak/>
              <w:t>NR (brak odpowiedzi): liczba płytek &lt; 30 G/l lub niższa od dwukrotności wyjściowej liczby płytek lub obecność krwawień.</w:t>
            </w:r>
          </w:p>
          <w:p w14:paraId="2B5BBDB3" w14:textId="77777777" w:rsidR="000072E1" w:rsidRPr="00214612" w:rsidRDefault="000072E1" w:rsidP="000072E1">
            <w:pPr>
              <w:pStyle w:val="Standard"/>
              <w:spacing w:after="60" w:line="276" w:lineRule="auto"/>
              <w:jc w:val="both"/>
              <w:rPr>
                <w:rFonts w:cs="Times New Roman"/>
                <w:sz w:val="20"/>
                <w:szCs w:val="20"/>
              </w:rPr>
            </w:pPr>
          </w:p>
          <w:p w14:paraId="5806185B" w14:textId="383D8673" w:rsidR="00897D86" w:rsidRPr="00214612" w:rsidRDefault="00897D86" w:rsidP="000072E1">
            <w:pPr>
              <w:pStyle w:val="Standard"/>
              <w:spacing w:after="60" w:line="276" w:lineRule="auto"/>
              <w:jc w:val="both"/>
              <w:rPr>
                <w:rFonts w:cs="Times New Roman"/>
                <w:sz w:val="20"/>
                <w:szCs w:val="20"/>
              </w:rPr>
            </w:pPr>
            <w:r w:rsidRPr="00214612">
              <w:rPr>
                <w:rFonts w:cs="Times New Roman"/>
                <w:sz w:val="20"/>
                <w:szCs w:val="20"/>
              </w:rPr>
              <w:t xml:space="preserve">Dane gromadzone są w </w:t>
            </w:r>
            <w:r w:rsidR="0039423B" w:rsidRPr="00214612">
              <w:rPr>
                <w:rFonts w:cs="Times New Roman"/>
                <w:sz w:val="20"/>
                <w:szCs w:val="20"/>
              </w:rPr>
              <w:t>elektronicznym systemie monitorowania programów lekowych</w:t>
            </w:r>
            <w:r w:rsidRPr="00214612">
              <w:rPr>
                <w:rFonts w:cs="Times New Roman"/>
                <w:sz w:val="20"/>
                <w:szCs w:val="20"/>
              </w:rPr>
              <w:t xml:space="preserve"> i analizowane przez lekarza prowadzącego, który podejmuje decyzję o zmianie sposobu leczenia lub wyłączeniu </w:t>
            </w:r>
            <w:r w:rsidR="000D4D96" w:rsidRPr="00214612">
              <w:rPr>
                <w:rFonts w:cs="Times New Roman"/>
                <w:sz w:val="20"/>
                <w:szCs w:val="20"/>
              </w:rPr>
              <w:t xml:space="preserve">pacjenta </w:t>
            </w:r>
            <w:r w:rsidRPr="00214612">
              <w:rPr>
                <w:rFonts w:cs="Times New Roman"/>
                <w:sz w:val="20"/>
                <w:szCs w:val="20"/>
              </w:rPr>
              <w:t xml:space="preserve">z programu lekowego. </w:t>
            </w:r>
          </w:p>
          <w:p w14:paraId="04D81D52" w14:textId="77777777" w:rsidR="00ED2C58" w:rsidRPr="00214612" w:rsidRDefault="00ED2C58" w:rsidP="005E1CFB">
            <w:pPr>
              <w:pStyle w:val="Standard"/>
              <w:spacing w:after="60" w:line="276" w:lineRule="auto"/>
              <w:ind w:left="397"/>
              <w:jc w:val="both"/>
              <w:rPr>
                <w:rFonts w:cs="Times New Roman"/>
                <w:sz w:val="20"/>
                <w:szCs w:val="20"/>
              </w:rPr>
            </w:pPr>
          </w:p>
          <w:p w14:paraId="71E99147" w14:textId="77777777" w:rsidR="00ED2C58" w:rsidRPr="00214612" w:rsidRDefault="00ED2C58" w:rsidP="000072E1">
            <w:pPr>
              <w:pStyle w:val="Standard"/>
              <w:numPr>
                <w:ilvl w:val="0"/>
                <w:numId w:val="57"/>
              </w:numPr>
              <w:spacing w:after="60" w:line="276" w:lineRule="auto"/>
              <w:jc w:val="both"/>
              <w:rPr>
                <w:rFonts w:cs="Times New Roman"/>
                <w:b/>
                <w:bCs/>
                <w:sz w:val="20"/>
                <w:szCs w:val="20"/>
              </w:rPr>
            </w:pPr>
            <w:r w:rsidRPr="00214612">
              <w:rPr>
                <w:rFonts w:cs="Times New Roman"/>
                <w:b/>
                <w:bCs/>
                <w:sz w:val="20"/>
                <w:szCs w:val="20"/>
              </w:rPr>
              <w:t>Monitorowanie programu</w:t>
            </w:r>
          </w:p>
          <w:p w14:paraId="28773D5E" w14:textId="77777777" w:rsidR="00ED2C58" w:rsidRPr="00214612" w:rsidRDefault="00ED2C58" w:rsidP="000072E1">
            <w:pPr>
              <w:pStyle w:val="Standard"/>
              <w:numPr>
                <w:ilvl w:val="3"/>
                <w:numId w:val="57"/>
              </w:numPr>
              <w:spacing w:after="60" w:line="276" w:lineRule="auto"/>
              <w:jc w:val="both"/>
              <w:rPr>
                <w:rFonts w:cs="Times New Roman"/>
                <w:sz w:val="20"/>
                <w:szCs w:val="20"/>
              </w:rPr>
            </w:pPr>
            <w:r w:rsidRPr="00214612">
              <w:rPr>
                <w:rFonts w:cs="Times New Roman"/>
                <w:sz w:val="20"/>
                <w:szCs w:val="20"/>
              </w:rPr>
              <w:t>gromadzenie w dokumentacji medycznej pacjenta danych dotyczących monitorowania leczenia i każdorazowe ich przedstawianie na żądanie kontrolerów Narodowego Funduszu Zdrowia;</w:t>
            </w:r>
          </w:p>
          <w:p w14:paraId="0179FA45" w14:textId="4BE24ECD" w:rsidR="00ED2C58" w:rsidRPr="00214612" w:rsidRDefault="00ED2C58" w:rsidP="000072E1">
            <w:pPr>
              <w:pStyle w:val="Standard"/>
              <w:numPr>
                <w:ilvl w:val="3"/>
                <w:numId w:val="57"/>
              </w:numPr>
              <w:spacing w:after="60" w:line="276" w:lineRule="auto"/>
              <w:jc w:val="both"/>
              <w:rPr>
                <w:rFonts w:cs="Times New Roman"/>
                <w:sz w:val="20"/>
                <w:szCs w:val="20"/>
              </w:rPr>
            </w:pPr>
            <w:r w:rsidRPr="00214612">
              <w:rPr>
                <w:rFonts w:cs="Times New Roman"/>
                <w:sz w:val="20"/>
                <w:szCs w:val="20"/>
              </w:rPr>
              <w:t xml:space="preserve">uzupełnianie danych zawartych w </w:t>
            </w:r>
            <w:r w:rsidR="0039423B" w:rsidRPr="00214612">
              <w:rPr>
                <w:rFonts w:cs="Times New Roman"/>
                <w:sz w:val="20"/>
                <w:szCs w:val="20"/>
              </w:rPr>
              <w:t>elektronicznym systemie monitorowania programów lekowych</w:t>
            </w:r>
            <w:r w:rsidRPr="00214612">
              <w:rPr>
                <w:rFonts w:cs="Times New Roman"/>
                <w:sz w:val="20"/>
                <w:szCs w:val="20"/>
              </w:rPr>
              <w:t xml:space="preserve"> dostępnym za pomocą aplikacji internetowej udostępnionej przez OW NFZ, nie rzadziej niż co 3 miesiące oraz na zakończenie leczenia;</w:t>
            </w:r>
          </w:p>
          <w:p w14:paraId="45F5DC64" w14:textId="77777777" w:rsidR="00ED2C58" w:rsidRPr="00214612" w:rsidRDefault="00ED2C58" w:rsidP="000072E1">
            <w:pPr>
              <w:pStyle w:val="Standard"/>
              <w:numPr>
                <w:ilvl w:val="3"/>
                <w:numId w:val="57"/>
              </w:numPr>
              <w:spacing w:after="60" w:line="276" w:lineRule="auto"/>
              <w:jc w:val="both"/>
              <w:rPr>
                <w:rFonts w:cs="Times New Roman"/>
                <w:sz w:val="20"/>
                <w:szCs w:val="20"/>
              </w:rPr>
            </w:pPr>
            <w:r w:rsidRPr="00214612">
              <w:rPr>
                <w:rFonts w:cs="Times New Roman"/>
                <w:sz w:val="20"/>
                <w:szCs w:val="20"/>
              </w:rPr>
              <w:t>przekazywanie informacji sprawozdawczo - rozliczeniowych do NFZ: informacje przekazuje się do NFZ w formie papierowej lub w formie elektronicznej, zgodnie z wymaganiami opublikowanymi przez NFZ.</w:t>
            </w:r>
          </w:p>
          <w:p w14:paraId="3F82E89B" w14:textId="2BADCF49" w:rsidR="000072E1" w:rsidRPr="00214612" w:rsidRDefault="000072E1" w:rsidP="000072E1">
            <w:pPr>
              <w:pStyle w:val="Standard"/>
              <w:spacing w:after="60" w:line="276" w:lineRule="auto"/>
              <w:ind w:left="227"/>
              <w:jc w:val="both"/>
              <w:rPr>
                <w:rFonts w:cs="Times New Roman"/>
                <w:sz w:val="20"/>
                <w:szCs w:val="20"/>
              </w:rPr>
            </w:pPr>
          </w:p>
        </w:tc>
      </w:tr>
    </w:tbl>
    <w:p w14:paraId="6D63F8DE" w14:textId="77777777" w:rsidR="00ED2C58" w:rsidRPr="00DA2800" w:rsidRDefault="00ED2C58" w:rsidP="00ED2C58">
      <w:pPr>
        <w:spacing w:after="0"/>
        <w:rPr>
          <w:rFonts w:ascii="Times New Roman" w:hAnsi="Times New Roman" w:cs="Times New Roman"/>
          <w:sz w:val="2"/>
          <w:szCs w:val="12"/>
        </w:rPr>
      </w:pPr>
    </w:p>
    <w:p w14:paraId="6AF28B8A" w14:textId="77777777" w:rsidR="00EC172D" w:rsidRPr="00F30E39" w:rsidRDefault="00EC172D">
      <w:pPr>
        <w:rPr>
          <w:rFonts w:ascii="Lato" w:hAnsi="Lato"/>
        </w:rPr>
      </w:pPr>
    </w:p>
    <w:sectPr w:rsidR="00EC172D" w:rsidRPr="00F30E39" w:rsidSect="00A924C9">
      <w:pgSz w:w="16838" w:h="11906" w:orient="landscape"/>
      <w:pgMar w:top="1588" w:right="720" w:bottom="1418"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ato">
    <w:panose1 w:val="020F0502020204030203"/>
    <w:charset w:val="EE"/>
    <w:family w:val="swiss"/>
    <w:pitch w:val="variable"/>
    <w:sig w:usb0="800000AF" w:usb1="4000604A"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76A99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B0DD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8ED9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DA54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0404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CC30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FE15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23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0A10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2F3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27AB1"/>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1" w15:restartNumberingAfterBreak="0">
    <w:nsid w:val="12922295"/>
    <w:multiLevelType w:val="hybridMultilevel"/>
    <w:tmpl w:val="9058EEE8"/>
    <w:lvl w:ilvl="0" w:tplc="F9E208D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5115820"/>
    <w:multiLevelType w:val="multilevel"/>
    <w:tmpl w:val="FB347C6A"/>
    <w:lvl w:ilvl="0">
      <w:start w:val="3"/>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3" w15:restartNumberingAfterBreak="0">
    <w:nsid w:val="1A154E12"/>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4" w15:restartNumberingAfterBreak="0">
    <w:nsid w:val="1B8C7400"/>
    <w:multiLevelType w:val="hybridMultilevel"/>
    <w:tmpl w:val="79169F6A"/>
    <w:lvl w:ilvl="0" w:tplc="04150017">
      <w:start w:val="1"/>
      <w:numFmt w:val="lowerLetter"/>
      <w:lvlText w:val="%1)"/>
      <w:lvlJc w:val="left"/>
      <w:pPr>
        <w:ind w:left="720" w:hanging="360"/>
      </w:pPr>
    </w:lvl>
    <w:lvl w:ilvl="1" w:tplc="4C360D9E">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1BEF4C67"/>
    <w:multiLevelType w:val="hybridMultilevel"/>
    <w:tmpl w:val="B0CAE45A"/>
    <w:lvl w:ilvl="0" w:tplc="255A6EBC">
      <w:start w:val="1"/>
      <w:numFmt w:val="bullet"/>
      <w:lvlText w:val=""/>
      <w:lvlJc w:val="left"/>
      <w:pPr>
        <w:ind w:left="1230" w:hanging="360"/>
      </w:pPr>
      <w:rPr>
        <w:rFonts w:ascii="Symbol" w:hAnsi="Symbol" w:hint="default"/>
      </w:rPr>
    </w:lvl>
    <w:lvl w:ilvl="1" w:tplc="04150003" w:tentative="1">
      <w:start w:val="1"/>
      <w:numFmt w:val="bullet"/>
      <w:lvlText w:val="o"/>
      <w:lvlJc w:val="left"/>
      <w:pPr>
        <w:ind w:left="1950" w:hanging="360"/>
      </w:pPr>
      <w:rPr>
        <w:rFonts w:ascii="Courier New" w:hAnsi="Courier New" w:cs="Courier New" w:hint="default"/>
      </w:rPr>
    </w:lvl>
    <w:lvl w:ilvl="2" w:tplc="04150005" w:tentative="1">
      <w:start w:val="1"/>
      <w:numFmt w:val="bullet"/>
      <w:lvlText w:val=""/>
      <w:lvlJc w:val="left"/>
      <w:pPr>
        <w:ind w:left="2670" w:hanging="360"/>
      </w:pPr>
      <w:rPr>
        <w:rFonts w:ascii="Wingdings" w:hAnsi="Wingdings" w:hint="default"/>
      </w:rPr>
    </w:lvl>
    <w:lvl w:ilvl="3" w:tplc="04150001" w:tentative="1">
      <w:start w:val="1"/>
      <w:numFmt w:val="bullet"/>
      <w:lvlText w:val=""/>
      <w:lvlJc w:val="left"/>
      <w:pPr>
        <w:ind w:left="3390" w:hanging="360"/>
      </w:pPr>
      <w:rPr>
        <w:rFonts w:ascii="Symbol" w:hAnsi="Symbol" w:hint="default"/>
      </w:rPr>
    </w:lvl>
    <w:lvl w:ilvl="4" w:tplc="04150003" w:tentative="1">
      <w:start w:val="1"/>
      <w:numFmt w:val="bullet"/>
      <w:lvlText w:val="o"/>
      <w:lvlJc w:val="left"/>
      <w:pPr>
        <w:ind w:left="4110" w:hanging="360"/>
      </w:pPr>
      <w:rPr>
        <w:rFonts w:ascii="Courier New" w:hAnsi="Courier New" w:cs="Courier New" w:hint="default"/>
      </w:rPr>
    </w:lvl>
    <w:lvl w:ilvl="5" w:tplc="04150005" w:tentative="1">
      <w:start w:val="1"/>
      <w:numFmt w:val="bullet"/>
      <w:lvlText w:val=""/>
      <w:lvlJc w:val="left"/>
      <w:pPr>
        <w:ind w:left="4830" w:hanging="360"/>
      </w:pPr>
      <w:rPr>
        <w:rFonts w:ascii="Wingdings" w:hAnsi="Wingdings" w:hint="default"/>
      </w:rPr>
    </w:lvl>
    <w:lvl w:ilvl="6" w:tplc="04150001" w:tentative="1">
      <w:start w:val="1"/>
      <w:numFmt w:val="bullet"/>
      <w:lvlText w:val=""/>
      <w:lvlJc w:val="left"/>
      <w:pPr>
        <w:ind w:left="5550" w:hanging="360"/>
      </w:pPr>
      <w:rPr>
        <w:rFonts w:ascii="Symbol" w:hAnsi="Symbol" w:hint="default"/>
      </w:rPr>
    </w:lvl>
    <w:lvl w:ilvl="7" w:tplc="04150003" w:tentative="1">
      <w:start w:val="1"/>
      <w:numFmt w:val="bullet"/>
      <w:lvlText w:val="o"/>
      <w:lvlJc w:val="left"/>
      <w:pPr>
        <w:ind w:left="6270" w:hanging="360"/>
      </w:pPr>
      <w:rPr>
        <w:rFonts w:ascii="Courier New" w:hAnsi="Courier New" w:cs="Courier New" w:hint="default"/>
      </w:rPr>
    </w:lvl>
    <w:lvl w:ilvl="8" w:tplc="04150005" w:tentative="1">
      <w:start w:val="1"/>
      <w:numFmt w:val="bullet"/>
      <w:lvlText w:val=""/>
      <w:lvlJc w:val="left"/>
      <w:pPr>
        <w:ind w:left="6990" w:hanging="360"/>
      </w:pPr>
      <w:rPr>
        <w:rFonts w:ascii="Wingdings" w:hAnsi="Wingdings" w:hint="default"/>
      </w:rPr>
    </w:lvl>
  </w:abstractNum>
  <w:abstractNum w:abstractNumId="16" w15:restartNumberingAfterBreak="0">
    <w:nsid w:val="1F9D7840"/>
    <w:multiLevelType w:val="multilevel"/>
    <w:tmpl w:val="FFFC29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35D56C2"/>
    <w:multiLevelType w:val="hybridMultilevel"/>
    <w:tmpl w:val="B616EAB4"/>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3692DD5"/>
    <w:multiLevelType w:val="hybridMultilevel"/>
    <w:tmpl w:val="A9AA899C"/>
    <w:lvl w:ilvl="0" w:tplc="E5CC5B82">
      <w:start w:val="1"/>
      <w:numFmt w:val="decimal"/>
      <w:lvlText w:val="%1)"/>
      <w:lvlJc w:val="right"/>
      <w:pPr>
        <w:ind w:left="720" w:hanging="360"/>
      </w:pPr>
      <w:rPr>
        <w:rFonts w:ascii="Times New Roman" w:eastAsiaTheme="minorHAnsi"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E19AE"/>
    <w:multiLevelType w:val="hybridMultilevel"/>
    <w:tmpl w:val="B0507140"/>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2629324A"/>
    <w:multiLevelType w:val="hybridMultilevel"/>
    <w:tmpl w:val="14E846C8"/>
    <w:lvl w:ilvl="0" w:tplc="50EE2992">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1" w15:restartNumberingAfterBreak="0">
    <w:nsid w:val="28BC5CF6"/>
    <w:multiLevelType w:val="hybridMultilevel"/>
    <w:tmpl w:val="0DD4EB20"/>
    <w:lvl w:ilvl="0" w:tplc="04150017">
      <w:start w:val="1"/>
      <w:numFmt w:val="lowerLetter"/>
      <w:lvlText w:val="%1)"/>
      <w:lvlJc w:val="left"/>
      <w:pPr>
        <w:ind w:left="928"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291D09C4"/>
    <w:multiLevelType w:val="multilevel"/>
    <w:tmpl w:val="0A84EA6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b w:val="0"/>
        <w:bCs/>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3" w15:restartNumberingAfterBreak="0">
    <w:nsid w:val="2A5546A0"/>
    <w:multiLevelType w:val="multilevel"/>
    <w:tmpl w:val="9A621D8E"/>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C1D0881"/>
    <w:multiLevelType w:val="hybridMultilevel"/>
    <w:tmpl w:val="2A7EA50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2ED26905"/>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6" w15:restartNumberingAfterBreak="0">
    <w:nsid w:val="2F9943C8"/>
    <w:multiLevelType w:val="hybridMultilevel"/>
    <w:tmpl w:val="EF3A06DE"/>
    <w:lvl w:ilvl="0" w:tplc="B3BE3448">
      <w:start w:val="1"/>
      <w:numFmt w:val="decimal"/>
      <w:lvlText w:val="%1)"/>
      <w:lvlJc w:val="left"/>
      <w:pPr>
        <w:ind w:left="360" w:hanging="360"/>
      </w:pPr>
      <w:rPr>
        <w:b w:val="0"/>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15:restartNumberingAfterBreak="0">
    <w:nsid w:val="2FE93483"/>
    <w:multiLevelType w:val="hybridMultilevel"/>
    <w:tmpl w:val="A10AA76A"/>
    <w:lvl w:ilvl="0" w:tplc="19DEA458">
      <w:start w:val="1"/>
      <w:numFmt w:val="decimal"/>
      <w:lvlText w:val="%1)"/>
      <w:lvlJc w:val="right"/>
      <w:pPr>
        <w:ind w:left="720" w:hanging="360"/>
      </w:pPr>
      <w:rPr>
        <w:rFonts w:ascii="Times New Roman" w:eastAsiaTheme="minorHAnsi"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2AD516B"/>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9" w15:restartNumberingAfterBreak="0">
    <w:nsid w:val="334771FC"/>
    <w:multiLevelType w:val="hybridMultilevel"/>
    <w:tmpl w:val="53D6CC3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15:restartNumberingAfterBreak="0">
    <w:nsid w:val="38E26869"/>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1" w15:restartNumberingAfterBreak="0">
    <w:nsid w:val="3E52211E"/>
    <w:multiLevelType w:val="hybridMultilevel"/>
    <w:tmpl w:val="6BAACEE2"/>
    <w:lvl w:ilvl="0" w:tplc="209EAE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3FAE2B38"/>
    <w:multiLevelType w:val="hybridMultilevel"/>
    <w:tmpl w:val="07F8398A"/>
    <w:lvl w:ilvl="0" w:tplc="E5CC5B82">
      <w:start w:val="1"/>
      <w:numFmt w:val="decimal"/>
      <w:lvlText w:val="%1)"/>
      <w:lvlJc w:val="right"/>
      <w:pPr>
        <w:ind w:left="720" w:hanging="360"/>
      </w:pPr>
      <w:rPr>
        <w:rFonts w:ascii="Times New Roman" w:eastAsiaTheme="minorHAnsi" w:hAnsi="Times New Roman" w:cs="Times New Roman"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06A591F"/>
    <w:multiLevelType w:val="multilevel"/>
    <w:tmpl w:val="8BB655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48617DF"/>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5" w15:restartNumberingAfterBreak="0">
    <w:nsid w:val="4B4307E7"/>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6" w15:restartNumberingAfterBreak="0">
    <w:nsid w:val="4C6E4CED"/>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7" w15:restartNumberingAfterBreak="0">
    <w:nsid w:val="4EAF4E5B"/>
    <w:multiLevelType w:val="hybridMultilevel"/>
    <w:tmpl w:val="0336677C"/>
    <w:lvl w:ilvl="0" w:tplc="987C5338">
      <w:start w:val="1"/>
      <w:numFmt w:val="decimal"/>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4F5D6E7D"/>
    <w:multiLevelType w:val="hybridMultilevel"/>
    <w:tmpl w:val="3C2AA884"/>
    <w:lvl w:ilvl="0" w:tplc="50EE2992">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53AB1A33"/>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0" w15:restartNumberingAfterBreak="0">
    <w:nsid w:val="576E66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7773A9C"/>
    <w:multiLevelType w:val="multilevel"/>
    <w:tmpl w:val="6D78269E"/>
    <w:lvl w:ilvl="0">
      <w:start w:val="1"/>
      <w:numFmt w:val="decimal"/>
      <w:lvlText w:val="%1."/>
      <w:lvlJc w:val="left"/>
      <w:pPr>
        <w:ind w:left="360" w:hanging="360"/>
      </w:pPr>
      <w:rPr>
        <w:rFonts w:hint="default"/>
      </w:rPr>
    </w:lvl>
    <w:lvl w:ilvl="1">
      <w:start w:val="1"/>
      <w:numFmt w:val="decimal"/>
      <w:lvlText w:val="%1.%2."/>
      <w:lvlJc w:val="left"/>
      <w:pPr>
        <w:ind w:left="321" w:hanging="360"/>
      </w:pPr>
      <w:rPr>
        <w:rFonts w:hint="default"/>
      </w:rPr>
    </w:lvl>
    <w:lvl w:ilvl="2">
      <w:start w:val="1"/>
      <w:numFmt w:val="decimal"/>
      <w:lvlText w:val="%1.%2.%3."/>
      <w:lvlJc w:val="left"/>
      <w:pPr>
        <w:ind w:left="642" w:hanging="720"/>
      </w:pPr>
      <w:rPr>
        <w:rFonts w:hint="default"/>
      </w:rPr>
    </w:lvl>
    <w:lvl w:ilvl="3">
      <w:start w:val="1"/>
      <w:numFmt w:val="decimal"/>
      <w:lvlText w:val="%1.%2.%3.%4."/>
      <w:lvlJc w:val="left"/>
      <w:pPr>
        <w:ind w:left="603" w:hanging="720"/>
      </w:pPr>
      <w:rPr>
        <w:rFonts w:hint="default"/>
      </w:rPr>
    </w:lvl>
    <w:lvl w:ilvl="4">
      <w:start w:val="1"/>
      <w:numFmt w:val="decimal"/>
      <w:lvlText w:val="%1.%2.%3.%4.%5."/>
      <w:lvlJc w:val="left"/>
      <w:pPr>
        <w:ind w:left="924" w:hanging="1080"/>
      </w:pPr>
      <w:rPr>
        <w:rFonts w:hint="default"/>
      </w:rPr>
    </w:lvl>
    <w:lvl w:ilvl="5">
      <w:start w:val="1"/>
      <w:numFmt w:val="decimal"/>
      <w:lvlText w:val="%1.%2.%3.%4.%5.%6."/>
      <w:lvlJc w:val="left"/>
      <w:pPr>
        <w:ind w:left="885" w:hanging="1080"/>
      </w:pPr>
      <w:rPr>
        <w:rFonts w:hint="default"/>
      </w:rPr>
    </w:lvl>
    <w:lvl w:ilvl="6">
      <w:start w:val="1"/>
      <w:numFmt w:val="decimal"/>
      <w:lvlText w:val="%1.%2.%3.%4.%5.%6.%7."/>
      <w:lvlJc w:val="left"/>
      <w:pPr>
        <w:ind w:left="846" w:hanging="1080"/>
      </w:pPr>
      <w:rPr>
        <w:rFonts w:hint="default"/>
      </w:rPr>
    </w:lvl>
    <w:lvl w:ilvl="7">
      <w:start w:val="1"/>
      <w:numFmt w:val="decimal"/>
      <w:lvlText w:val="%1.%2.%3.%4.%5.%6.%7.%8."/>
      <w:lvlJc w:val="left"/>
      <w:pPr>
        <w:ind w:left="1167" w:hanging="1440"/>
      </w:pPr>
      <w:rPr>
        <w:rFonts w:hint="default"/>
      </w:rPr>
    </w:lvl>
    <w:lvl w:ilvl="8">
      <w:start w:val="1"/>
      <w:numFmt w:val="decimal"/>
      <w:lvlText w:val="%1.%2.%3.%4.%5.%6.%7.%8.%9."/>
      <w:lvlJc w:val="left"/>
      <w:pPr>
        <w:ind w:left="1128" w:hanging="1440"/>
      </w:pPr>
      <w:rPr>
        <w:rFonts w:hint="default"/>
      </w:rPr>
    </w:lvl>
  </w:abstractNum>
  <w:abstractNum w:abstractNumId="42" w15:restartNumberingAfterBreak="0">
    <w:nsid w:val="58F9032B"/>
    <w:multiLevelType w:val="multilevel"/>
    <w:tmpl w:val="E99C84A4"/>
    <w:lvl w:ilvl="0">
      <w:start w:val="1"/>
      <w:numFmt w:val="decimal"/>
      <w:suff w:val="space"/>
      <w:lvlText w:val="%1."/>
      <w:lvlJc w:val="left"/>
      <w:pPr>
        <w:ind w:left="227" w:hanging="227"/>
      </w:pPr>
      <w:rPr>
        <w:rFonts w:hint="default"/>
        <w:b/>
      </w:rPr>
    </w:lvl>
    <w:lvl w:ilvl="1">
      <w:start w:val="1"/>
      <w:numFmt w:val="decimal"/>
      <w:suff w:val="space"/>
      <w:lvlText w:val="%2)"/>
      <w:lvlJc w:val="left"/>
      <w:pPr>
        <w:ind w:left="397" w:hanging="227"/>
      </w:pPr>
      <w:rPr>
        <w:rFonts w:hint="default"/>
      </w:rPr>
    </w:lvl>
    <w:lvl w:ilvl="2">
      <w:start w:val="1"/>
      <w:numFmt w:val="lowerLetter"/>
      <w:suff w:val="space"/>
      <w:lvlText w:val="%3)"/>
      <w:lvlJc w:val="righ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476506F"/>
    <w:multiLevelType w:val="hybridMultilevel"/>
    <w:tmpl w:val="7E1C6FA2"/>
    <w:lvl w:ilvl="0" w:tplc="04150011">
      <w:start w:val="1"/>
      <w:numFmt w:val="decimal"/>
      <w:lvlText w:val="%1)"/>
      <w:lvlJc w:val="left"/>
      <w:pPr>
        <w:ind w:left="360" w:hanging="360"/>
      </w:p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65007DF6"/>
    <w:multiLevelType w:val="hybridMultilevel"/>
    <w:tmpl w:val="4D24E75E"/>
    <w:lvl w:ilvl="0" w:tplc="FA7E5B1C">
      <w:start w:val="3"/>
      <w:numFmt w:val="decimal"/>
      <w:lvlText w:val="%1)"/>
      <w:lvlJc w:val="left"/>
      <w:pPr>
        <w:ind w:left="36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65303E76"/>
    <w:multiLevelType w:val="hybridMultilevel"/>
    <w:tmpl w:val="DBA25B8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65FB1C8D"/>
    <w:multiLevelType w:val="hybridMultilevel"/>
    <w:tmpl w:val="FCCCB662"/>
    <w:lvl w:ilvl="0" w:tplc="E5CC5B82">
      <w:start w:val="1"/>
      <w:numFmt w:val="decimal"/>
      <w:lvlText w:val="%1)"/>
      <w:lvlJc w:val="right"/>
      <w:pPr>
        <w:ind w:left="720" w:hanging="360"/>
      </w:pPr>
      <w:rPr>
        <w:rFonts w:ascii="Times New Roman" w:eastAsiaTheme="minorHAnsi" w:hAnsi="Times New Roman" w:cs="Times New Roman" w:hint="default"/>
      </w:r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69425EB6"/>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8" w15:restartNumberingAfterBreak="0">
    <w:nsid w:val="69D84876"/>
    <w:multiLevelType w:val="hybridMultilevel"/>
    <w:tmpl w:val="FACCFFDC"/>
    <w:lvl w:ilvl="0" w:tplc="EF46F1D4">
      <w:start w:val="1"/>
      <w:numFmt w:val="decimal"/>
      <w:lvlText w:val="%1)"/>
      <w:lvlJc w:val="right"/>
      <w:pPr>
        <w:ind w:left="720" w:hanging="360"/>
      </w:pPr>
      <w:rPr>
        <w:rFonts w:ascii="Times New Roman" w:eastAsiaTheme="minorHAnsi" w:hAnsi="Times New Roman" w:cs="Times New Roman" w:hint="default"/>
      </w:rPr>
    </w:lvl>
    <w:lvl w:ilvl="1" w:tplc="04150017">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6C0A0BCE"/>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0" w15:restartNumberingAfterBreak="0">
    <w:nsid w:val="6C555626"/>
    <w:multiLevelType w:val="multilevel"/>
    <w:tmpl w:val="5B5079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704E3C24"/>
    <w:multiLevelType w:val="multilevel"/>
    <w:tmpl w:val="539ABECE"/>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b w:val="0"/>
        <w:bCs w:val="0"/>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2" w15:restartNumberingAfterBreak="0">
    <w:nsid w:val="72306BCF"/>
    <w:multiLevelType w:val="hybridMultilevel"/>
    <w:tmpl w:val="4D18EEDE"/>
    <w:lvl w:ilvl="0" w:tplc="54D2841E">
      <w:start w:val="1"/>
      <w:numFmt w:val="decimal"/>
      <w:lvlText w:val="%1)"/>
      <w:lvlJc w:val="right"/>
      <w:pPr>
        <w:ind w:left="720" w:hanging="360"/>
      </w:pPr>
      <w:rPr>
        <w:rFonts w:ascii="Times New Roman" w:eastAsiaTheme="minorHAnsi"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723401B1"/>
    <w:multiLevelType w:val="hybridMultilevel"/>
    <w:tmpl w:val="C2862BE6"/>
    <w:lvl w:ilvl="0" w:tplc="E5CC5B82">
      <w:start w:val="1"/>
      <w:numFmt w:val="decimal"/>
      <w:lvlText w:val="%1)"/>
      <w:lvlJc w:val="right"/>
      <w:pPr>
        <w:ind w:left="785" w:hanging="360"/>
      </w:pPr>
      <w:rPr>
        <w:rFonts w:ascii="Times New Roman" w:eastAsiaTheme="minorHAnsi"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736B1869"/>
    <w:multiLevelType w:val="multilevel"/>
    <w:tmpl w:val="9EE0A2D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rPr>
    </w:lvl>
    <w:lvl w:ilvl="2">
      <w:start w:val="1"/>
      <w:numFmt w:val="decimal"/>
      <w:suff w:val="space"/>
      <w:lvlText w:val="%3)"/>
      <w:lvlJc w:val="left"/>
      <w:pPr>
        <w:ind w:left="397" w:hanging="227"/>
      </w:pPr>
      <w:rPr>
        <w:rFonts w:hint="default"/>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5" w15:restartNumberingAfterBreak="0">
    <w:nsid w:val="775422A9"/>
    <w:multiLevelType w:val="hybridMultilevel"/>
    <w:tmpl w:val="B72CA7D8"/>
    <w:lvl w:ilvl="0" w:tplc="50EE2992">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6" w15:restartNumberingAfterBreak="0">
    <w:nsid w:val="79487F19"/>
    <w:multiLevelType w:val="hybridMultilevel"/>
    <w:tmpl w:val="07F8398A"/>
    <w:lvl w:ilvl="0" w:tplc="E5CC5B82">
      <w:start w:val="1"/>
      <w:numFmt w:val="decimal"/>
      <w:lvlText w:val="%1)"/>
      <w:lvlJc w:val="right"/>
      <w:pPr>
        <w:ind w:left="928" w:hanging="360"/>
      </w:pPr>
      <w:rPr>
        <w:rFonts w:ascii="Times New Roman" w:eastAsiaTheme="minorHAnsi" w:hAnsi="Times New Roman" w:cs="Times New Roman"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796E3CCD"/>
    <w:multiLevelType w:val="hybridMultilevel"/>
    <w:tmpl w:val="978C77CA"/>
    <w:lvl w:ilvl="0" w:tplc="255A6EB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93711362">
    <w:abstractNumId w:val="23"/>
  </w:num>
  <w:num w:numId="2" w16cid:durableId="1977828796">
    <w:abstractNumId w:val="40"/>
  </w:num>
  <w:num w:numId="3" w16cid:durableId="2060204503">
    <w:abstractNumId w:val="37"/>
  </w:num>
  <w:num w:numId="4" w16cid:durableId="568074357">
    <w:abstractNumId w:val="46"/>
  </w:num>
  <w:num w:numId="5" w16cid:durableId="1662345883">
    <w:abstractNumId w:val="27"/>
  </w:num>
  <w:num w:numId="6" w16cid:durableId="315033576">
    <w:abstractNumId w:val="48"/>
  </w:num>
  <w:num w:numId="7" w16cid:durableId="130826118">
    <w:abstractNumId w:val="14"/>
  </w:num>
  <w:num w:numId="8" w16cid:durableId="1182277099">
    <w:abstractNumId w:val="38"/>
  </w:num>
  <w:num w:numId="9" w16cid:durableId="1963464622">
    <w:abstractNumId w:val="52"/>
  </w:num>
  <w:num w:numId="10" w16cid:durableId="455098959">
    <w:abstractNumId w:val="31"/>
  </w:num>
  <w:num w:numId="11" w16cid:durableId="25721742">
    <w:abstractNumId w:val="26"/>
  </w:num>
  <w:num w:numId="12" w16cid:durableId="1054505939">
    <w:abstractNumId w:val="43"/>
  </w:num>
  <w:num w:numId="13" w16cid:durableId="331102720">
    <w:abstractNumId w:val="53"/>
  </w:num>
  <w:num w:numId="14" w16cid:durableId="1656184103">
    <w:abstractNumId w:val="29"/>
  </w:num>
  <w:num w:numId="15" w16cid:durableId="1545557250">
    <w:abstractNumId w:val="50"/>
  </w:num>
  <w:num w:numId="16" w16cid:durableId="1834368901">
    <w:abstractNumId w:val="16"/>
  </w:num>
  <w:num w:numId="17" w16cid:durableId="531571044">
    <w:abstractNumId w:val="33"/>
  </w:num>
  <w:num w:numId="18" w16cid:durableId="678434258">
    <w:abstractNumId w:val="41"/>
  </w:num>
  <w:num w:numId="19" w16cid:durableId="1028412723">
    <w:abstractNumId w:val="44"/>
  </w:num>
  <w:num w:numId="20" w16cid:durableId="1258752527">
    <w:abstractNumId w:val="11"/>
  </w:num>
  <w:num w:numId="21" w16cid:durableId="344213362">
    <w:abstractNumId w:val="18"/>
  </w:num>
  <w:num w:numId="22" w16cid:durableId="878935230">
    <w:abstractNumId w:val="56"/>
  </w:num>
  <w:num w:numId="23" w16cid:durableId="1259950073">
    <w:abstractNumId w:val="55"/>
  </w:num>
  <w:num w:numId="24" w16cid:durableId="1337728221">
    <w:abstractNumId w:val="20"/>
  </w:num>
  <w:num w:numId="25" w16cid:durableId="1984504167">
    <w:abstractNumId w:val="32"/>
  </w:num>
  <w:num w:numId="26" w16cid:durableId="853886593">
    <w:abstractNumId w:val="19"/>
  </w:num>
  <w:num w:numId="27" w16cid:durableId="265701586">
    <w:abstractNumId w:val="21"/>
  </w:num>
  <w:num w:numId="28" w16cid:durableId="1669206683">
    <w:abstractNumId w:val="42"/>
  </w:num>
  <w:num w:numId="29" w16cid:durableId="1747458338">
    <w:abstractNumId w:val="42"/>
    <w:lvlOverride w:ilvl="0">
      <w:lvl w:ilvl="0">
        <w:start w:val="1"/>
        <w:numFmt w:val="decimal"/>
        <w:suff w:val="space"/>
        <w:lvlText w:val="%1."/>
        <w:lvlJc w:val="left"/>
        <w:pPr>
          <w:ind w:left="227" w:hanging="227"/>
        </w:pPr>
        <w:rPr>
          <w:rFonts w:hint="default"/>
          <w:b/>
        </w:rPr>
      </w:lvl>
    </w:lvlOverride>
    <w:lvlOverride w:ilvl="1">
      <w:lvl w:ilvl="1">
        <w:start w:val="1"/>
        <w:numFmt w:val="decimal"/>
        <w:suff w:val="space"/>
        <w:lvlText w:val="%2)"/>
        <w:lvlJc w:val="left"/>
        <w:pPr>
          <w:ind w:left="397" w:hanging="227"/>
        </w:pPr>
        <w:rPr>
          <w:rFonts w:hint="default"/>
        </w:rPr>
      </w:lvl>
    </w:lvlOverride>
    <w:lvlOverride w:ilvl="2">
      <w:lvl w:ilvl="2">
        <w:start w:val="1"/>
        <w:numFmt w:val="lowerLetter"/>
        <w:suff w:val="space"/>
        <w:lvlText w:val="%3)"/>
        <w:lvlJc w:val="right"/>
        <w:pPr>
          <w:ind w:left="567" w:hanging="227"/>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0" w16cid:durableId="619262793">
    <w:abstractNumId w:val="42"/>
    <w:lvlOverride w:ilvl="0">
      <w:lvl w:ilvl="0">
        <w:start w:val="1"/>
        <w:numFmt w:val="decimal"/>
        <w:suff w:val="space"/>
        <w:lvlText w:val="%1."/>
        <w:lvlJc w:val="left"/>
        <w:pPr>
          <w:ind w:left="227" w:hanging="227"/>
        </w:pPr>
        <w:rPr>
          <w:rFonts w:hint="default"/>
          <w:b/>
        </w:rPr>
      </w:lvl>
    </w:lvlOverride>
    <w:lvlOverride w:ilvl="1">
      <w:lvl w:ilvl="1">
        <w:start w:val="1"/>
        <w:numFmt w:val="decimal"/>
        <w:suff w:val="space"/>
        <w:lvlText w:val="%2)"/>
        <w:lvlJc w:val="left"/>
        <w:pPr>
          <w:ind w:left="397" w:hanging="227"/>
        </w:pPr>
        <w:rPr>
          <w:rFonts w:hint="default"/>
        </w:rPr>
      </w:lvl>
    </w:lvlOverride>
    <w:lvlOverride w:ilvl="2">
      <w:lvl w:ilvl="2">
        <w:start w:val="1"/>
        <w:numFmt w:val="lowerLetter"/>
        <w:suff w:val="space"/>
        <w:lvlText w:val="%3)"/>
        <w:lvlJc w:val="right"/>
        <w:pPr>
          <w:ind w:left="567" w:hanging="227"/>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1" w16cid:durableId="1206454353">
    <w:abstractNumId w:val="8"/>
  </w:num>
  <w:num w:numId="32" w16cid:durableId="833568037">
    <w:abstractNumId w:val="3"/>
  </w:num>
  <w:num w:numId="33" w16cid:durableId="2053772390">
    <w:abstractNumId w:val="2"/>
  </w:num>
  <w:num w:numId="34" w16cid:durableId="1093817268">
    <w:abstractNumId w:val="1"/>
  </w:num>
  <w:num w:numId="35" w16cid:durableId="1781147025">
    <w:abstractNumId w:val="0"/>
  </w:num>
  <w:num w:numId="36" w16cid:durableId="1815174798">
    <w:abstractNumId w:val="9"/>
  </w:num>
  <w:num w:numId="37" w16cid:durableId="753362173">
    <w:abstractNumId w:val="7"/>
  </w:num>
  <w:num w:numId="38" w16cid:durableId="189296698">
    <w:abstractNumId w:val="6"/>
  </w:num>
  <w:num w:numId="39" w16cid:durableId="932595506">
    <w:abstractNumId w:val="5"/>
  </w:num>
  <w:num w:numId="40" w16cid:durableId="66389795">
    <w:abstractNumId w:val="4"/>
  </w:num>
  <w:num w:numId="41" w16cid:durableId="1977835986">
    <w:abstractNumId w:val="10"/>
  </w:num>
  <w:num w:numId="42" w16cid:durableId="1999261297">
    <w:abstractNumId w:val="13"/>
  </w:num>
  <w:num w:numId="43" w16cid:durableId="53550440">
    <w:abstractNumId w:val="54"/>
  </w:num>
  <w:num w:numId="44" w16cid:durableId="1367370231">
    <w:abstractNumId w:val="15"/>
  </w:num>
  <w:num w:numId="45" w16cid:durableId="1673796697">
    <w:abstractNumId w:val="57"/>
  </w:num>
  <w:num w:numId="46" w16cid:durableId="717782814">
    <w:abstractNumId w:val="35"/>
  </w:num>
  <w:num w:numId="47" w16cid:durableId="1962572676">
    <w:abstractNumId w:val="51"/>
  </w:num>
  <w:num w:numId="48" w16cid:durableId="1044795979">
    <w:abstractNumId w:val="28"/>
  </w:num>
  <w:num w:numId="49" w16cid:durableId="236785254">
    <w:abstractNumId w:val="34"/>
  </w:num>
  <w:num w:numId="50" w16cid:durableId="1197960776">
    <w:abstractNumId w:val="24"/>
  </w:num>
  <w:num w:numId="51" w16cid:durableId="804541898">
    <w:abstractNumId w:val="45"/>
  </w:num>
  <w:num w:numId="52" w16cid:durableId="60644443">
    <w:abstractNumId w:val="49"/>
  </w:num>
  <w:num w:numId="53" w16cid:durableId="1111240141">
    <w:abstractNumId w:val="47"/>
  </w:num>
  <w:num w:numId="54" w16cid:durableId="1439328558">
    <w:abstractNumId w:val="36"/>
  </w:num>
  <w:num w:numId="55" w16cid:durableId="568469119">
    <w:abstractNumId w:val="25"/>
  </w:num>
  <w:num w:numId="56" w16cid:durableId="1191721082">
    <w:abstractNumId w:val="39"/>
  </w:num>
  <w:num w:numId="57" w16cid:durableId="677077088">
    <w:abstractNumId w:val="12"/>
  </w:num>
  <w:num w:numId="58" w16cid:durableId="809244831">
    <w:abstractNumId w:val="17"/>
  </w:num>
  <w:num w:numId="59" w16cid:durableId="592787639">
    <w:abstractNumId w:val="22"/>
  </w:num>
  <w:num w:numId="60" w16cid:durableId="1550414948">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58"/>
    <w:rsid w:val="000072E1"/>
    <w:rsid w:val="00011A17"/>
    <w:rsid w:val="0002406F"/>
    <w:rsid w:val="000D4D96"/>
    <w:rsid w:val="00153BB5"/>
    <w:rsid w:val="001D231B"/>
    <w:rsid w:val="001F735D"/>
    <w:rsid w:val="002101CD"/>
    <w:rsid w:val="0021407A"/>
    <w:rsid w:val="00214612"/>
    <w:rsid w:val="00221CAF"/>
    <w:rsid w:val="002613F6"/>
    <w:rsid w:val="00266A9B"/>
    <w:rsid w:val="00293316"/>
    <w:rsid w:val="00343128"/>
    <w:rsid w:val="00373745"/>
    <w:rsid w:val="0039423B"/>
    <w:rsid w:val="003A04D1"/>
    <w:rsid w:val="003D33E0"/>
    <w:rsid w:val="00424D2F"/>
    <w:rsid w:val="004A2DD1"/>
    <w:rsid w:val="004D291F"/>
    <w:rsid w:val="00546110"/>
    <w:rsid w:val="00586A98"/>
    <w:rsid w:val="005925B8"/>
    <w:rsid w:val="005E1CFB"/>
    <w:rsid w:val="00613E97"/>
    <w:rsid w:val="00650EB2"/>
    <w:rsid w:val="006F6043"/>
    <w:rsid w:val="00730F52"/>
    <w:rsid w:val="007534E7"/>
    <w:rsid w:val="0078158D"/>
    <w:rsid w:val="007A66D4"/>
    <w:rsid w:val="00802F0F"/>
    <w:rsid w:val="00826C22"/>
    <w:rsid w:val="008407A0"/>
    <w:rsid w:val="00897D86"/>
    <w:rsid w:val="008E024C"/>
    <w:rsid w:val="009A3945"/>
    <w:rsid w:val="009B6B33"/>
    <w:rsid w:val="009C479E"/>
    <w:rsid w:val="00A15282"/>
    <w:rsid w:val="00A46051"/>
    <w:rsid w:val="00A830B5"/>
    <w:rsid w:val="00A86D34"/>
    <w:rsid w:val="00A924C9"/>
    <w:rsid w:val="00A9439B"/>
    <w:rsid w:val="00AA5E03"/>
    <w:rsid w:val="00BD6714"/>
    <w:rsid w:val="00C03F15"/>
    <w:rsid w:val="00C750F5"/>
    <w:rsid w:val="00C84464"/>
    <w:rsid w:val="00C95007"/>
    <w:rsid w:val="00CB6562"/>
    <w:rsid w:val="00CC30A5"/>
    <w:rsid w:val="00CD706F"/>
    <w:rsid w:val="00D85F72"/>
    <w:rsid w:val="00DD044A"/>
    <w:rsid w:val="00E17837"/>
    <w:rsid w:val="00E2271E"/>
    <w:rsid w:val="00EA14DF"/>
    <w:rsid w:val="00EA53DA"/>
    <w:rsid w:val="00EC172D"/>
    <w:rsid w:val="00ED2C58"/>
    <w:rsid w:val="00ED7902"/>
    <w:rsid w:val="00F02D22"/>
    <w:rsid w:val="00F13714"/>
    <w:rsid w:val="00F16085"/>
    <w:rsid w:val="00F30E39"/>
    <w:rsid w:val="00F36D1F"/>
    <w:rsid w:val="00F75E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ABE19"/>
  <w15:chartTrackingRefBased/>
  <w15:docId w15:val="{54A69D90-65BF-4A26-BE6A-E5B43F68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2C58"/>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ED2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D2C58"/>
    <w:pPr>
      <w:ind w:left="720"/>
      <w:contextualSpacing/>
    </w:pPr>
  </w:style>
  <w:style w:type="paragraph" w:styleId="Tekstdymka">
    <w:name w:val="Balloon Text"/>
    <w:basedOn w:val="Normalny"/>
    <w:link w:val="TekstdymkaZnak"/>
    <w:uiPriority w:val="99"/>
    <w:semiHidden/>
    <w:unhideWhenUsed/>
    <w:rsid w:val="00ED2C5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D2C58"/>
    <w:rPr>
      <w:rFonts w:ascii="Tahoma" w:hAnsi="Tahoma" w:cs="Tahoma"/>
      <w:sz w:val="16"/>
      <w:szCs w:val="16"/>
    </w:rPr>
  </w:style>
  <w:style w:type="paragraph" w:styleId="Nagwek">
    <w:name w:val="header"/>
    <w:basedOn w:val="Normalny"/>
    <w:link w:val="NagwekZnak"/>
    <w:uiPriority w:val="99"/>
    <w:unhideWhenUsed/>
    <w:rsid w:val="00ED2C5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2C58"/>
  </w:style>
  <w:style w:type="paragraph" w:styleId="Stopka">
    <w:name w:val="footer"/>
    <w:basedOn w:val="Normalny"/>
    <w:link w:val="StopkaZnak"/>
    <w:uiPriority w:val="99"/>
    <w:unhideWhenUsed/>
    <w:rsid w:val="00ED2C5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2C58"/>
  </w:style>
  <w:style w:type="paragraph" w:styleId="Bezodstpw">
    <w:name w:val="No Spacing"/>
    <w:basedOn w:val="Normalny"/>
    <w:uiPriority w:val="1"/>
    <w:qFormat/>
    <w:rsid w:val="00ED2C58"/>
    <w:pPr>
      <w:autoSpaceDE w:val="0"/>
      <w:autoSpaceDN w:val="0"/>
      <w:adjustRightInd w:val="0"/>
      <w:spacing w:before="60" w:after="0" w:line="240" w:lineRule="auto"/>
      <w:jc w:val="both"/>
    </w:pPr>
    <w:rPr>
      <w:rFonts w:ascii="Times New Roman" w:eastAsia="Times New Roman" w:hAnsi="Times New Roman" w:cs="Times New Roman"/>
      <w:sz w:val="20"/>
      <w:szCs w:val="20"/>
      <w:lang w:val="en-GB" w:eastAsia="pl-PL"/>
    </w:rPr>
  </w:style>
  <w:style w:type="table" w:styleId="Jasnecieniowanie">
    <w:name w:val="Light Shading"/>
    <w:basedOn w:val="Standardowy"/>
    <w:uiPriority w:val="60"/>
    <w:rsid w:val="00ED2C58"/>
    <w:pPr>
      <w:spacing w:after="0" w:line="240" w:lineRule="auto"/>
    </w:pPr>
    <w:rPr>
      <w:rFonts w:ascii="Calibri" w:eastAsia="Calibri" w:hAnsi="Calibri" w:cs="Times New Roman"/>
      <w:color w:val="000000" w:themeColor="text1" w:themeShade="BF"/>
      <w:lang w:eastAsia="pl-P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Odwoaniedokomentarza">
    <w:name w:val="annotation reference"/>
    <w:basedOn w:val="Domylnaczcionkaakapitu"/>
    <w:uiPriority w:val="99"/>
    <w:semiHidden/>
    <w:unhideWhenUsed/>
    <w:rsid w:val="00ED2C58"/>
    <w:rPr>
      <w:sz w:val="16"/>
      <w:szCs w:val="16"/>
    </w:rPr>
  </w:style>
  <w:style w:type="paragraph" w:styleId="Tekstkomentarza">
    <w:name w:val="annotation text"/>
    <w:basedOn w:val="Normalny"/>
    <w:link w:val="TekstkomentarzaZnak"/>
    <w:uiPriority w:val="99"/>
    <w:unhideWhenUsed/>
    <w:rsid w:val="00ED2C58"/>
    <w:pPr>
      <w:spacing w:line="240" w:lineRule="auto"/>
    </w:pPr>
    <w:rPr>
      <w:sz w:val="20"/>
      <w:szCs w:val="20"/>
    </w:rPr>
  </w:style>
  <w:style w:type="character" w:customStyle="1" w:styleId="TekstkomentarzaZnak">
    <w:name w:val="Tekst komentarza Znak"/>
    <w:basedOn w:val="Domylnaczcionkaakapitu"/>
    <w:link w:val="Tekstkomentarza"/>
    <w:uiPriority w:val="99"/>
    <w:rsid w:val="00ED2C58"/>
    <w:rPr>
      <w:sz w:val="20"/>
      <w:szCs w:val="20"/>
    </w:rPr>
  </w:style>
  <w:style w:type="paragraph" w:styleId="Tematkomentarza">
    <w:name w:val="annotation subject"/>
    <w:basedOn w:val="Tekstkomentarza"/>
    <w:next w:val="Tekstkomentarza"/>
    <w:link w:val="TematkomentarzaZnak"/>
    <w:uiPriority w:val="99"/>
    <w:semiHidden/>
    <w:unhideWhenUsed/>
    <w:rsid w:val="00ED2C58"/>
    <w:rPr>
      <w:b/>
      <w:bCs/>
    </w:rPr>
  </w:style>
  <w:style w:type="character" w:customStyle="1" w:styleId="TematkomentarzaZnak">
    <w:name w:val="Temat komentarza Znak"/>
    <w:basedOn w:val="TekstkomentarzaZnak"/>
    <w:link w:val="Tematkomentarza"/>
    <w:uiPriority w:val="99"/>
    <w:semiHidden/>
    <w:rsid w:val="00ED2C58"/>
    <w:rPr>
      <w:b/>
      <w:bCs/>
      <w:sz w:val="20"/>
      <w:szCs w:val="20"/>
    </w:rPr>
  </w:style>
  <w:style w:type="paragraph" w:customStyle="1" w:styleId="Standard">
    <w:name w:val="Standard"/>
    <w:rsid w:val="00ED2C58"/>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oprawka">
    <w:name w:val="Revision"/>
    <w:hidden/>
    <w:uiPriority w:val="99"/>
    <w:semiHidden/>
    <w:rsid w:val="00ED2C58"/>
    <w:pPr>
      <w:spacing w:after="0" w:line="240" w:lineRule="auto"/>
    </w:pPr>
  </w:style>
  <w:style w:type="paragraph" w:styleId="Tekstpodstawowy">
    <w:name w:val="Body Text"/>
    <w:aliases w:val="Body Text Char Char,Body Text Char Char Char Char,Body Text Char Char Char Char Char Char,Body Text Char1,Body Text Char1 Char Char,Body Text Char1 Char Char Char Char,Body Text Char1 Char Char Char Char Char Char"/>
    <w:basedOn w:val="Normalny"/>
    <w:link w:val="TekstpodstawowyZnak"/>
    <w:rsid w:val="00E17837"/>
    <w:pPr>
      <w:spacing w:after="0" w:line="240" w:lineRule="auto"/>
      <w:jc w:val="both"/>
    </w:pPr>
    <w:rPr>
      <w:rFonts w:ascii="Times New Roman" w:eastAsia="Times New Roman" w:hAnsi="Times New Roman" w:cs="Times New Roman"/>
      <w:sz w:val="24"/>
      <w:szCs w:val="24"/>
      <w:lang w:val="en-US" w:eastAsia="pl-PL"/>
    </w:rPr>
  </w:style>
  <w:style w:type="character" w:customStyle="1" w:styleId="TekstpodstawowyZnak">
    <w:name w:val="Tekst podstawowy Znak"/>
    <w:aliases w:val="Body Text Char Char Znak,Body Text Char Char Char Char Znak,Body Text Char Char Char Char Char Char Znak,Body Text Char1 Znak,Body Text Char1 Char Char Znak,Body Text Char1 Char Char Char Char Znak"/>
    <w:basedOn w:val="Domylnaczcionkaakapitu"/>
    <w:link w:val="Tekstpodstawowy"/>
    <w:rsid w:val="00E17837"/>
    <w:rPr>
      <w:rFonts w:ascii="Times New Roman" w:eastAsia="Times New Roman" w:hAnsi="Times New Roman" w:cs="Times New Roman"/>
      <w:sz w:val="24"/>
      <w:szCs w:val="24"/>
      <w:lang w:val="en-US" w:eastAsia="pl-PL"/>
    </w:rPr>
  </w:style>
  <w:style w:type="paragraph" w:customStyle="1" w:styleId="ColorfulList-Accent11">
    <w:name w:val="Colorful List - Accent 11"/>
    <w:basedOn w:val="Normalny"/>
    <w:uiPriority w:val="34"/>
    <w:qFormat/>
    <w:rsid w:val="006F6043"/>
    <w:pPr>
      <w:spacing w:before="60" w:after="60" w:line="240" w:lineRule="auto"/>
      <w:ind w:left="720"/>
      <w:contextualSpacing/>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7B15-E316-4B7D-B48B-ED9A74C9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1293</Words>
  <Characters>8287</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Morawiec Wioleta</dc:creator>
  <cp:keywords/>
  <dc:description/>
  <cp:lastModifiedBy>Wilk Justyna</cp:lastModifiedBy>
  <cp:revision>4</cp:revision>
  <dcterms:created xsi:type="dcterms:W3CDTF">2024-01-26T11:02:00Z</dcterms:created>
  <dcterms:modified xsi:type="dcterms:W3CDTF">2024-02-01T18:31:00Z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93e14edc6a9c262d834eb9c2908b76d4eec141c7827a945109e2df6856ae9447</vt:lpwstr>
  </property>
</Properties>
</file>