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1401" w14:textId="5AC21402" w:rsidR="006B10AF" w:rsidRDefault="006B10AF" w:rsidP="006B10AF">
      <w:pPr>
        <w:tabs>
          <w:tab w:val="left" w:pos="5865"/>
        </w:tabs>
        <w:spacing w:after="0" w:line="240" w:lineRule="auto"/>
        <w:jc w:val="both"/>
        <w:rPr>
          <w:rFonts w:ascii="Times New Roman" w:eastAsia="Times New Roman" w:hAnsi="Times New Roman"/>
          <w:szCs w:val="20"/>
          <w:lang w:eastAsia="pl-PL"/>
        </w:rPr>
      </w:pPr>
      <w:r>
        <w:rPr>
          <w:rFonts w:ascii="Times New Roman" w:eastAsia="Times New Roman" w:hAnsi="Times New Roman"/>
          <w:szCs w:val="20"/>
          <w:lang w:eastAsia="pl-PL"/>
        </w:rPr>
        <w:t>Załącznik</w:t>
      </w:r>
      <w:r w:rsidR="005E5C99">
        <w:rPr>
          <w:rFonts w:ascii="Times New Roman" w:eastAsia="Times New Roman" w:hAnsi="Times New Roman"/>
          <w:szCs w:val="20"/>
          <w:lang w:eastAsia="pl-PL"/>
        </w:rPr>
        <w:t xml:space="preserve"> </w:t>
      </w:r>
      <w:r>
        <w:rPr>
          <w:rFonts w:ascii="Times New Roman" w:eastAsia="Times New Roman" w:hAnsi="Times New Roman"/>
          <w:szCs w:val="20"/>
          <w:lang w:eastAsia="pl-PL"/>
        </w:rPr>
        <w:t>B.98</w:t>
      </w:r>
      <w:r w:rsidRPr="006501FD">
        <w:rPr>
          <w:rFonts w:ascii="Times New Roman" w:eastAsia="Times New Roman" w:hAnsi="Times New Roman"/>
          <w:szCs w:val="20"/>
          <w:lang w:eastAsia="pl-PL"/>
        </w:rPr>
        <w:t>.</w:t>
      </w:r>
    </w:p>
    <w:p w14:paraId="1ED04CD2" w14:textId="77777777" w:rsidR="006B10AF" w:rsidRPr="006A70AF" w:rsidRDefault="006B10AF" w:rsidP="006B10AF">
      <w:pPr>
        <w:tabs>
          <w:tab w:val="left" w:pos="5865"/>
        </w:tabs>
        <w:spacing w:after="0" w:line="240" w:lineRule="auto"/>
        <w:jc w:val="both"/>
        <w:rPr>
          <w:rFonts w:ascii="Times New Roman" w:eastAsia="Times New Roman" w:hAnsi="Times New Roman"/>
          <w:bCs/>
          <w:lang w:eastAsia="pl-PL"/>
        </w:rPr>
      </w:pPr>
    </w:p>
    <w:p w14:paraId="381FE1D7" w14:textId="1817585A" w:rsidR="006B10AF" w:rsidRPr="009B6E4C" w:rsidRDefault="006B10AF" w:rsidP="006B10AF">
      <w:pPr>
        <w:tabs>
          <w:tab w:val="left" w:pos="5865"/>
        </w:tabs>
        <w:spacing w:after="240" w:line="240" w:lineRule="auto"/>
        <w:jc w:val="both"/>
        <w:rPr>
          <w:rFonts w:ascii="Times New Roman" w:eastAsia="Times New Roman" w:hAnsi="Times New Roman"/>
          <w:b/>
          <w:sz w:val="28"/>
          <w:szCs w:val="24"/>
          <w:lang w:eastAsia="pl-PL"/>
        </w:rPr>
      </w:pPr>
      <w:r w:rsidRPr="009B6E4C">
        <w:rPr>
          <w:rFonts w:ascii="Times New Roman" w:eastAsia="Times New Roman" w:hAnsi="Times New Roman"/>
          <w:b/>
          <w:sz w:val="28"/>
          <w:szCs w:val="24"/>
          <w:lang w:eastAsia="pl-PL"/>
        </w:rPr>
        <w:t>LECZENIE</w:t>
      </w:r>
      <w:r w:rsidR="005E5C99">
        <w:rPr>
          <w:rFonts w:ascii="Times New Roman" w:eastAsia="Times New Roman" w:hAnsi="Times New Roman"/>
          <w:b/>
          <w:sz w:val="28"/>
          <w:szCs w:val="24"/>
          <w:lang w:eastAsia="pl-PL"/>
        </w:rPr>
        <w:t xml:space="preserve"> </w:t>
      </w:r>
      <w:r w:rsidRPr="00C85CE2">
        <w:rPr>
          <w:rFonts w:ascii="Times New Roman" w:eastAsia="Times New Roman" w:hAnsi="Times New Roman"/>
          <w:b/>
          <w:sz w:val="28"/>
          <w:szCs w:val="24"/>
          <w:lang w:eastAsia="pl-PL"/>
        </w:rPr>
        <w:t>PEDIATRYCZNYCH</w:t>
      </w:r>
      <w:r w:rsidR="005E5C99">
        <w:rPr>
          <w:rFonts w:ascii="Times New Roman" w:eastAsia="Times New Roman" w:hAnsi="Times New Roman"/>
          <w:b/>
          <w:sz w:val="28"/>
          <w:szCs w:val="24"/>
          <w:lang w:eastAsia="pl-PL"/>
        </w:rPr>
        <w:t xml:space="preserve"> </w:t>
      </w:r>
      <w:r w:rsidRPr="00C85CE2">
        <w:rPr>
          <w:rFonts w:ascii="Times New Roman" w:eastAsia="Times New Roman" w:hAnsi="Times New Roman"/>
          <w:b/>
          <w:sz w:val="28"/>
          <w:szCs w:val="24"/>
          <w:lang w:eastAsia="pl-PL"/>
        </w:rPr>
        <w:t>CHORYCH</w:t>
      </w:r>
      <w:r w:rsidR="005E5C99">
        <w:rPr>
          <w:rFonts w:ascii="Times New Roman" w:eastAsia="Times New Roman" w:hAnsi="Times New Roman"/>
          <w:b/>
          <w:sz w:val="28"/>
          <w:szCs w:val="24"/>
          <w:lang w:eastAsia="pl-PL"/>
        </w:rPr>
        <w:t xml:space="preserve"> </w:t>
      </w:r>
      <w:r w:rsidRPr="00C85CE2">
        <w:rPr>
          <w:rFonts w:ascii="Times New Roman" w:eastAsia="Times New Roman" w:hAnsi="Times New Roman"/>
          <w:b/>
          <w:sz w:val="28"/>
          <w:szCs w:val="24"/>
          <w:lang w:eastAsia="pl-PL"/>
        </w:rPr>
        <w:t>NA</w:t>
      </w:r>
      <w:r w:rsidR="005E5C99">
        <w:rPr>
          <w:rFonts w:ascii="Times New Roman" w:eastAsia="Times New Roman" w:hAnsi="Times New Roman"/>
          <w:b/>
          <w:sz w:val="28"/>
          <w:szCs w:val="24"/>
          <w:lang w:eastAsia="pl-PL"/>
        </w:rPr>
        <w:t xml:space="preserve"> </w:t>
      </w:r>
      <w:r w:rsidRPr="00C85CE2">
        <w:rPr>
          <w:rFonts w:ascii="Times New Roman" w:eastAsia="Times New Roman" w:hAnsi="Times New Roman"/>
          <w:b/>
          <w:sz w:val="28"/>
          <w:szCs w:val="24"/>
          <w:lang w:eastAsia="pl-PL"/>
        </w:rPr>
        <w:t>PIERWOTNĄ</w:t>
      </w:r>
      <w:r w:rsidR="005E5C99">
        <w:rPr>
          <w:rFonts w:ascii="Times New Roman" w:eastAsia="Times New Roman" w:hAnsi="Times New Roman"/>
          <w:b/>
          <w:sz w:val="28"/>
          <w:szCs w:val="24"/>
          <w:lang w:eastAsia="pl-PL"/>
        </w:rPr>
        <w:t xml:space="preserve"> </w:t>
      </w:r>
      <w:r w:rsidRPr="00C85CE2">
        <w:rPr>
          <w:rFonts w:ascii="Times New Roman" w:eastAsia="Times New Roman" w:hAnsi="Times New Roman"/>
          <w:b/>
          <w:sz w:val="28"/>
          <w:szCs w:val="24"/>
          <w:lang w:eastAsia="pl-PL"/>
        </w:rPr>
        <w:t>MAŁOPŁYTKOWOŚĆ</w:t>
      </w:r>
      <w:r w:rsidR="005E5C99">
        <w:rPr>
          <w:rFonts w:ascii="Times New Roman" w:eastAsia="Times New Roman" w:hAnsi="Times New Roman"/>
          <w:b/>
          <w:sz w:val="28"/>
          <w:szCs w:val="24"/>
          <w:lang w:eastAsia="pl-PL"/>
        </w:rPr>
        <w:t xml:space="preserve"> </w:t>
      </w:r>
      <w:r w:rsidRPr="00C85CE2">
        <w:rPr>
          <w:rFonts w:ascii="Times New Roman" w:eastAsia="Times New Roman" w:hAnsi="Times New Roman"/>
          <w:b/>
          <w:sz w:val="28"/>
          <w:szCs w:val="24"/>
          <w:lang w:eastAsia="pl-PL"/>
        </w:rPr>
        <w:t>IMMUNOLOGICZNĄ</w:t>
      </w:r>
      <w:r w:rsidR="005E5C99">
        <w:rPr>
          <w:rFonts w:ascii="Times New Roman" w:eastAsia="Times New Roman" w:hAnsi="Times New Roman"/>
          <w:b/>
          <w:sz w:val="28"/>
          <w:szCs w:val="24"/>
          <w:lang w:eastAsia="pl-PL"/>
        </w:rPr>
        <w:t xml:space="preserve"> </w:t>
      </w:r>
      <w:r w:rsidRPr="00C85CE2">
        <w:rPr>
          <w:rFonts w:ascii="Times New Roman" w:eastAsia="Times New Roman" w:hAnsi="Times New Roman"/>
          <w:b/>
          <w:sz w:val="28"/>
          <w:szCs w:val="24"/>
          <w:lang w:eastAsia="pl-PL"/>
        </w:rPr>
        <w:t>(ICD-10</w:t>
      </w:r>
      <w:r w:rsidR="00AB319A">
        <w:rPr>
          <w:rFonts w:ascii="Times New Roman" w:eastAsia="Times New Roman" w:hAnsi="Times New Roman"/>
          <w:b/>
          <w:sz w:val="28"/>
          <w:szCs w:val="24"/>
          <w:lang w:eastAsia="pl-PL"/>
        </w:rPr>
        <w:t>:</w:t>
      </w:r>
      <w:r w:rsidR="005E5C99">
        <w:rPr>
          <w:rFonts w:ascii="Times New Roman" w:eastAsia="Times New Roman" w:hAnsi="Times New Roman"/>
          <w:b/>
          <w:sz w:val="28"/>
          <w:szCs w:val="24"/>
          <w:lang w:eastAsia="pl-PL"/>
        </w:rPr>
        <w:t xml:space="preserve"> </w:t>
      </w:r>
      <w:r w:rsidRPr="00C85CE2">
        <w:rPr>
          <w:rFonts w:ascii="Times New Roman" w:eastAsia="Times New Roman" w:hAnsi="Times New Roman"/>
          <w:b/>
          <w:sz w:val="28"/>
          <w:szCs w:val="24"/>
          <w:lang w:eastAsia="pl-PL"/>
        </w:rPr>
        <w:t>D69.3)</w:t>
      </w:r>
    </w:p>
    <w:tbl>
      <w:tblPr>
        <w:tblStyle w:val="Tabela-Siatka"/>
        <w:tblW w:w="5000" w:type="pct"/>
        <w:tblLook w:val="04A0" w:firstRow="1" w:lastRow="0" w:firstColumn="1" w:lastColumn="0" w:noHBand="0" w:noVBand="1"/>
      </w:tblPr>
      <w:tblGrid>
        <w:gridCol w:w="5131"/>
        <w:gridCol w:w="5130"/>
        <w:gridCol w:w="5127"/>
      </w:tblGrid>
      <w:tr w:rsidR="006B10AF" w14:paraId="24380BB8" w14:textId="77777777" w:rsidTr="00723EA9">
        <w:trPr>
          <w:trHeight w:val="567"/>
        </w:trPr>
        <w:tc>
          <w:tcPr>
            <w:tcW w:w="5000" w:type="pct"/>
            <w:gridSpan w:val="3"/>
            <w:vAlign w:val="center"/>
          </w:tcPr>
          <w:p w14:paraId="3A27CEDF" w14:textId="1910B314" w:rsidR="006B10AF" w:rsidRPr="00AB319A" w:rsidRDefault="006B10AF" w:rsidP="00AB319A">
            <w:pPr>
              <w:widowControl w:val="0"/>
              <w:spacing w:after="0" w:line="240" w:lineRule="auto"/>
              <w:jc w:val="center"/>
              <w:rPr>
                <w:rFonts w:ascii="Times New Roman" w:eastAsia="Times New Roman" w:hAnsi="Times New Roman"/>
                <w:b/>
                <w:sz w:val="20"/>
                <w:szCs w:val="20"/>
                <w:lang w:eastAsia="pl-PL"/>
              </w:rPr>
            </w:pPr>
            <w:r w:rsidRPr="00AB319A">
              <w:rPr>
                <w:rFonts w:ascii="Times New Roman" w:eastAsia="Times New Roman" w:hAnsi="Times New Roman"/>
                <w:b/>
                <w:sz w:val="20"/>
                <w:szCs w:val="20"/>
                <w:lang w:eastAsia="pl-PL"/>
              </w:rPr>
              <w:t>ZAKRES</w:t>
            </w:r>
            <w:r w:rsidR="005E5C99">
              <w:rPr>
                <w:rFonts w:ascii="Times New Roman" w:eastAsia="Times New Roman" w:hAnsi="Times New Roman"/>
                <w:b/>
                <w:sz w:val="20"/>
                <w:szCs w:val="20"/>
                <w:lang w:eastAsia="pl-PL"/>
              </w:rPr>
              <w:t xml:space="preserve"> </w:t>
            </w:r>
            <w:r w:rsidRPr="00AB319A">
              <w:rPr>
                <w:rFonts w:ascii="Times New Roman" w:eastAsia="Times New Roman" w:hAnsi="Times New Roman"/>
                <w:b/>
                <w:sz w:val="20"/>
                <w:szCs w:val="20"/>
                <w:lang w:eastAsia="pl-PL"/>
              </w:rPr>
              <w:t>ŚWIADCZENIA</w:t>
            </w:r>
            <w:r w:rsidR="005E5C99">
              <w:rPr>
                <w:rFonts w:ascii="Times New Roman" w:eastAsia="Times New Roman" w:hAnsi="Times New Roman"/>
                <w:b/>
                <w:sz w:val="20"/>
                <w:szCs w:val="20"/>
                <w:lang w:eastAsia="pl-PL"/>
              </w:rPr>
              <w:t xml:space="preserve"> </w:t>
            </w:r>
            <w:r w:rsidRPr="00AB319A">
              <w:rPr>
                <w:rFonts w:ascii="Times New Roman" w:eastAsia="Times New Roman" w:hAnsi="Times New Roman"/>
                <w:b/>
                <w:sz w:val="20"/>
                <w:szCs w:val="20"/>
                <w:lang w:eastAsia="pl-PL"/>
              </w:rPr>
              <w:t>GWARANTOWANEGO</w:t>
            </w:r>
          </w:p>
        </w:tc>
      </w:tr>
      <w:tr w:rsidR="005E5C99" w14:paraId="4246004A" w14:textId="77777777" w:rsidTr="006A70AF">
        <w:trPr>
          <w:trHeight w:val="567"/>
        </w:trPr>
        <w:tc>
          <w:tcPr>
            <w:tcW w:w="1667" w:type="pct"/>
            <w:vAlign w:val="center"/>
          </w:tcPr>
          <w:p w14:paraId="152648FE" w14:textId="77777777" w:rsidR="006B10AF" w:rsidRPr="00C85CE2" w:rsidRDefault="006B10AF" w:rsidP="00AB319A">
            <w:pPr>
              <w:widowControl w:val="0"/>
              <w:spacing w:after="0" w:line="240" w:lineRule="auto"/>
              <w:jc w:val="center"/>
              <w:rPr>
                <w:rFonts w:ascii="Times New Roman" w:eastAsia="Times New Roman" w:hAnsi="Times New Roman"/>
                <w:b/>
                <w:sz w:val="20"/>
                <w:szCs w:val="20"/>
                <w:lang w:eastAsia="pl-PL"/>
              </w:rPr>
            </w:pPr>
            <w:r w:rsidRPr="00C85CE2">
              <w:rPr>
                <w:rFonts w:ascii="Times New Roman" w:eastAsia="Times New Roman" w:hAnsi="Times New Roman"/>
                <w:b/>
                <w:sz w:val="20"/>
                <w:szCs w:val="20"/>
                <w:lang w:eastAsia="pl-PL"/>
              </w:rPr>
              <w:t>ŚWIADCZENIOBIORCY</w:t>
            </w:r>
          </w:p>
        </w:tc>
        <w:tc>
          <w:tcPr>
            <w:tcW w:w="1667" w:type="pct"/>
            <w:vAlign w:val="center"/>
          </w:tcPr>
          <w:p w14:paraId="78CB061F" w14:textId="5F92D0FF" w:rsidR="006B10AF" w:rsidRPr="00AB319A" w:rsidRDefault="006B10AF" w:rsidP="00AB319A">
            <w:pPr>
              <w:widowControl w:val="0"/>
              <w:spacing w:after="0" w:line="240" w:lineRule="auto"/>
              <w:jc w:val="center"/>
              <w:rPr>
                <w:rFonts w:ascii="Times New Roman" w:eastAsia="Times New Roman" w:hAnsi="Times New Roman"/>
                <w:b/>
                <w:sz w:val="20"/>
                <w:szCs w:val="20"/>
                <w:lang w:eastAsia="pl-PL"/>
              </w:rPr>
            </w:pPr>
            <w:r w:rsidRPr="00AB319A">
              <w:rPr>
                <w:rFonts w:ascii="Times New Roman" w:eastAsia="Times New Roman" w:hAnsi="Times New Roman"/>
                <w:b/>
                <w:sz w:val="20"/>
                <w:szCs w:val="20"/>
                <w:lang w:eastAsia="pl-PL"/>
              </w:rPr>
              <w:t>SCHEMAT</w:t>
            </w:r>
            <w:r w:rsidR="005E5C99">
              <w:rPr>
                <w:rFonts w:ascii="Times New Roman" w:eastAsia="Times New Roman" w:hAnsi="Times New Roman"/>
                <w:b/>
                <w:sz w:val="20"/>
                <w:szCs w:val="20"/>
                <w:lang w:eastAsia="pl-PL"/>
              </w:rPr>
              <w:t xml:space="preserve"> </w:t>
            </w:r>
            <w:r w:rsidRPr="00AB319A">
              <w:rPr>
                <w:rFonts w:ascii="Times New Roman" w:eastAsia="Times New Roman" w:hAnsi="Times New Roman"/>
                <w:b/>
                <w:sz w:val="20"/>
                <w:szCs w:val="20"/>
                <w:lang w:eastAsia="pl-PL"/>
              </w:rPr>
              <w:t>DAWKOWANIA</w:t>
            </w:r>
            <w:r w:rsidR="005E5C99">
              <w:rPr>
                <w:rFonts w:ascii="Times New Roman" w:eastAsia="Times New Roman" w:hAnsi="Times New Roman"/>
                <w:b/>
                <w:sz w:val="20"/>
                <w:szCs w:val="20"/>
                <w:lang w:eastAsia="pl-PL"/>
              </w:rPr>
              <w:t xml:space="preserve"> </w:t>
            </w:r>
            <w:r w:rsidRPr="00AB319A">
              <w:rPr>
                <w:rFonts w:ascii="Times New Roman" w:eastAsia="Times New Roman" w:hAnsi="Times New Roman"/>
                <w:b/>
                <w:sz w:val="20"/>
                <w:szCs w:val="20"/>
                <w:lang w:eastAsia="pl-PL"/>
              </w:rPr>
              <w:t>LEKÓW</w:t>
            </w:r>
            <w:r w:rsidR="005E5C99">
              <w:rPr>
                <w:rFonts w:ascii="Times New Roman" w:eastAsia="Times New Roman" w:hAnsi="Times New Roman"/>
                <w:b/>
                <w:sz w:val="20"/>
                <w:szCs w:val="20"/>
                <w:lang w:eastAsia="pl-PL"/>
              </w:rPr>
              <w:t xml:space="preserve"> </w:t>
            </w:r>
            <w:r w:rsidR="005E5C99">
              <w:rPr>
                <w:rFonts w:ascii="Times New Roman" w:eastAsia="Times New Roman" w:hAnsi="Times New Roman"/>
                <w:b/>
                <w:sz w:val="20"/>
                <w:szCs w:val="20"/>
                <w:lang w:eastAsia="pl-PL"/>
              </w:rPr>
              <w:br/>
            </w:r>
            <w:r w:rsidRPr="00AB319A">
              <w:rPr>
                <w:rFonts w:ascii="Times New Roman" w:eastAsia="Times New Roman" w:hAnsi="Times New Roman"/>
                <w:b/>
                <w:sz w:val="20"/>
                <w:szCs w:val="20"/>
                <w:lang w:eastAsia="pl-PL"/>
              </w:rPr>
              <w:t>W</w:t>
            </w:r>
            <w:r w:rsidR="005E5C99">
              <w:rPr>
                <w:rFonts w:ascii="Times New Roman" w:eastAsia="Times New Roman" w:hAnsi="Times New Roman"/>
                <w:b/>
                <w:sz w:val="20"/>
                <w:szCs w:val="20"/>
                <w:lang w:eastAsia="pl-PL"/>
              </w:rPr>
              <w:t xml:space="preserve"> </w:t>
            </w:r>
            <w:r w:rsidRPr="00AB319A">
              <w:rPr>
                <w:rFonts w:ascii="Times New Roman" w:eastAsia="Times New Roman" w:hAnsi="Times New Roman"/>
                <w:b/>
                <w:sz w:val="20"/>
                <w:szCs w:val="20"/>
                <w:lang w:eastAsia="pl-PL"/>
              </w:rPr>
              <w:t>PROGRAMIE</w:t>
            </w:r>
          </w:p>
        </w:tc>
        <w:tc>
          <w:tcPr>
            <w:tcW w:w="1667" w:type="pct"/>
            <w:vAlign w:val="center"/>
          </w:tcPr>
          <w:p w14:paraId="1FB6C8E7" w14:textId="1E68AEDD" w:rsidR="006B10AF" w:rsidRPr="00AB319A" w:rsidRDefault="006B10AF" w:rsidP="00AB319A">
            <w:pPr>
              <w:widowControl w:val="0"/>
              <w:spacing w:after="0" w:line="240" w:lineRule="auto"/>
              <w:jc w:val="center"/>
              <w:rPr>
                <w:rFonts w:ascii="Times New Roman" w:eastAsia="Times New Roman" w:hAnsi="Times New Roman"/>
                <w:b/>
                <w:sz w:val="20"/>
                <w:szCs w:val="20"/>
                <w:lang w:eastAsia="pl-PL"/>
              </w:rPr>
            </w:pPr>
            <w:r w:rsidRPr="00AB319A">
              <w:rPr>
                <w:rFonts w:ascii="Times New Roman" w:eastAsia="Times New Roman" w:hAnsi="Times New Roman"/>
                <w:b/>
                <w:sz w:val="20"/>
                <w:szCs w:val="20"/>
                <w:lang w:eastAsia="pl-PL"/>
              </w:rPr>
              <w:t>BADANIA</w:t>
            </w:r>
            <w:r w:rsidR="005E5C99">
              <w:rPr>
                <w:rFonts w:ascii="Times New Roman" w:eastAsia="Times New Roman" w:hAnsi="Times New Roman"/>
                <w:b/>
                <w:sz w:val="20"/>
                <w:szCs w:val="20"/>
                <w:lang w:eastAsia="pl-PL"/>
              </w:rPr>
              <w:t xml:space="preserve"> </w:t>
            </w:r>
            <w:r w:rsidRPr="00AB319A">
              <w:rPr>
                <w:rFonts w:ascii="Times New Roman" w:eastAsia="Times New Roman" w:hAnsi="Times New Roman"/>
                <w:b/>
                <w:sz w:val="20"/>
                <w:szCs w:val="20"/>
                <w:lang w:eastAsia="pl-PL"/>
              </w:rPr>
              <w:t>DIAGNOSTYCZNE</w:t>
            </w:r>
            <w:r w:rsidR="005E5C99">
              <w:rPr>
                <w:rFonts w:ascii="Times New Roman" w:eastAsia="Times New Roman" w:hAnsi="Times New Roman"/>
                <w:b/>
                <w:sz w:val="20"/>
                <w:szCs w:val="20"/>
                <w:lang w:eastAsia="pl-PL"/>
              </w:rPr>
              <w:t xml:space="preserve"> </w:t>
            </w:r>
            <w:r w:rsidRPr="00AB319A">
              <w:rPr>
                <w:rFonts w:ascii="Times New Roman" w:eastAsia="Times New Roman" w:hAnsi="Times New Roman"/>
                <w:b/>
                <w:sz w:val="20"/>
                <w:szCs w:val="20"/>
                <w:lang w:eastAsia="pl-PL"/>
              </w:rPr>
              <w:t>WYKONYWANE</w:t>
            </w:r>
            <w:r w:rsidR="005E5C99">
              <w:rPr>
                <w:rFonts w:ascii="Times New Roman" w:eastAsia="Times New Roman" w:hAnsi="Times New Roman"/>
                <w:b/>
                <w:sz w:val="20"/>
                <w:szCs w:val="20"/>
                <w:lang w:eastAsia="pl-PL"/>
              </w:rPr>
              <w:t xml:space="preserve"> </w:t>
            </w:r>
            <w:r w:rsidR="005E5C99">
              <w:rPr>
                <w:rFonts w:ascii="Times New Roman" w:eastAsia="Times New Roman" w:hAnsi="Times New Roman"/>
                <w:b/>
                <w:sz w:val="20"/>
                <w:szCs w:val="20"/>
                <w:lang w:eastAsia="pl-PL"/>
              </w:rPr>
              <w:br/>
            </w:r>
            <w:r w:rsidRPr="00AB319A">
              <w:rPr>
                <w:rFonts w:ascii="Times New Roman" w:eastAsia="Times New Roman" w:hAnsi="Times New Roman"/>
                <w:b/>
                <w:sz w:val="20"/>
                <w:szCs w:val="20"/>
                <w:lang w:eastAsia="pl-PL"/>
              </w:rPr>
              <w:t>W</w:t>
            </w:r>
            <w:r w:rsidR="005E5C99">
              <w:rPr>
                <w:rFonts w:ascii="Times New Roman" w:eastAsia="Times New Roman" w:hAnsi="Times New Roman"/>
                <w:b/>
                <w:sz w:val="20"/>
                <w:szCs w:val="20"/>
                <w:lang w:eastAsia="pl-PL"/>
              </w:rPr>
              <w:t xml:space="preserve"> </w:t>
            </w:r>
            <w:r w:rsidRPr="00AB319A">
              <w:rPr>
                <w:rFonts w:ascii="Times New Roman" w:eastAsia="Times New Roman" w:hAnsi="Times New Roman"/>
                <w:b/>
                <w:sz w:val="20"/>
                <w:szCs w:val="20"/>
                <w:lang w:eastAsia="pl-PL"/>
              </w:rPr>
              <w:t>RAMACH</w:t>
            </w:r>
            <w:r w:rsidR="005E5C99">
              <w:rPr>
                <w:rFonts w:ascii="Times New Roman" w:eastAsia="Times New Roman" w:hAnsi="Times New Roman"/>
                <w:b/>
                <w:sz w:val="20"/>
                <w:szCs w:val="20"/>
                <w:lang w:eastAsia="pl-PL"/>
              </w:rPr>
              <w:t xml:space="preserve"> </w:t>
            </w:r>
            <w:r w:rsidRPr="00AB319A">
              <w:rPr>
                <w:rFonts w:ascii="Times New Roman" w:eastAsia="Times New Roman" w:hAnsi="Times New Roman"/>
                <w:b/>
                <w:sz w:val="20"/>
                <w:szCs w:val="20"/>
                <w:lang w:eastAsia="pl-PL"/>
              </w:rPr>
              <w:t>PROGRAMU</w:t>
            </w:r>
          </w:p>
        </w:tc>
      </w:tr>
      <w:tr w:rsidR="005E5C99" w14:paraId="7C9DB11D" w14:textId="77777777" w:rsidTr="006A70AF">
        <w:trPr>
          <w:trHeight w:val="20"/>
        </w:trPr>
        <w:tc>
          <w:tcPr>
            <w:tcW w:w="1667" w:type="pct"/>
          </w:tcPr>
          <w:p w14:paraId="65753ADC" w14:textId="51E36BBD" w:rsidR="00B12B4E" w:rsidRDefault="00B12B4E" w:rsidP="00041DA8">
            <w:pPr>
              <w:pStyle w:val="Akapitzlist"/>
              <w:widowControl w:val="0"/>
              <w:numPr>
                <w:ilvl w:val="0"/>
                <w:numId w:val="7"/>
              </w:numPr>
              <w:spacing w:before="120" w:after="60"/>
              <w:contextualSpacing w:val="0"/>
              <w:jc w:val="both"/>
              <w:rPr>
                <w:rFonts w:ascii="Times New Roman" w:hAnsi="Times New Roman" w:cs="Times New Roman"/>
                <w:b/>
                <w:bCs/>
                <w:spacing w:val="4"/>
                <w:sz w:val="20"/>
                <w:szCs w:val="20"/>
              </w:rPr>
            </w:pPr>
            <w:r>
              <w:rPr>
                <w:rFonts w:ascii="Times New Roman" w:hAnsi="Times New Roman" w:cs="Times New Roman"/>
                <w:b/>
                <w:bCs/>
                <w:spacing w:val="4"/>
                <w:sz w:val="20"/>
                <w:szCs w:val="20"/>
              </w:rPr>
              <w:t>Kryteria kwalifikacji</w:t>
            </w:r>
          </w:p>
          <w:p w14:paraId="1285DD78" w14:textId="69791706" w:rsidR="006B10AF" w:rsidRPr="00AB319A" w:rsidRDefault="006B10AF" w:rsidP="006A70AF">
            <w:pPr>
              <w:pStyle w:val="Akapitzlist"/>
              <w:widowControl w:val="0"/>
              <w:numPr>
                <w:ilvl w:val="1"/>
                <w:numId w:val="7"/>
              </w:numPr>
              <w:spacing w:after="60"/>
              <w:contextualSpacing w:val="0"/>
              <w:jc w:val="both"/>
              <w:rPr>
                <w:rFonts w:ascii="Times New Roman" w:hAnsi="Times New Roman" w:cs="Times New Roman"/>
                <w:b/>
                <w:bCs/>
                <w:spacing w:val="4"/>
                <w:sz w:val="20"/>
                <w:szCs w:val="20"/>
              </w:rPr>
            </w:pPr>
            <w:r w:rsidRPr="00AB319A">
              <w:rPr>
                <w:rFonts w:ascii="Times New Roman" w:hAnsi="Times New Roman" w:cs="Times New Roman"/>
                <w:b/>
                <w:bCs/>
                <w:spacing w:val="4"/>
                <w:sz w:val="20"/>
                <w:szCs w:val="20"/>
              </w:rPr>
              <w:t>Kryteria</w:t>
            </w:r>
            <w:r w:rsidR="005E5C99">
              <w:rPr>
                <w:rFonts w:ascii="Times New Roman" w:hAnsi="Times New Roman" w:cs="Times New Roman"/>
                <w:b/>
                <w:bCs/>
                <w:spacing w:val="4"/>
                <w:sz w:val="20"/>
                <w:szCs w:val="20"/>
              </w:rPr>
              <w:t xml:space="preserve"> </w:t>
            </w:r>
            <w:r w:rsidRPr="00AB319A">
              <w:rPr>
                <w:rFonts w:ascii="Times New Roman" w:hAnsi="Times New Roman" w:cs="Times New Roman"/>
                <w:b/>
                <w:bCs/>
                <w:spacing w:val="4"/>
                <w:sz w:val="20"/>
                <w:szCs w:val="20"/>
              </w:rPr>
              <w:t>kwalifikacji</w:t>
            </w:r>
            <w:r w:rsidR="005E5C99">
              <w:rPr>
                <w:rFonts w:ascii="Times New Roman" w:hAnsi="Times New Roman" w:cs="Times New Roman"/>
                <w:b/>
                <w:bCs/>
                <w:spacing w:val="4"/>
                <w:sz w:val="20"/>
                <w:szCs w:val="20"/>
              </w:rPr>
              <w:t xml:space="preserve"> </w:t>
            </w:r>
            <w:r w:rsidRPr="00AB319A">
              <w:rPr>
                <w:rFonts w:ascii="Times New Roman" w:hAnsi="Times New Roman" w:cs="Times New Roman"/>
                <w:b/>
                <w:bCs/>
                <w:spacing w:val="4"/>
                <w:sz w:val="20"/>
                <w:szCs w:val="20"/>
              </w:rPr>
              <w:t>do</w:t>
            </w:r>
            <w:r w:rsidR="005E5C99">
              <w:rPr>
                <w:rFonts w:ascii="Times New Roman" w:hAnsi="Times New Roman" w:cs="Times New Roman"/>
                <w:b/>
                <w:bCs/>
                <w:spacing w:val="4"/>
                <w:sz w:val="20"/>
                <w:szCs w:val="20"/>
              </w:rPr>
              <w:t xml:space="preserve"> </w:t>
            </w:r>
            <w:r w:rsidRPr="00AB319A">
              <w:rPr>
                <w:rFonts w:ascii="Times New Roman" w:hAnsi="Times New Roman" w:cs="Times New Roman"/>
                <w:b/>
                <w:bCs/>
                <w:spacing w:val="4"/>
                <w:sz w:val="20"/>
                <w:szCs w:val="20"/>
              </w:rPr>
              <w:t>leczenia</w:t>
            </w:r>
            <w:r w:rsidR="005E5C99">
              <w:rPr>
                <w:rFonts w:ascii="Times New Roman" w:hAnsi="Times New Roman" w:cs="Times New Roman"/>
                <w:b/>
                <w:bCs/>
                <w:spacing w:val="4"/>
                <w:sz w:val="20"/>
                <w:szCs w:val="20"/>
              </w:rPr>
              <w:t xml:space="preserve"> </w:t>
            </w:r>
            <w:r w:rsidRPr="00AB319A">
              <w:rPr>
                <w:rFonts w:ascii="Times New Roman" w:hAnsi="Times New Roman" w:cs="Times New Roman"/>
                <w:b/>
                <w:bCs/>
                <w:spacing w:val="4"/>
                <w:sz w:val="20"/>
                <w:szCs w:val="20"/>
              </w:rPr>
              <w:t>eltrombopagiem</w:t>
            </w:r>
            <w:r w:rsidR="005E5C99">
              <w:rPr>
                <w:rFonts w:ascii="Times New Roman" w:hAnsi="Times New Roman" w:cs="Times New Roman"/>
                <w:b/>
                <w:bCs/>
                <w:spacing w:val="4"/>
                <w:sz w:val="20"/>
                <w:szCs w:val="20"/>
              </w:rPr>
              <w:t xml:space="preserve"> </w:t>
            </w:r>
            <w:r w:rsidRPr="00AB319A">
              <w:rPr>
                <w:rFonts w:ascii="Times New Roman" w:hAnsi="Times New Roman" w:cs="Times New Roman"/>
                <w:b/>
                <w:bCs/>
                <w:spacing w:val="4"/>
                <w:sz w:val="20"/>
                <w:szCs w:val="20"/>
              </w:rPr>
              <w:t>lub</w:t>
            </w:r>
            <w:r w:rsidR="005E5C99">
              <w:rPr>
                <w:rFonts w:ascii="Times New Roman" w:hAnsi="Times New Roman" w:cs="Times New Roman"/>
                <w:b/>
                <w:bCs/>
                <w:spacing w:val="4"/>
                <w:sz w:val="20"/>
                <w:szCs w:val="20"/>
              </w:rPr>
              <w:t xml:space="preserve"> </w:t>
            </w:r>
            <w:r w:rsidRPr="00AB319A">
              <w:rPr>
                <w:rFonts w:ascii="Times New Roman" w:hAnsi="Times New Roman" w:cs="Times New Roman"/>
                <w:b/>
                <w:bCs/>
                <w:spacing w:val="4"/>
                <w:sz w:val="20"/>
                <w:szCs w:val="20"/>
              </w:rPr>
              <w:t>romiplostymem</w:t>
            </w:r>
          </w:p>
          <w:p w14:paraId="348DFC1E" w14:textId="047D1DD9" w:rsidR="006B10AF" w:rsidRPr="00AB319A" w:rsidRDefault="006B10AF" w:rsidP="006A70AF">
            <w:pPr>
              <w:pStyle w:val="Akapitzlist"/>
              <w:numPr>
                <w:ilvl w:val="3"/>
                <w:numId w:val="7"/>
              </w:numPr>
              <w:autoSpaceDE w:val="0"/>
              <w:autoSpaceDN w:val="0"/>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wiek</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1-18</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lat;</w:t>
            </w:r>
          </w:p>
          <w:p w14:paraId="1BB9F31B" w14:textId="3DD417C7" w:rsidR="006B10AF" w:rsidRPr="00AB319A" w:rsidRDefault="006B10AF" w:rsidP="006A70AF">
            <w:pPr>
              <w:pStyle w:val="Akapitzlist"/>
              <w:numPr>
                <w:ilvl w:val="3"/>
                <w:numId w:val="7"/>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rozpoznanie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przewlekłej</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(trwającej</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powyżej</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12</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miesięcy)</w:t>
            </w:r>
            <w:r w:rsidR="005E5C99">
              <w:rPr>
                <w:rFonts w:ascii="Times New Roman" w:hAnsi="Times New Roman" w:cs="Times New Roman"/>
                <w:sz w:val="20"/>
                <w:szCs w:val="20"/>
              </w:rPr>
              <w:t xml:space="preserve"> </w:t>
            </w:r>
            <w:r w:rsidR="00486AC4" w:rsidRPr="00AB319A">
              <w:rPr>
                <w:rFonts w:ascii="Times New Roman" w:hAnsi="Times New Roman" w:cs="Times New Roman"/>
                <w:sz w:val="20"/>
                <w:szCs w:val="20"/>
              </w:rPr>
              <w:t>lub</w:t>
            </w:r>
            <w:r w:rsidR="005E5C99">
              <w:rPr>
                <w:rFonts w:ascii="Times New Roman" w:hAnsi="Times New Roman" w:cs="Times New Roman"/>
                <w:sz w:val="20"/>
                <w:szCs w:val="20"/>
              </w:rPr>
              <w:t xml:space="preserve"> </w:t>
            </w:r>
            <w:r w:rsidR="00486AC4" w:rsidRPr="00AB319A">
              <w:rPr>
                <w:rFonts w:ascii="Times New Roman" w:hAnsi="Times New Roman" w:cs="Times New Roman"/>
                <w:sz w:val="20"/>
                <w:szCs w:val="20"/>
              </w:rPr>
              <w:t>przetrwałej</w:t>
            </w:r>
            <w:r w:rsidR="005E5C99">
              <w:rPr>
                <w:rFonts w:ascii="Times New Roman" w:hAnsi="Times New Roman" w:cs="Times New Roman"/>
                <w:sz w:val="20"/>
                <w:szCs w:val="20"/>
              </w:rPr>
              <w:t xml:space="preserve"> </w:t>
            </w:r>
            <w:r w:rsidR="00486AC4" w:rsidRPr="00AB319A">
              <w:rPr>
                <w:rFonts w:ascii="Times New Roman" w:hAnsi="Times New Roman" w:cs="Times New Roman"/>
                <w:sz w:val="20"/>
                <w:szCs w:val="20"/>
              </w:rPr>
              <w:t>(rozumianej</w:t>
            </w:r>
            <w:r w:rsidR="005E5C99">
              <w:rPr>
                <w:rFonts w:ascii="Times New Roman" w:hAnsi="Times New Roman" w:cs="Times New Roman"/>
                <w:sz w:val="20"/>
                <w:szCs w:val="20"/>
              </w:rPr>
              <w:t xml:space="preserve"> </w:t>
            </w:r>
            <w:r w:rsidR="00486AC4" w:rsidRPr="00AB319A">
              <w:rPr>
                <w:rFonts w:ascii="Times New Roman" w:hAnsi="Times New Roman" w:cs="Times New Roman"/>
                <w:sz w:val="20"/>
                <w:szCs w:val="20"/>
              </w:rPr>
              <w:t>jako</w:t>
            </w:r>
            <w:r w:rsidR="005E5C99">
              <w:rPr>
                <w:rFonts w:ascii="Times New Roman" w:hAnsi="Times New Roman" w:cs="Times New Roman"/>
                <w:sz w:val="20"/>
                <w:szCs w:val="20"/>
              </w:rPr>
              <w:t xml:space="preserve"> </w:t>
            </w:r>
            <w:r w:rsidR="00486AC4" w:rsidRPr="00AB319A">
              <w:rPr>
                <w:rFonts w:ascii="Times New Roman" w:hAnsi="Times New Roman" w:cs="Times New Roman"/>
                <w:sz w:val="20"/>
                <w:szCs w:val="20"/>
              </w:rPr>
              <w:t>trwającej</w:t>
            </w:r>
            <w:r w:rsidR="005E5C99">
              <w:rPr>
                <w:rFonts w:ascii="Times New Roman" w:hAnsi="Times New Roman" w:cs="Times New Roman"/>
                <w:sz w:val="20"/>
                <w:szCs w:val="20"/>
              </w:rPr>
              <w:t xml:space="preserve"> </w:t>
            </w:r>
            <w:r w:rsidR="00486AC4" w:rsidRPr="00AB319A">
              <w:rPr>
                <w:rFonts w:ascii="Times New Roman" w:hAnsi="Times New Roman" w:cs="Times New Roman"/>
                <w:sz w:val="20"/>
                <w:szCs w:val="20"/>
              </w:rPr>
              <w:t>powyżej</w:t>
            </w:r>
            <w:r w:rsidR="005E5C99">
              <w:rPr>
                <w:rFonts w:ascii="Times New Roman" w:hAnsi="Times New Roman" w:cs="Times New Roman"/>
                <w:sz w:val="20"/>
                <w:szCs w:val="20"/>
              </w:rPr>
              <w:t xml:space="preserve"> </w:t>
            </w:r>
            <w:r w:rsidR="00486AC4" w:rsidRPr="00AB319A">
              <w:rPr>
                <w:rFonts w:ascii="Times New Roman" w:hAnsi="Times New Roman" w:cs="Times New Roman"/>
                <w:sz w:val="20"/>
                <w:szCs w:val="20"/>
              </w:rPr>
              <w:t>6</w:t>
            </w:r>
            <w:r w:rsidR="005E5C99">
              <w:rPr>
                <w:rFonts w:ascii="Times New Roman" w:hAnsi="Times New Roman" w:cs="Times New Roman"/>
                <w:sz w:val="20"/>
                <w:szCs w:val="20"/>
              </w:rPr>
              <w:t xml:space="preserve"> </w:t>
            </w:r>
            <w:r w:rsidR="00486AC4" w:rsidRPr="00AB319A">
              <w:rPr>
                <w:rFonts w:ascii="Times New Roman" w:hAnsi="Times New Roman" w:cs="Times New Roman"/>
                <w:sz w:val="20"/>
                <w:szCs w:val="20"/>
              </w:rPr>
              <w:t>miesięcy)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pierwotnej</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małopłytkowości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immunologicznej</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(ITP)</w:t>
            </w:r>
            <w:r w:rsidR="00B12B4E">
              <w:rPr>
                <w:rFonts w:ascii="Times New Roman" w:hAnsi="Times New Roman" w:cs="Times New Roman"/>
                <w:sz w:val="20"/>
                <w:szCs w:val="20"/>
              </w:rPr>
              <w:t>;</w:t>
            </w:r>
          </w:p>
          <w:p w14:paraId="47B00EE7" w14:textId="2CD82AF2" w:rsidR="006B10AF" w:rsidRPr="00AB319A" w:rsidRDefault="006B10AF" w:rsidP="006A70AF">
            <w:pPr>
              <w:pStyle w:val="Akapitzlist"/>
              <w:numPr>
                <w:ilvl w:val="3"/>
                <w:numId w:val="7"/>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niedostateczna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odpowiedź</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na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wcześniejsze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leczenie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farmakologiczne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ITP.</w:t>
            </w:r>
          </w:p>
          <w:p w14:paraId="48388152" w14:textId="6A42286C" w:rsidR="006B10AF" w:rsidRPr="00041DA8" w:rsidRDefault="006B10AF" w:rsidP="006A70AF">
            <w:pPr>
              <w:spacing w:after="60"/>
              <w:jc w:val="both"/>
              <w:rPr>
                <w:rFonts w:ascii="Times New Roman" w:hAnsi="Times New Roman"/>
                <w:sz w:val="20"/>
                <w:szCs w:val="20"/>
              </w:rPr>
            </w:pPr>
            <w:r w:rsidRPr="00041DA8">
              <w:rPr>
                <w:rFonts w:ascii="Times New Roman" w:hAnsi="Times New Roman"/>
                <w:sz w:val="20"/>
                <w:szCs w:val="20"/>
              </w:rPr>
              <w:t>Kryteria</w:t>
            </w:r>
            <w:r w:rsidR="005E5C99">
              <w:rPr>
                <w:rFonts w:ascii="Times New Roman" w:hAnsi="Times New Roman"/>
                <w:sz w:val="20"/>
                <w:szCs w:val="20"/>
              </w:rPr>
              <w:t xml:space="preserve"> </w:t>
            </w:r>
            <w:r w:rsidRPr="00041DA8">
              <w:rPr>
                <w:rFonts w:ascii="Times New Roman" w:hAnsi="Times New Roman"/>
                <w:sz w:val="20"/>
                <w:szCs w:val="20"/>
              </w:rPr>
              <w:t>kwalifikacji</w:t>
            </w:r>
            <w:r w:rsidR="005E5C99">
              <w:rPr>
                <w:rFonts w:ascii="Times New Roman" w:hAnsi="Times New Roman"/>
                <w:sz w:val="20"/>
                <w:szCs w:val="20"/>
              </w:rPr>
              <w:t xml:space="preserve"> </w:t>
            </w:r>
            <w:r w:rsidRPr="00041DA8">
              <w:rPr>
                <w:rFonts w:ascii="Times New Roman" w:hAnsi="Times New Roman"/>
                <w:sz w:val="20"/>
                <w:szCs w:val="20"/>
              </w:rPr>
              <w:t>muszą</w:t>
            </w:r>
            <w:r w:rsidR="005E5C99">
              <w:rPr>
                <w:rFonts w:ascii="Times New Roman" w:hAnsi="Times New Roman"/>
                <w:sz w:val="20"/>
                <w:szCs w:val="20"/>
              </w:rPr>
              <w:t xml:space="preserve"> </w:t>
            </w:r>
            <w:r w:rsidRPr="00041DA8">
              <w:rPr>
                <w:rFonts w:ascii="Times New Roman" w:hAnsi="Times New Roman"/>
                <w:sz w:val="20"/>
                <w:szCs w:val="20"/>
              </w:rPr>
              <w:t>być</w:t>
            </w:r>
            <w:r w:rsidR="005E5C99">
              <w:rPr>
                <w:rFonts w:ascii="Times New Roman" w:hAnsi="Times New Roman"/>
                <w:sz w:val="20"/>
                <w:szCs w:val="20"/>
              </w:rPr>
              <w:t xml:space="preserve"> </w:t>
            </w:r>
            <w:r w:rsidRPr="00041DA8">
              <w:rPr>
                <w:rFonts w:ascii="Times New Roman" w:hAnsi="Times New Roman"/>
                <w:sz w:val="20"/>
                <w:szCs w:val="20"/>
              </w:rPr>
              <w:t>spełnione</w:t>
            </w:r>
            <w:r w:rsidR="005E5C99">
              <w:rPr>
                <w:rFonts w:ascii="Times New Roman" w:hAnsi="Times New Roman"/>
                <w:sz w:val="20"/>
                <w:szCs w:val="20"/>
              </w:rPr>
              <w:t xml:space="preserve"> </w:t>
            </w:r>
            <w:r w:rsidRPr="00041DA8">
              <w:rPr>
                <w:rFonts w:ascii="Times New Roman" w:hAnsi="Times New Roman"/>
                <w:sz w:val="20"/>
                <w:szCs w:val="20"/>
              </w:rPr>
              <w:t>łącznie.</w:t>
            </w:r>
          </w:p>
          <w:p w14:paraId="3AC5F29E" w14:textId="28074F7E" w:rsidR="006B10AF" w:rsidRDefault="006B10AF" w:rsidP="006A70AF">
            <w:pPr>
              <w:spacing w:after="60"/>
              <w:jc w:val="both"/>
              <w:rPr>
                <w:rFonts w:ascii="Times New Roman" w:hAnsi="Times New Roman"/>
                <w:sz w:val="20"/>
                <w:szCs w:val="20"/>
              </w:rPr>
            </w:pPr>
            <w:r w:rsidRPr="00041DA8">
              <w:rPr>
                <w:rFonts w:ascii="Times New Roman" w:hAnsi="Times New Roman"/>
                <w:sz w:val="20"/>
                <w:szCs w:val="20"/>
              </w:rPr>
              <w:t>Do</w:t>
            </w:r>
            <w:r w:rsidR="005E5C99">
              <w:rPr>
                <w:rFonts w:ascii="Times New Roman" w:hAnsi="Times New Roman"/>
                <w:sz w:val="20"/>
                <w:szCs w:val="20"/>
              </w:rPr>
              <w:t xml:space="preserve"> </w:t>
            </w:r>
            <w:r w:rsidRPr="00041DA8">
              <w:rPr>
                <w:rFonts w:ascii="Times New Roman" w:hAnsi="Times New Roman"/>
                <w:sz w:val="20"/>
                <w:szCs w:val="20"/>
              </w:rPr>
              <w:t>leczenia</w:t>
            </w:r>
            <w:r w:rsidR="005E5C99">
              <w:rPr>
                <w:rFonts w:ascii="Times New Roman" w:hAnsi="Times New Roman"/>
                <w:sz w:val="20"/>
                <w:szCs w:val="20"/>
              </w:rPr>
              <w:t xml:space="preserve"> </w:t>
            </w:r>
            <w:r w:rsidRPr="00041DA8">
              <w:rPr>
                <w:rFonts w:ascii="Times New Roman" w:hAnsi="Times New Roman"/>
                <w:sz w:val="20"/>
                <w:szCs w:val="20"/>
              </w:rPr>
              <w:t>agonistą</w:t>
            </w:r>
            <w:r w:rsidR="005E5C99">
              <w:rPr>
                <w:rFonts w:ascii="Times New Roman" w:hAnsi="Times New Roman"/>
                <w:sz w:val="20"/>
                <w:szCs w:val="20"/>
              </w:rPr>
              <w:t xml:space="preserve"> </w:t>
            </w:r>
            <w:r w:rsidRPr="00041DA8">
              <w:rPr>
                <w:rFonts w:ascii="Times New Roman" w:hAnsi="Times New Roman"/>
                <w:sz w:val="20"/>
                <w:szCs w:val="20"/>
              </w:rPr>
              <w:t>receptora</w:t>
            </w:r>
            <w:r w:rsidR="005E5C99">
              <w:rPr>
                <w:rFonts w:ascii="Times New Roman" w:hAnsi="Times New Roman"/>
                <w:sz w:val="20"/>
                <w:szCs w:val="20"/>
              </w:rPr>
              <w:t xml:space="preserve"> </w:t>
            </w:r>
            <w:r w:rsidRPr="00041DA8">
              <w:rPr>
                <w:rFonts w:ascii="Times New Roman" w:hAnsi="Times New Roman"/>
                <w:sz w:val="20"/>
                <w:szCs w:val="20"/>
              </w:rPr>
              <w:t>trombopoetyny</w:t>
            </w:r>
            <w:r w:rsidR="005E5C99">
              <w:rPr>
                <w:rFonts w:ascii="Times New Roman" w:hAnsi="Times New Roman"/>
                <w:sz w:val="20"/>
                <w:szCs w:val="20"/>
              </w:rPr>
              <w:t xml:space="preserve"> </w:t>
            </w:r>
            <w:r w:rsidRPr="00041DA8">
              <w:rPr>
                <w:rFonts w:ascii="Times New Roman" w:hAnsi="Times New Roman"/>
                <w:sz w:val="20"/>
                <w:szCs w:val="20"/>
              </w:rPr>
              <w:t>(rTPO)</w:t>
            </w:r>
            <w:r w:rsidR="005E5C99">
              <w:rPr>
                <w:rFonts w:ascii="Times New Roman" w:hAnsi="Times New Roman"/>
                <w:sz w:val="20"/>
                <w:szCs w:val="20"/>
              </w:rPr>
              <w:t xml:space="preserve"> </w:t>
            </w:r>
            <w:r w:rsidRPr="00041DA8">
              <w:rPr>
                <w:rFonts w:ascii="Times New Roman" w:hAnsi="Times New Roman"/>
                <w:sz w:val="20"/>
                <w:szCs w:val="20"/>
              </w:rPr>
              <w:t>mogą</w:t>
            </w:r>
            <w:r w:rsidR="005E5C99">
              <w:rPr>
                <w:rFonts w:ascii="Times New Roman" w:hAnsi="Times New Roman"/>
                <w:sz w:val="20"/>
                <w:szCs w:val="20"/>
              </w:rPr>
              <w:t xml:space="preserve"> </w:t>
            </w:r>
            <w:r w:rsidRPr="00041DA8">
              <w:rPr>
                <w:rFonts w:ascii="Times New Roman" w:hAnsi="Times New Roman"/>
                <w:sz w:val="20"/>
                <w:szCs w:val="20"/>
              </w:rPr>
              <w:t>być</w:t>
            </w:r>
            <w:r w:rsidR="005E5C99">
              <w:rPr>
                <w:rFonts w:ascii="Times New Roman" w:hAnsi="Times New Roman"/>
                <w:sz w:val="20"/>
                <w:szCs w:val="20"/>
              </w:rPr>
              <w:t xml:space="preserve"> </w:t>
            </w:r>
            <w:r w:rsidRPr="00041DA8">
              <w:rPr>
                <w:rFonts w:ascii="Times New Roman" w:hAnsi="Times New Roman"/>
                <w:sz w:val="20"/>
                <w:szCs w:val="20"/>
              </w:rPr>
              <w:t>włączani</w:t>
            </w:r>
            <w:r w:rsidR="005E5C99">
              <w:rPr>
                <w:rFonts w:ascii="Times New Roman" w:hAnsi="Times New Roman"/>
                <w:sz w:val="20"/>
                <w:szCs w:val="20"/>
              </w:rPr>
              <w:t xml:space="preserve"> </w:t>
            </w:r>
            <w:r w:rsidRPr="00041DA8">
              <w:rPr>
                <w:rFonts w:ascii="Times New Roman" w:hAnsi="Times New Roman"/>
                <w:sz w:val="20"/>
                <w:szCs w:val="20"/>
              </w:rPr>
              <w:t>również</w:t>
            </w:r>
            <w:r w:rsidR="005E5C99">
              <w:rPr>
                <w:rFonts w:ascii="Times New Roman" w:hAnsi="Times New Roman"/>
                <w:sz w:val="20"/>
                <w:szCs w:val="20"/>
              </w:rPr>
              <w:t xml:space="preserve"> </w:t>
            </w:r>
            <w:r w:rsidRPr="00041DA8">
              <w:rPr>
                <w:rFonts w:ascii="Times New Roman" w:hAnsi="Times New Roman"/>
                <w:sz w:val="20"/>
                <w:szCs w:val="20"/>
              </w:rPr>
              <w:t>pacjenci,</w:t>
            </w:r>
            <w:r w:rsidR="005E5C99">
              <w:rPr>
                <w:rFonts w:ascii="Times New Roman" w:hAnsi="Times New Roman"/>
                <w:sz w:val="20"/>
                <w:szCs w:val="20"/>
              </w:rPr>
              <w:t xml:space="preserve"> </w:t>
            </w:r>
            <w:r w:rsidRPr="00041DA8">
              <w:rPr>
                <w:rFonts w:ascii="Times New Roman" w:hAnsi="Times New Roman"/>
                <w:sz w:val="20"/>
                <w:szCs w:val="20"/>
              </w:rPr>
              <w:t>którzy</w:t>
            </w:r>
            <w:r w:rsidR="005E5C99">
              <w:rPr>
                <w:rFonts w:ascii="Times New Roman" w:hAnsi="Times New Roman"/>
                <w:sz w:val="20"/>
                <w:szCs w:val="20"/>
              </w:rPr>
              <w:t xml:space="preserve"> </w:t>
            </w:r>
            <w:r w:rsidRPr="00041DA8">
              <w:rPr>
                <w:rFonts w:ascii="Times New Roman" w:hAnsi="Times New Roman"/>
                <w:sz w:val="20"/>
                <w:szCs w:val="20"/>
              </w:rPr>
              <w:t>uzyskali</w:t>
            </w:r>
            <w:r w:rsidR="005E5C99">
              <w:rPr>
                <w:rFonts w:ascii="Times New Roman" w:hAnsi="Times New Roman"/>
                <w:sz w:val="20"/>
                <w:szCs w:val="20"/>
              </w:rPr>
              <w:t xml:space="preserve"> </w:t>
            </w:r>
            <w:r w:rsidRPr="00041DA8">
              <w:rPr>
                <w:rFonts w:ascii="Times New Roman" w:hAnsi="Times New Roman"/>
                <w:sz w:val="20"/>
                <w:szCs w:val="20"/>
              </w:rPr>
              <w:t>niedostateczną</w:t>
            </w:r>
            <w:r w:rsidR="005E5C99">
              <w:rPr>
                <w:rFonts w:ascii="Times New Roman" w:hAnsi="Times New Roman"/>
                <w:sz w:val="20"/>
                <w:szCs w:val="20"/>
              </w:rPr>
              <w:t xml:space="preserve"> </w:t>
            </w:r>
            <w:r w:rsidRPr="00041DA8">
              <w:rPr>
                <w:rFonts w:ascii="Times New Roman" w:hAnsi="Times New Roman"/>
                <w:sz w:val="20"/>
                <w:szCs w:val="20"/>
              </w:rPr>
              <w:t>odpowiedź</w:t>
            </w:r>
            <w:r w:rsidR="005E5C99">
              <w:rPr>
                <w:rFonts w:ascii="Times New Roman" w:hAnsi="Times New Roman"/>
                <w:sz w:val="20"/>
                <w:szCs w:val="20"/>
              </w:rPr>
              <w:t xml:space="preserve"> </w:t>
            </w:r>
            <w:r w:rsidRPr="00041DA8">
              <w:rPr>
                <w:rFonts w:ascii="Times New Roman" w:hAnsi="Times New Roman"/>
                <w:sz w:val="20"/>
                <w:szCs w:val="20"/>
              </w:rPr>
              <w:t>lub</w:t>
            </w:r>
            <w:r w:rsidR="005E5C99">
              <w:rPr>
                <w:rFonts w:ascii="Times New Roman" w:hAnsi="Times New Roman"/>
                <w:sz w:val="20"/>
                <w:szCs w:val="20"/>
              </w:rPr>
              <w:t xml:space="preserve"> </w:t>
            </w:r>
            <w:r w:rsidRPr="00041DA8">
              <w:rPr>
                <w:rFonts w:ascii="Times New Roman" w:hAnsi="Times New Roman"/>
                <w:sz w:val="20"/>
                <w:szCs w:val="20"/>
              </w:rPr>
              <w:t>wykazują</w:t>
            </w:r>
            <w:r w:rsidR="005E5C99">
              <w:rPr>
                <w:rFonts w:ascii="Times New Roman" w:hAnsi="Times New Roman"/>
                <w:sz w:val="20"/>
                <w:szCs w:val="20"/>
              </w:rPr>
              <w:t xml:space="preserve"> </w:t>
            </w:r>
            <w:r w:rsidRPr="00041DA8">
              <w:rPr>
                <w:rFonts w:ascii="Times New Roman" w:hAnsi="Times New Roman"/>
                <w:sz w:val="20"/>
                <w:szCs w:val="20"/>
              </w:rPr>
              <w:t>nietolerancję</w:t>
            </w:r>
            <w:r w:rsidR="005E5C99">
              <w:rPr>
                <w:rFonts w:ascii="Times New Roman" w:hAnsi="Times New Roman"/>
                <w:sz w:val="20"/>
                <w:szCs w:val="20"/>
              </w:rPr>
              <w:t xml:space="preserve"> </w:t>
            </w:r>
            <w:r w:rsidRPr="00041DA8">
              <w:rPr>
                <w:rFonts w:ascii="Times New Roman" w:hAnsi="Times New Roman"/>
                <w:sz w:val="20"/>
                <w:szCs w:val="20"/>
              </w:rPr>
              <w:t>na</w:t>
            </w:r>
            <w:r w:rsidR="005E5C99">
              <w:rPr>
                <w:rFonts w:ascii="Times New Roman" w:hAnsi="Times New Roman"/>
                <w:sz w:val="20"/>
                <w:szCs w:val="20"/>
              </w:rPr>
              <w:t xml:space="preserve"> </w:t>
            </w:r>
            <w:r w:rsidRPr="00041DA8">
              <w:rPr>
                <w:rFonts w:ascii="Times New Roman" w:hAnsi="Times New Roman"/>
                <w:sz w:val="20"/>
                <w:szCs w:val="20"/>
              </w:rPr>
              <w:t>inny</w:t>
            </w:r>
            <w:r w:rsidR="005E5C99">
              <w:rPr>
                <w:rFonts w:ascii="Times New Roman" w:hAnsi="Times New Roman"/>
                <w:sz w:val="20"/>
                <w:szCs w:val="20"/>
              </w:rPr>
              <w:t xml:space="preserve"> </w:t>
            </w:r>
            <w:r w:rsidRPr="00041DA8">
              <w:rPr>
                <w:rFonts w:ascii="Times New Roman" w:hAnsi="Times New Roman"/>
                <w:sz w:val="20"/>
                <w:szCs w:val="20"/>
              </w:rPr>
              <w:t>preparat</w:t>
            </w:r>
            <w:r w:rsidR="005E5C99">
              <w:rPr>
                <w:rFonts w:ascii="Times New Roman" w:hAnsi="Times New Roman"/>
                <w:sz w:val="20"/>
                <w:szCs w:val="20"/>
              </w:rPr>
              <w:t xml:space="preserve"> </w:t>
            </w:r>
            <w:r w:rsidRPr="00041DA8">
              <w:rPr>
                <w:rFonts w:ascii="Times New Roman" w:hAnsi="Times New Roman"/>
                <w:sz w:val="20"/>
                <w:szCs w:val="20"/>
              </w:rPr>
              <w:t>z</w:t>
            </w:r>
            <w:r w:rsidR="005E5C99">
              <w:rPr>
                <w:rFonts w:ascii="Times New Roman" w:hAnsi="Times New Roman"/>
                <w:sz w:val="20"/>
                <w:szCs w:val="20"/>
              </w:rPr>
              <w:t xml:space="preserve"> </w:t>
            </w:r>
            <w:r w:rsidRPr="00041DA8">
              <w:rPr>
                <w:rFonts w:ascii="Times New Roman" w:hAnsi="Times New Roman"/>
                <w:sz w:val="20"/>
                <w:szCs w:val="20"/>
              </w:rPr>
              <w:t>grupy</w:t>
            </w:r>
            <w:r w:rsidR="005E5C99">
              <w:rPr>
                <w:rFonts w:ascii="Times New Roman" w:hAnsi="Times New Roman"/>
                <w:sz w:val="20"/>
                <w:szCs w:val="20"/>
              </w:rPr>
              <w:t xml:space="preserve"> </w:t>
            </w:r>
            <w:r w:rsidRPr="00041DA8">
              <w:rPr>
                <w:rFonts w:ascii="Times New Roman" w:hAnsi="Times New Roman"/>
                <w:sz w:val="20"/>
                <w:szCs w:val="20"/>
              </w:rPr>
              <w:t>agonistów</w:t>
            </w:r>
            <w:r w:rsidR="005E5C99">
              <w:rPr>
                <w:rFonts w:ascii="Times New Roman" w:hAnsi="Times New Roman"/>
                <w:sz w:val="20"/>
                <w:szCs w:val="20"/>
              </w:rPr>
              <w:t xml:space="preserve"> </w:t>
            </w:r>
            <w:r w:rsidRPr="00041DA8">
              <w:rPr>
                <w:rFonts w:ascii="Times New Roman" w:hAnsi="Times New Roman"/>
                <w:sz w:val="20"/>
                <w:szCs w:val="20"/>
              </w:rPr>
              <w:t>rTPO</w:t>
            </w:r>
            <w:r w:rsidRPr="00041DA8">
              <w:rPr>
                <w:rFonts w:ascii="Times New Roman" w:hAnsi="Times New Roman"/>
                <w:bCs/>
                <w:sz w:val="20"/>
                <w:szCs w:val="20"/>
              </w:rPr>
              <w:t>,</w:t>
            </w:r>
            <w:r w:rsidR="005E5C99">
              <w:rPr>
                <w:rFonts w:ascii="Times New Roman" w:hAnsi="Times New Roman"/>
                <w:sz w:val="20"/>
                <w:szCs w:val="20"/>
              </w:rPr>
              <w:t xml:space="preserve"> </w:t>
            </w:r>
            <w:r w:rsidRPr="00041DA8">
              <w:rPr>
                <w:rFonts w:ascii="Times New Roman" w:hAnsi="Times New Roman"/>
                <w:sz w:val="20"/>
                <w:szCs w:val="20"/>
              </w:rPr>
              <w:t>oraz</w:t>
            </w:r>
            <w:r w:rsidR="005E5C99">
              <w:rPr>
                <w:rFonts w:ascii="Times New Roman" w:hAnsi="Times New Roman"/>
                <w:sz w:val="20"/>
                <w:szCs w:val="20"/>
              </w:rPr>
              <w:t xml:space="preserve"> </w:t>
            </w:r>
            <w:r w:rsidRPr="00041DA8">
              <w:rPr>
                <w:rFonts w:ascii="Times New Roman" w:hAnsi="Times New Roman"/>
                <w:sz w:val="20"/>
                <w:szCs w:val="20"/>
              </w:rPr>
              <w:t>spełniają</w:t>
            </w:r>
            <w:r w:rsidR="005E5C99">
              <w:rPr>
                <w:rFonts w:ascii="Times New Roman" w:hAnsi="Times New Roman"/>
                <w:sz w:val="20"/>
                <w:szCs w:val="20"/>
              </w:rPr>
              <w:t xml:space="preserve"> </w:t>
            </w:r>
            <w:r w:rsidRPr="00041DA8">
              <w:rPr>
                <w:rFonts w:ascii="Times New Roman" w:hAnsi="Times New Roman"/>
                <w:sz w:val="20"/>
                <w:szCs w:val="20"/>
              </w:rPr>
              <w:t>kryteria</w:t>
            </w:r>
            <w:r w:rsidR="005E5C99">
              <w:rPr>
                <w:rFonts w:ascii="Times New Roman" w:hAnsi="Times New Roman"/>
                <w:sz w:val="20"/>
                <w:szCs w:val="20"/>
              </w:rPr>
              <w:t xml:space="preserve"> </w:t>
            </w:r>
            <w:r w:rsidRPr="00041DA8">
              <w:rPr>
                <w:rFonts w:ascii="Times New Roman" w:hAnsi="Times New Roman"/>
                <w:sz w:val="20"/>
                <w:szCs w:val="20"/>
              </w:rPr>
              <w:t>kwalifikacji.</w:t>
            </w:r>
          </w:p>
          <w:p w14:paraId="65F11E98" w14:textId="77777777" w:rsidR="006A70AF" w:rsidRDefault="006A70AF" w:rsidP="006A70AF">
            <w:pPr>
              <w:spacing w:after="60"/>
              <w:jc w:val="both"/>
              <w:rPr>
                <w:rFonts w:ascii="Times New Roman" w:hAnsi="Times New Roman"/>
                <w:sz w:val="20"/>
                <w:szCs w:val="20"/>
              </w:rPr>
            </w:pPr>
          </w:p>
          <w:p w14:paraId="0CDC864D" w14:textId="16C1ED66" w:rsidR="00B12B4E" w:rsidRPr="00FE7472" w:rsidRDefault="00B12B4E" w:rsidP="006A70AF">
            <w:pPr>
              <w:pStyle w:val="Akapitzlist"/>
              <w:numPr>
                <w:ilvl w:val="1"/>
                <w:numId w:val="7"/>
              </w:numPr>
              <w:spacing w:after="60"/>
              <w:contextualSpacing w:val="0"/>
              <w:jc w:val="both"/>
              <w:rPr>
                <w:rFonts w:ascii="Times New Roman" w:hAnsi="Times New Roman"/>
                <w:b/>
                <w:bCs/>
                <w:sz w:val="20"/>
                <w:szCs w:val="20"/>
              </w:rPr>
            </w:pPr>
            <w:r w:rsidRPr="00FE7472">
              <w:rPr>
                <w:rFonts w:ascii="Times New Roman" w:hAnsi="Times New Roman"/>
                <w:b/>
                <w:bCs/>
                <w:sz w:val="20"/>
                <w:szCs w:val="20"/>
              </w:rPr>
              <w:t>Kryteria kwalifikacji do leczenia rytuksymabem</w:t>
            </w:r>
          </w:p>
          <w:p w14:paraId="2F0D2CD0" w14:textId="35094E2E" w:rsidR="00B12B4E" w:rsidRDefault="00B12B4E" w:rsidP="006A70AF">
            <w:pPr>
              <w:pStyle w:val="Akapitzlist"/>
              <w:numPr>
                <w:ilvl w:val="3"/>
                <w:numId w:val="7"/>
              </w:numPr>
              <w:spacing w:after="60"/>
              <w:contextualSpacing w:val="0"/>
              <w:jc w:val="both"/>
              <w:rPr>
                <w:rFonts w:ascii="Times New Roman" w:hAnsi="Times New Roman"/>
                <w:sz w:val="20"/>
                <w:szCs w:val="20"/>
              </w:rPr>
            </w:pPr>
            <w:r>
              <w:rPr>
                <w:rFonts w:ascii="Times New Roman" w:hAnsi="Times New Roman"/>
                <w:sz w:val="20"/>
                <w:szCs w:val="20"/>
              </w:rPr>
              <w:t>wiek 1-18 lat;</w:t>
            </w:r>
          </w:p>
          <w:p w14:paraId="69F28CFB" w14:textId="50BB3A55" w:rsidR="00B12B4E" w:rsidRDefault="00B12B4E" w:rsidP="006A70AF">
            <w:pPr>
              <w:pStyle w:val="Akapitzlist"/>
              <w:numPr>
                <w:ilvl w:val="3"/>
                <w:numId w:val="7"/>
              </w:numPr>
              <w:spacing w:after="60"/>
              <w:contextualSpacing w:val="0"/>
              <w:jc w:val="both"/>
              <w:rPr>
                <w:rFonts w:ascii="Times New Roman" w:hAnsi="Times New Roman"/>
                <w:sz w:val="20"/>
                <w:szCs w:val="20"/>
              </w:rPr>
            </w:pPr>
            <w:r>
              <w:rPr>
                <w:rFonts w:ascii="Times New Roman" w:hAnsi="Times New Roman"/>
                <w:sz w:val="20"/>
                <w:szCs w:val="20"/>
              </w:rPr>
              <w:lastRenderedPageBreak/>
              <w:t>rozpoznanie opornej na immunosupresję małopłytkowości immunologicznej</w:t>
            </w:r>
            <w:r w:rsidR="006C3056">
              <w:rPr>
                <w:rFonts w:ascii="Times New Roman" w:hAnsi="Times New Roman"/>
                <w:sz w:val="20"/>
                <w:szCs w:val="20"/>
              </w:rPr>
              <w:t xml:space="preserve"> (trwającej powyżej 4 miesięcy);</w:t>
            </w:r>
          </w:p>
          <w:p w14:paraId="5494C297" w14:textId="1BEEDAD4" w:rsidR="00EC22AF" w:rsidRDefault="00EC22AF" w:rsidP="006A70AF">
            <w:pPr>
              <w:pStyle w:val="Akapitzlist"/>
              <w:numPr>
                <w:ilvl w:val="3"/>
                <w:numId w:val="7"/>
              </w:numPr>
              <w:spacing w:after="60"/>
              <w:contextualSpacing w:val="0"/>
              <w:jc w:val="both"/>
              <w:rPr>
                <w:rFonts w:ascii="Times New Roman" w:hAnsi="Times New Roman"/>
                <w:sz w:val="20"/>
                <w:szCs w:val="20"/>
              </w:rPr>
            </w:pPr>
            <w:r>
              <w:rPr>
                <w:rFonts w:ascii="Times New Roman" w:hAnsi="Times New Roman"/>
                <w:sz w:val="20"/>
                <w:szCs w:val="20"/>
              </w:rPr>
              <w:t>zagrażająca życiu małopłytkowość immunologiczna z cechami krwawienia lub liczbą płytek poniżej 20 tys/</w:t>
            </w:r>
            <w:r w:rsidRPr="00EC22AF">
              <w:rPr>
                <w:rFonts w:ascii="Times New Roman" w:hAnsi="Times New Roman"/>
                <w:sz w:val="20"/>
                <w:szCs w:val="20"/>
              </w:rPr>
              <w:t>µL</w:t>
            </w:r>
            <w:r>
              <w:rPr>
                <w:rFonts w:ascii="Times New Roman" w:hAnsi="Times New Roman"/>
                <w:sz w:val="20"/>
                <w:szCs w:val="20"/>
              </w:rPr>
              <w:t>;</w:t>
            </w:r>
          </w:p>
          <w:p w14:paraId="6BD93971" w14:textId="47865F10" w:rsidR="006C3056" w:rsidRDefault="006C3056" w:rsidP="006A70AF">
            <w:pPr>
              <w:pStyle w:val="Akapitzlist"/>
              <w:numPr>
                <w:ilvl w:val="3"/>
                <w:numId w:val="7"/>
              </w:numPr>
              <w:spacing w:after="60"/>
              <w:contextualSpacing w:val="0"/>
              <w:jc w:val="both"/>
              <w:rPr>
                <w:rFonts w:ascii="Times New Roman" w:hAnsi="Times New Roman"/>
                <w:sz w:val="20"/>
                <w:szCs w:val="20"/>
              </w:rPr>
            </w:pPr>
            <w:r>
              <w:rPr>
                <w:rFonts w:ascii="Times New Roman" w:hAnsi="Times New Roman"/>
                <w:sz w:val="20"/>
                <w:szCs w:val="20"/>
              </w:rPr>
              <w:t>niedostateczna odpowiedź na leczenie kortykosteroidami, IGIV lub agonis</w:t>
            </w:r>
            <w:r w:rsidR="00362C36">
              <w:rPr>
                <w:rFonts w:ascii="Times New Roman" w:hAnsi="Times New Roman"/>
                <w:sz w:val="20"/>
                <w:szCs w:val="20"/>
              </w:rPr>
              <w:t>tów rTPO.</w:t>
            </w:r>
          </w:p>
          <w:p w14:paraId="1371CF0C" w14:textId="7881E94B" w:rsidR="00362C36" w:rsidRDefault="00362C36" w:rsidP="006A70AF">
            <w:pPr>
              <w:spacing w:after="60"/>
              <w:jc w:val="both"/>
              <w:rPr>
                <w:rFonts w:ascii="Times New Roman" w:hAnsi="Times New Roman"/>
                <w:sz w:val="20"/>
                <w:szCs w:val="20"/>
              </w:rPr>
            </w:pPr>
            <w:r w:rsidRPr="00041DA8">
              <w:rPr>
                <w:rFonts w:ascii="Times New Roman" w:hAnsi="Times New Roman"/>
                <w:sz w:val="20"/>
                <w:szCs w:val="20"/>
              </w:rPr>
              <w:t>Kryteria</w:t>
            </w:r>
            <w:r>
              <w:rPr>
                <w:rFonts w:ascii="Times New Roman" w:hAnsi="Times New Roman"/>
                <w:sz w:val="20"/>
                <w:szCs w:val="20"/>
              </w:rPr>
              <w:t xml:space="preserve"> </w:t>
            </w:r>
            <w:r w:rsidRPr="00041DA8">
              <w:rPr>
                <w:rFonts w:ascii="Times New Roman" w:hAnsi="Times New Roman"/>
                <w:sz w:val="20"/>
                <w:szCs w:val="20"/>
              </w:rPr>
              <w:t>kwalifikacji</w:t>
            </w:r>
            <w:r>
              <w:rPr>
                <w:rFonts w:ascii="Times New Roman" w:hAnsi="Times New Roman"/>
                <w:sz w:val="20"/>
                <w:szCs w:val="20"/>
              </w:rPr>
              <w:t xml:space="preserve"> </w:t>
            </w:r>
            <w:r w:rsidRPr="00041DA8">
              <w:rPr>
                <w:rFonts w:ascii="Times New Roman" w:hAnsi="Times New Roman"/>
                <w:sz w:val="20"/>
                <w:szCs w:val="20"/>
              </w:rPr>
              <w:t>muszą</w:t>
            </w:r>
            <w:r>
              <w:rPr>
                <w:rFonts w:ascii="Times New Roman" w:hAnsi="Times New Roman"/>
                <w:sz w:val="20"/>
                <w:szCs w:val="20"/>
              </w:rPr>
              <w:t xml:space="preserve"> </w:t>
            </w:r>
            <w:r w:rsidRPr="00041DA8">
              <w:rPr>
                <w:rFonts w:ascii="Times New Roman" w:hAnsi="Times New Roman"/>
                <w:sz w:val="20"/>
                <w:szCs w:val="20"/>
              </w:rPr>
              <w:t>być</w:t>
            </w:r>
            <w:r>
              <w:rPr>
                <w:rFonts w:ascii="Times New Roman" w:hAnsi="Times New Roman"/>
                <w:sz w:val="20"/>
                <w:szCs w:val="20"/>
              </w:rPr>
              <w:t xml:space="preserve"> </w:t>
            </w:r>
            <w:r w:rsidRPr="00041DA8">
              <w:rPr>
                <w:rFonts w:ascii="Times New Roman" w:hAnsi="Times New Roman"/>
                <w:sz w:val="20"/>
                <w:szCs w:val="20"/>
              </w:rPr>
              <w:t>spełnione</w:t>
            </w:r>
            <w:r>
              <w:rPr>
                <w:rFonts w:ascii="Times New Roman" w:hAnsi="Times New Roman"/>
                <w:sz w:val="20"/>
                <w:szCs w:val="20"/>
              </w:rPr>
              <w:t xml:space="preserve"> </w:t>
            </w:r>
            <w:r w:rsidRPr="00041DA8">
              <w:rPr>
                <w:rFonts w:ascii="Times New Roman" w:hAnsi="Times New Roman"/>
                <w:sz w:val="20"/>
                <w:szCs w:val="20"/>
              </w:rPr>
              <w:t>łącznie.</w:t>
            </w:r>
          </w:p>
          <w:p w14:paraId="4C8F7E9B" w14:textId="77777777" w:rsidR="00362C36" w:rsidRPr="00FE7472" w:rsidRDefault="00362C36" w:rsidP="006A70AF">
            <w:pPr>
              <w:spacing w:after="60"/>
              <w:jc w:val="both"/>
              <w:rPr>
                <w:rFonts w:ascii="Times New Roman" w:hAnsi="Times New Roman"/>
                <w:sz w:val="20"/>
                <w:szCs w:val="20"/>
              </w:rPr>
            </w:pPr>
          </w:p>
          <w:p w14:paraId="56F96A58" w14:textId="61305F84" w:rsidR="006B10AF" w:rsidRPr="00041DA8" w:rsidRDefault="006B10AF" w:rsidP="006A70AF">
            <w:pPr>
              <w:spacing w:after="60"/>
              <w:jc w:val="both"/>
              <w:rPr>
                <w:rFonts w:ascii="Times New Roman" w:hAnsi="Times New Roman"/>
                <w:bCs/>
                <w:sz w:val="20"/>
                <w:szCs w:val="20"/>
              </w:rPr>
            </w:pPr>
            <w:r w:rsidRPr="00041DA8">
              <w:rPr>
                <w:rFonts w:ascii="Times New Roman" w:hAnsi="Times New Roman"/>
                <w:sz w:val="20"/>
                <w:szCs w:val="20"/>
              </w:rPr>
              <w:t>Pacjenci</w:t>
            </w:r>
            <w:r w:rsidR="005E5C99">
              <w:rPr>
                <w:rFonts w:ascii="Times New Roman" w:hAnsi="Times New Roman"/>
                <w:sz w:val="20"/>
                <w:szCs w:val="20"/>
              </w:rPr>
              <w:t xml:space="preserve"> </w:t>
            </w:r>
            <w:r w:rsidRPr="00041DA8">
              <w:rPr>
                <w:rFonts w:ascii="Times New Roman" w:hAnsi="Times New Roman"/>
                <w:sz w:val="20"/>
                <w:szCs w:val="20"/>
              </w:rPr>
              <w:t>pozostający</w:t>
            </w:r>
            <w:r w:rsidR="005E5C99">
              <w:rPr>
                <w:rFonts w:ascii="Times New Roman" w:hAnsi="Times New Roman"/>
                <w:sz w:val="20"/>
                <w:szCs w:val="20"/>
              </w:rPr>
              <w:t xml:space="preserve"> </w:t>
            </w:r>
            <w:r w:rsidRPr="00041DA8">
              <w:rPr>
                <w:rFonts w:ascii="Times New Roman" w:hAnsi="Times New Roman"/>
                <w:sz w:val="20"/>
                <w:szCs w:val="20"/>
              </w:rPr>
              <w:t>w</w:t>
            </w:r>
            <w:r w:rsidR="005E5C99">
              <w:rPr>
                <w:rFonts w:ascii="Times New Roman" w:hAnsi="Times New Roman"/>
                <w:sz w:val="20"/>
                <w:szCs w:val="20"/>
              </w:rPr>
              <w:t xml:space="preserve"> </w:t>
            </w:r>
            <w:r w:rsidRPr="00041DA8">
              <w:rPr>
                <w:rFonts w:ascii="Times New Roman" w:hAnsi="Times New Roman"/>
                <w:sz w:val="20"/>
                <w:szCs w:val="20"/>
              </w:rPr>
              <w:t>leczeniu</w:t>
            </w:r>
            <w:r w:rsidR="005E5C99">
              <w:rPr>
                <w:rFonts w:ascii="Times New Roman" w:hAnsi="Times New Roman"/>
                <w:sz w:val="20"/>
                <w:szCs w:val="20"/>
              </w:rPr>
              <w:t xml:space="preserve"> </w:t>
            </w:r>
            <w:r w:rsidRPr="00041DA8">
              <w:rPr>
                <w:rFonts w:ascii="Times New Roman" w:hAnsi="Times New Roman"/>
                <w:sz w:val="20"/>
                <w:szCs w:val="20"/>
              </w:rPr>
              <w:t>w</w:t>
            </w:r>
            <w:r w:rsidR="005E5C99">
              <w:rPr>
                <w:rFonts w:ascii="Times New Roman" w:hAnsi="Times New Roman"/>
                <w:sz w:val="20"/>
                <w:szCs w:val="20"/>
              </w:rPr>
              <w:t xml:space="preserve"> </w:t>
            </w:r>
            <w:r w:rsidRPr="00041DA8">
              <w:rPr>
                <w:rFonts w:ascii="Times New Roman" w:hAnsi="Times New Roman"/>
                <w:sz w:val="20"/>
                <w:szCs w:val="20"/>
              </w:rPr>
              <w:t>ramach</w:t>
            </w:r>
            <w:r w:rsidR="005E5C99">
              <w:rPr>
                <w:rFonts w:ascii="Times New Roman" w:hAnsi="Times New Roman"/>
                <w:sz w:val="20"/>
                <w:szCs w:val="20"/>
              </w:rPr>
              <w:t xml:space="preserve"> </w:t>
            </w:r>
            <w:r w:rsidRPr="00041DA8">
              <w:rPr>
                <w:rFonts w:ascii="Times New Roman" w:hAnsi="Times New Roman"/>
                <w:sz w:val="20"/>
                <w:szCs w:val="20"/>
              </w:rPr>
              <w:t>tego</w:t>
            </w:r>
            <w:r w:rsidR="005E5C99">
              <w:rPr>
                <w:rFonts w:ascii="Times New Roman" w:hAnsi="Times New Roman"/>
                <w:sz w:val="20"/>
                <w:szCs w:val="20"/>
              </w:rPr>
              <w:t xml:space="preserve"> </w:t>
            </w:r>
            <w:r w:rsidRPr="00041DA8">
              <w:rPr>
                <w:rFonts w:ascii="Times New Roman" w:hAnsi="Times New Roman"/>
                <w:sz w:val="20"/>
                <w:szCs w:val="20"/>
              </w:rPr>
              <w:t>programu</w:t>
            </w:r>
            <w:r w:rsidR="005E5C99">
              <w:rPr>
                <w:rFonts w:ascii="Times New Roman" w:hAnsi="Times New Roman"/>
                <w:sz w:val="20"/>
                <w:szCs w:val="20"/>
              </w:rPr>
              <w:t xml:space="preserve"> </w:t>
            </w:r>
            <w:r w:rsidRPr="00041DA8">
              <w:rPr>
                <w:rFonts w:ascii="Times New Roman" w:hAnsi="Times New Roman"/>
                <w:sz w:val="20"/>
                <w:szCs w:val="20"/>
              </w:rPr>
              <w:t>lekowego,</w:t>
            </w:r>
            <w:r w:rsidR="005E5C99">
              <w:rPr>
                <w:rFonts w:ascii="Times New Roman" w:hAnsi="Times New Roman"/>
                <w:sz w:val="20"/>
                <w:szCs w:val="20"/>
              </w:rPr>
              <w:t xml:space="preserve"> </w:t>
            </w:r>
            <w:r w:rsidRPr="00041DA8">
              <w:rPr>
                <w:rFonts w:ascii="Times New Roman" w:hAnsi="Times New Roman"/>
                <w:sz w:val="20"/>
                <w:szCs w:val="20"/>
              </w:rPr>
              <w:t>po</w:t>
            </w:r>
            <w:r w:rsidR="005E5C99">
              <w:rPr>
                <w:rFonts w:ascii="Times New Roman" w:hAnsi="Times New Roman"/>
                <w:sz w:val="20"/>
                <w:szCs w:val="20"/>
              </w:rPr>
              <w:t xml:space="preserve"> </w:t>
            </w:r>
            <w:r w:rsidRPr="00041DA8">
              <w:rPr>
                <w:rFonts w:ascii="Times New Roman" w:hAnsi="Times New Roman"/>
                <w:bCs/>
                <w:sz w:val="20"/>
                <w:szCs w:val="20"/>
              </w:rPr>
              <w:t>osiągnięciu</w:t>
            </w:r>
            <w:r w:rsidR="005E5C99">
              <w:rPr>
                <w:rFonts w:ascii="Times New Roman" w:hAnsi="Times New Roman"/>
                <w:bCs/>
                <w:sz w:val="20"/>
                <w:szCs w:val="20"/>
              </w:rPr>
              <w:t xml:space="preserve"> </w:t>
            </w:r>
            <w:r w:rsidRPr="00041DA8">
              <w:rPr>
                <w:rFonts w:ascii="Times New Roman" w:hAnsi="Times New Roman"/>
                <w:bCs/>
                <w:sz w:val="20"/>
                <w:szCs w:val="20"/>
              </w:rPr>
              <w:t>pełnoletniości</w:t>
            </w:r>
            <w:r w:rsidR="005E5C99">
              <w:rPr>
                <w:rFonts w:ascii="Times New Roman" w:hAnsi="Times New Roman"/>
                <w:bCs/>
                <w:sz w:val="20"/>
                <w:szCs w:val="20"/>
              </w:rPr>
              <w:t xml:space="preserve"> </w:t>
            </w:r>
            <w:r w:rsidRPr="00041DA8">
              <w:rPr>
                <w:rFonts w:ascii="Times New Roman" w:hAnsi="Times New Roman"/>
                <w:bCs/>
                <w:sz w:val="20"/>
                <w:szCs w:val="20"/>
              </w:rPr>
              <w:t>mogą</w:t>
            </w:r>
            <w:r w:rsidR="005E5C99">
              <w:rPr>
                <w:rFonts w:ascii="Times New Roman" w:hAnsi="Times New Roman"/>
                <w:bCs/>
                <w:sz w:val="20"/>
                <w:szCs w:val="20"/>
              </w:rPr>
              <w:t xml:space="preserve"> </w:t>
            </w:r>
            <w:r w:rsidRPr="00041DA8">
              <w:rPr>
                <w:rFonts w:ascii="Times New Roman" w:hAnsi="Times New Roman"/>
                <w:bCs/>
                <w:sz w:val="20"/>
                <w:szCs w:val="20"/>
              </w:rPr>
              <w:t>być</w:t>
            </w:r>
            <w:r w:rsidR="005E5C99">
              <w:rPr>
                <w:rFonts w:ascii="Times New Roman" w:hAnsi="Times New Roman"/>
                <w:bCs/>
                <w:sz w:val="20"/>
                <w:szCs w:val="20"/>
              </w:rPr>
              <w:t xml:space="preserve"> </w:t>
            </w:r>
            <w:r w:rsidRPr="00041DA8">
              <w:rPr>
                <w:rFonts w:ascii="Times New Roman" w:hAnsi="Times New Roman"/>
                <w:bCs/>
                <w:sz w:val="20"/>
                <w:szCs w:val="20"/>
              </w:rPr>
              <w:t>leczeni</w:t>
            </w:r>
            <w:r w:rsidR="005E5C99">
              <w:rPr>
                <w:rFonts w:ascii="Times New Roman" w:hAnsi="Times New Roman"/>
                <w:bCs/>
                <w:sz w:val="20"/>
                <w:szCs w:val="20"/>
              </w:rPr>
              <w:t xml:space="preserve"> </w:t>
            </w:r>
            <w:r w:rsidRPr="00041DA8">
              <w:rPr>
                <w:rFonts w:ascii="Times New Roman" w:hAnsi="Times New Roman"/>
                <w:bCs/>
                <w:sz w:val="20"/>
                <w:szCs w:val="20"/>
              </w:rPr>
              <w:t>w</w:t>
            </w:r>
            <w:r w:rsidR="005E5C99">
              <w:rPr>
                <w:rFonts w:ascii="Times New Roman" w:hAnsi="Times New Roman"/>
                <w:bCs/>
                <w:sz w:val="20"/>
                <w:szCs w:val="20"/>
              </w:rPr>
              <w:t xml:space="preserve"> </w:t>
            </w:r>
            <w:r w:rsidRPr="00041DA8">
              <w:rPr>
                <w:rFonts w:ascii="Times New Roman" w:hAnsi="Times New Roman"/>
                <w:bCs/>
                <w:sz w:val="20"/>
                <w:szCs w:val="20"/>
              </w:rPr>
              <w:t>programie</w:t>
            </w:r>
            <w:r w:rsidR="005E5C99">
              <w:rPr>
                <w:rFonts w:ascii="Times New Roman" w:hAnsi="Times New Roman"/>
                <w:bCs/>
                <w:sz w:val="20"/>
                <w:szCs w:val="20"/>
              </w:rPr>
              <w:t xml:space="preserve"> </w:t>
            </w:r>
            <w:r w:rsidRPr="00041DA8">
              <w:rPr>
                <w:rFonts w:ascii="Times New Roman" w:hAnsi="Times New Roman"/>
                <w:bCs/>
                <w:sz w:val="20"/>
                <w:szCs w:val="20"/>
              </w:rPr>
              <w:t>lekowym</w:t>
            </w:r>
            <w:r w:rsidR="005E5C99">
              <w:rPr>
                <w:rFonts w:ascii="Times New Roman" w:hAnsi="Times New Roman"/>
                <w:bCs/>
                <w:sz w:val="20"/>
                <w:szCs w:val="20"/>
              </w:rPr>
              <w:t xml:space="preserve"> </w:t>
            </w:r>
            <w:r w:rsidRPr="00041DA8">
              <w:rPr>
                <w:rFonts w:ascii="Times New Roman" w:hAnsi="Times New Roman"/>
                <w:bCs/>
                <w:sz w:val="20"/>
                <w:szCs w:val="20"/>
              </w:rPr>
              <w:t>„</w:t>
            </w:r>
            <w:r w:rsidRPr="00041DA8">
              <w:rPr>
                <w:rFonts w:ascii="Times New Roman" w:hAnsi="Times New Roman"/>
                <w:sz w:val="20"/>
                <w:szCs w:val="20"/>
              </w:rPr>
              <w:t>Leczenie</w:t>
            </w:r>
            <w:r w:rsidR="005E5C99">
              <w:rPr>
                <w:rFonts w:ascii="Times New Roman" w:hAnsi="Times New Roman"/>
                <w:sz w:val="20"/>
                <w:szCs w:val="20"/>
              </w:rPr>
              <w:t xml:space="preserve"> </w:t>
            </w:r>
            <w:r w:rsidRPr="00041DA8">
              <w:rPr>
                <w:rFonts w:ascii="Times New Roman" w:hAnsi="Times New Roman"/>
                <w:sz w:val="20"/>
                <w:szCs w:val="20"/>
              </w:rPr>
              <w:t>dorosłych</w:t>
            </w:r>
            <w:r w:rsidR="005E5C99">
              <w:rPr>
                <w:rFonts w:ascii="Times New Roman" w:hAnsi="Times New Roman"/>
                <w:sz w:val="20"/>
                <w:szCs w:val="20"/>
              </w:rPr>
              <w:t xml:space="preserve"> </w:t>
            </w:r>
            <w:r w:rsidRPr="00041DA8">
              <w:rPr>
                <w:rFonts w:ascii="Times New Roman" w:hAnsi="Times New Roman"/>
                <w:sz w:val="20"/>
                <w:szCs w:val="20"/>
              </w:rPr>
              <w:t>chorych</w:t>
            </w:r>
            <w:r w:rsidR="005E5C99">
              <w:rPr>
                <w:rFonts w:ascii="Times New Roman" w:hAnsi="Times New Roman"/>
                <w:sz w:val="20"/>
                <w:szCs w:val="20"/>
              </w:rPr>
              <w:t xml:space="preserve"> </w:t>
            </w:r>
            <w:r w:rsidRPr="00041DA8">
              <w:rPr>
                <w:rFonts w:ascii="Times New Roman" w:hAnsi="Times New Roman"/>
                <w:sz w:val="20"/>
                <w:szCs w:val="20"/>
              </w:rPr>
              <w:t>na</w:t>
            </w:r>
            <w:r w:rsidR="005E5C99">
              <w:rPr>
                <w:rFonts w:ascii="Times New Roman" w:hAnsi="Times New Roman"/>
                <w:sz w:val="20"/>
                <w:szCs w:val="20"/>
              </w:rPr>
              <w:t xml:space="preserve"> </w:t>
            </w:r>
            <w:r w:rsidRPr="00041DA8">
              <w:rPr>
                <w:rFonts w:ascii="Times New Roman" w:hAnsi="Times New Roman"/>
                <w:sz w:val="20"/>
                <w:szCs w:val="20"/>
              </w:rPr>
              <w:t>pierwotną</w:t>
            </w:r>
            <w:r w:rsidR="005E5C99">
              <w:rPr>
                <w:rFonts w:ascii="Times New Roman" w:hAnsi="Times New Roman"/>
                <w:sz w:val="20"/>
                <w:szCs w:val="20"/>
              </w:rPr>
              <w:t xml:space="preserve"> </w:t>
            </w:r>
            <w:r w:rsidRPr="00041DA8">
              <w:rPr>
                <w:rFonts w:ascii="Times New Roman" w:hAnsi="Times New Roman"/>
                <w:sz w:val="20"/>
                <w:szCs w:val="20"/>
              </w:rPr>
              <w:t>małopłytkowość</w:t>
            </w:r>
            <w:r w:rsidR="005E5C99">
              <w:rPr>
                <w:rFonts w:ascii="Times New Roman" w:hAnsi="Times New Roman"/>
                <w:sz w:val="20"/>
                <w:szCs w:val="20"/>
              </w:rPr>
              <w:t xml:space="preserve"> </w:t>
            </w:r>
            <w:r w:rsidRPr="00041DA8">
              <w:rPr>
                <w:rFonts w:ascii="Times New Roman" w:hAnsi="Times New Roman"/>
                <w:sz w:val="20"/>
                <w:szCs w:val="20"/>
              </w:rPr>
              <w:t>immunologiczną</w:t>
            </w:r>
            <w:r w:rsidR="005E5C99">
              <w:rPr>
                <w:rFonts w:ascii="Times New Roman" w:hAnsi="Times New Roman"/>
                <w:sz w:val="20"/>
                <w:szCs w:val="20"/>
              </w:rPr>
              <w:t xml:space="preserve"> </w:t>
            </w:r>
            <w:r w:rsidRPr="00041DA8">
              <w:rPr>
                <w:rFonts w:ascii="Times New Roman" w:hAnsi="Times New Roman"/>
                <w:iCs/>
                <w:sz w:val="20"/>
                <w:szCs w:val="20"/>
              </w:rPr>
              <w:t>(ICD-10</w:t>
            </w:r>
            <w:r w:rsidR="005E5C99">
              <w:rPr>
                <w:rFonts w:ascii="Times New Roman" w:hAnsi="Times New Roman"/>
                <w:sz w:val="20"/>
                <w:szCs w:val="20"/>
              </w:rPr>
              <w:t xml:space="preserve"> </w:t>
            </w:r>
            <w:r w:rsidRPr="00041DA8">
              <w:rPr>
                <w:rFonts w:ascii="Times New Roman" w:hAnsi="Times New Roman"/>
                <w:sz w:val="20"/>
                <w:szCs w:val="20"/>
              </w:rPr>
              <w:t>D69.3)”</w:t>
            </w:r>
            <w:r w:rsidR="005E5C99">
              <w:rPr>
                <w:rFonts w:ascii="Times New Roman" w:hAnsi="Times New Roman"/>
                <w:bCs/>
                <w:sz w:val="20"/>
                <w:szCs w:val="20"/>
              </w:rPr>
              <w:t xml:space="preserve"> </w:t>
            </w:r>
            <w:r w:rsidRPr="00041DA8">
              <w:rPr>
                <w:rFonts w:ascii="Times New Roman" w:hAnsi="Times New Roman"/>
                <w:bCs/>
                <w:sz w:val="20"/>
                <w:szCs w:val="20"/>
              </w:rPr>
              <w:t>bez</w:t>
            </w:r>
            <w:r w:rsidR="005E5C99">
              <w:rPr>
                <w:rFonts w:ascii="Times New Roman" w:hAnsi="Times New Roman"/>
                <w:bCs/>
                <w:sz w:val="20"/>
                <w:szCs w:val="20"/>
              </w:rPr>
              <w:t xml:space="preserve"> </w:t>
            </w:r>
            <w:r w:rsidRPr="00041DA8">
              <w:rPr>
                <w:rFonts w:ascii="Times New Roman" w:hAnsi="Times New Roman"/>
                <w:bCs/>
                <w:sz w:val="20"/>
                <w:szCs w:val="20"/>
              </w:rPr>
              <w:t>konieczności</w:t>
            </w:r>
            <w:r w:rsidR="005E5C99">
              <w:rPr>
                <w:rFonts w:ascii="Times New Roman" w:hAnsi="Times New Roman"/>
                <w:bCs/>
                <w:sz w:val="20"/>
                <w:szCs w:val="20"/>
              </w:rPr>
              <w:t xml:space="preserve"> </w:t>
            </w:r>
            <w:r w:rsidRPr="00041DA8">
              <w:rPr>
                <w:rFonts w:ascii="Times New Roman" w:hAnsi="Times New Roman"/>
                <w:bCs/>
                <w:sz w:val="20"/>
                <w:szCs w:val="20"/>
              </w:rPr>
              <w:t>spełnienia</w:t>
            </w:r>
            <w:r w:rsidR="005E5C99">
              <w:rPr>
                <w:rFonts w:ascii="Times New Roman" w:hAnsi="Times New Roman"/>
                <w:bCs/>
                <w:sz w:val="20"/>
                <w:szCs w:val="20"/>
              </w:rPr>
              <w:t xml:space="preserve"> </w:t>
            </w:r>
            <w:r w:rsidRPr="00041DA8">
              <w:rPr>
                <w:rFonts w:ascii="Times New Roman" w:hAnsi="Times New Roman"/>
                <w:bCs/>
                <w:sz w:val="20"/>
                <w:szCs w:val="20"/>
              </w:rPr>
              <w:t>pozostałych</w:t>
            </w:r>
            <w:r w:rsidR="005E5C99">
              <w:rPr>
                <w:rFonts w:ascii="Times New Roman" w:hAnsi="Times New Roman"/>
                <w:bCs/>
                <w:sz w:val="20"/>
                <w:szCs w:val="20"/>
              </w:rPr>
              <w:t xml:space="preserve"> </w:t>
            </w:r>
            <w:r w:rsidRPr="00041DA8">
              <w:rPr>
                <w:rFonts w:ascii="Times New Roman" w:hAnsi="Times New Roman"/>
                <w:bCs/>
                <w:sz w:val="20"/>
                <w:szCs w:val="20"/>
              </w:rPr>
              <w:t>kryteriów</w:t>
            </w:r>
            <w:r w:rsidR="005E5C99">
              <w:rPr>
                <w:rFonts w:ascii="Times New Roman" w:hAnsi="Times New Roman"/>
                <w:bCs/>
                <w:sz w:val="20"/>
                <w:szCs w:val="20"/>
              </w:rPr>
              <w:t xml:space="preserve"> </w:t>
            </w:r>
            <w:r w:rsidRPr="00041DA8">
              <w:rPr>
                <w:rFonts w:ascii="Times New Roman" w:hAnsi="Times New Roman"/>
                <w:bCs/>
                <w:sz w:val="20"/>
                <w:szCs w:val="20"/>
              </w:rPr>
              <w:t>kwalifikacji</w:t>
            </w:r>
            <w:r w:rsidR="005E5C99">
              <w:rPr>
                <w:rFonts w:ascii="Times New Roman" w:hAnsi="Times New Roman"/>
                <w:bCs/>
                <w:sz w:val="20"/>
                <w:szCs w:val="20"/>
              </w:rPr>
              <w:t xml:space="preserve"> </w:t>
            </w:r>
            <w:r w:rsidRPr="00041DA8">
              <w:rPr>
                <w:rFonts w:ascii="Times New Roman" w:hAnsi="Times New Roman"/>
                <w:bCs/>
                <w:sz w:val="20"/>
                <w:szCs w:val="20"/>
              </w:rPr>
              <w:t>do</w:t>
            </w:r>
            <w:r w:rsidR="005E5C99">
              <w:rPr>
                <w:rFonts w:ascii="Times New Roman" w:hAnsi="Times New Roman"/>
                <w:bCs/>
                <w:sz w:val="20"/>
                <w:szCs w:val="20"/>
              </w:rPr>
              <w:t xml:space="preserve"> </w:t>
            </w:r>
            <w:r w:rsidRPr="00041DA8">
              <w:rPr>
                <w:rFonts w:ascii="Times New Roman" w:hAnsi="Times New Roman"/>
                <w:bCs/>
                <w:sz w:val="20"/>
                <w:szCs w:val="20"/>
              </w:rPr>
              <w:t>ww.</w:t>
            </w:r>
            <w:r w:rsidR="005E5C99">
              <w:rPr>
                <w:rFonts w:ascii="Times New Roman" w:hAnsi="Times New Roman"/>
                <w:bCs/>
                <w:sz w:val="20"/>
                <w:szCs w:val="20"/>
              </w:rPr>
              <w:t xml:space="preserve"> </w:t>
            </w:r>
            <w:r w:rsidRPr="00041DA8">
              <w:rPr>
                <w:rFonts w:ascii="Times New Roman" w:hAnsi="Times New Roman"/>
                <w:bCs/>
                <w:sz w:val="20"/>
                <w:szCs w:val="20"/>
              </w:rPr>
              <w:t>programu</w:t>
            </w:r>
            <w:r w:rsidR="005E5C99">
              <w:rPr>
                <w:rFonts w:ascii="Times New Roman" w:hAnsi="Times New Roman"/>
                <w:bCs/>
                <w:sz w:val="20"/>
                <w:szCs w:val="20"/>
              </w:rPr>
              <w:t xml:space="preserve"> </w:t>
            </w:r>
            <w:r w:rsidRPr="00041DA8">
              <w:rPr>
                <w:rFonts w:ascii="Times New Roman" w:hAnsi="Times New Roman"/>
                <w:bCs/>
                <w:sz w:val="20"/>
                <w:szCs w:val="20"/>
              </w:rPr>
              <w:t>lekowego</w:t>
            </w:r>
            <w:r w:rsidR="005E5C99">
              <w:rPr>
                <w:rFonts w:ascii="Times New Roman" w:hAnsi="Times New Roman"/>
                <w:bCs/>
                <w:sz w:val="20"/>
                <w:szCs w:val="20"/>
              </w:rPr>
              <w:t xml:space="preserve"> </w:t>
            </w:r>
            <w:r w:rsidRPr="00041DA8">
              <w:rPr>
                <w:rFonts w:ascii="Times New Roman" w:hAnsi="Times New Roman"/>
                <w:bCs/>
                <w:sz w:val="20"/>
                <w:szCs w:val="20"/>
              </w:rPr>
              <w:t>-</w:t>
            </w:r>
            <w:r w:rsidR="005E5C99">
              <w:rPr>
                <w:rFonts w:ascii="Times New Roman" w:hAnsi="Times New Roman"/>
                <w:bCs/>
                <w:sz w:val="20"/>
                <w:szCs w:val="20"/>
              </w:rPr>
              <w:t xml:space="preserve"> </w:t>
            </w:r>
            <w:r w:rsidRPr="00041DA8">
              <w:rPr>
                <w:rFonts w:ascii="Times New Roman" w:hAnsi="Times New Roman"/>
                <w:bCs/>
                <w:sz w:val="20"/>
                <w:szCs w:val="20"/>
              </w:rPr>
              <w:t>pod</w:t>
            </w:r>
            <w:r w:rsidR="005E5C99">
              <w:rPr>
                <w:rFonts w:ascii="Times New Roman" w:hAnsi="Times New Roman"/>
                <w:bCs/>
                <w:sz w:val="20"/>
                <w:szCs w:val="20"/>
              </w:rPr>
              <w:t xml:space="preserve"> </w:t>
            </w:r>
            <w:r w:rsidRPr="00041DA8">
              <w:rPr>
                <w:rFonts w:ascii="Times New Roman" w:hAnsi="Times New Roman"/>
                <w:bCs/>
                <w:sz w:val="20"/>
                <w:szCs w:val="20"/>
              </w:rPr>
              <w:t>warunkiem</w:t>
            </w:r>
            <w:r w:rsidR="005E5C99">
              <w:rPr>
                <w:rFonts w:ascii="Times New Roman" w:hAnsi="Times New Roman"/>
                <w:sz w:val="20"/>
                <w:szCs w:val="20"/>
              </w:rPr>
              <w:t xml:space="preserve"> </w:t>
            </w:r>
            <w:r w:rsidRPr="00041DA8">
              <w:rPr>
                <w:rFonts w:ascii="Times New Roman" w:hAnsi="Times New Roman"/>
                <w:bCs/>
                <w:sz w:val="20"/>
                <w:szCs w:val="20"/>
              </w:rPr>
              <w:t>niespełniania</w:t>
            </w:r>
            <w:r w:rsidR="005E5C99">
              <w:rPr>
                <w:rFonts w:ascii="Times New Roman" w:hAnsi="Times New Roman"/>
                <w:bCs/>
                <w:sz w:val="20"/>
                <w:szCs w:val="20"/>
              </w:rPr>
              <w:t xml:space="preserve"> </w:t>
            </w:r>
            <w:r w:rsidRPr="00041DA8">
              <w:rPr>
                <w:rFonts w:ascii="Times New Roman" w:hAnsi="Times New Roman"/>
                <w:bCs/>
                <w:sz w:val="20"/>
                <w:szCs w:val="20"/>
              </w:rPr>
              <w:t>kryteriów</w:t>
            </w:r>
            <w:r w:rsidR="005E5C99">
              <w:rPr>
                <w:rFonts w:ascii="Times New Roman" w:hAnsi="Times New Roman"/>
                <w:bCs/>
                <w:sz w:val="20"/>
                <w:szCs w:val="20"/>
              </w:rPr>
              <w:t xml:space="preserve"> </w:t>
            </w:r>
            <w:r w:rsidRPr="00041DA8">
              <w:rPr>
                <w:rFonts w:ascii="Times New Roman" w:hAnsi="Times New Roman"/>
                <w:bCs/>
                <w:sz w:val="20"/>
                <w:szCs w:val="20"/>
              </w:rPr>
              <w:t>wyłączenia</w:t>
            </w:r>
            <w:r w:rsidR="005E5C99">
              <w:rPr>
                <w:rFonts w:ascii="Times New Roman" w:hAnsi="Times New Roman"/>
                <w:bCs/>
                <w:sz w:val="20"/>
                <w:szCs w:val="20"/>
              </w:rPr>
              <w:t xml:space="preserve"> </w:t>
            </w:r>
            <w:r w:rsidRPr="00041DA8">
              <w:rPr>
                <w:rFonts w:ascii="Times New Roman" w:hAnsi="Times New Roman"/>
                <w:bCs/>
                <w:sz w:val="20"/>
                <w:szCs w:val="20"/>
              </w:rPr>
              <w:t>z</w:t>
            </w:r>
            <w:r w:rsidR="005E5C99">
              <w:rPr>
                <w:rFonts w:ascii="Times New Roman" w:hAnsi="Times New Roman"/>
                <w:bCs/>
                <w:sz w:val="20"/>
                <w:szCs w:val="20"/>
              </w:rPr>
              <w:t xml:space="preserve"> </w:t>
            </w:r>
            <w:r w:rsidRPr="00041DA8">
              <w:rPr>
                <w:rFonts w:ascii="Times New Roman" w:hAnsi="Times New Roman"/>
                <w:bCs/>
                <w:sz w:val="20"/>
                <w:szCs w:val="20"/>
              </w:rPr>
              <w:t>programu.</w:t>
            </w:r>
          </w:p>
          <w:p w14:paraId="547D70D4" w14:textId="77777777" w:rsidR="006B10AF" w:rsidRPr="00AB319A" w:rsidRDefault="006B10AF" w:rsidP="006A70AF">
            <w:pPr>
              <w:spacing w:after="60"/>
              <w:jc w:val="both"/>
              <w:rPr>
                <w:rFonts w:ascii="Times New Roman" w:hAnsi="Times New Roman"/>
                <w:bCs/>
                <w:sz w:val="20"/>
                <w:szCs w:val="20"/>
              </w:rPr>
            </w:pPr>
          </w:p>
          <w:p w14:paraId="6B5E4722" w14:textId="3E36B2C1" w:rsidR="006B10AF" w:rsidRPr="00AB319A" w:rsidRDefault="006B10AF" w:rsidP="006A70AF">
            <w:pPr>
              <w:pStyle w:val="Akapitzlist"/>
              <w:widowControl w:val="0"/>
              <w:numPr>
                <w:ilvl w:val="0"/>
                <w:numId w:val="7"/>
              </w:numPr>
              <w:spacing w:after="60"/>
              <w:contextualSpacing w:val="0"/>
              <w:jc w:val="both"/>
              <w:rPr>
                <w:rFonts w:ascii="Times New Roman" w:eastAsia="Times New Roman" w:hAnsi="Times New Roman" w:cs="Times New Roman"/>
                <w:b/>
                <w:sz w:val="20"/>
                <w:szCs w:val="20"/>
                <w:lang w:eastAsia="pl-PL"/>
              </w:rPr>
            </w:pPr>
            <w:r w:rsidRPr="00AB319A">
              <w:rPr>
                <w:rFonts w:ascii="Times New Roman" w:eastAsia="Times New Roman" w:hAnsi="Times New Roman" w:cs="Times New Roman"/>
                <w:b/>
                <w:sz w:val="20"/>
                <w:szCs w:val="20"/>
                <w:lang w:eastAsia="pl-PL"/>
              </w:rPr>
              <w:t>Określenie</w:t>
            </w:r>
            <w:r w:rsidR="005E5C99">
              <w:rPr>
                <w:rFonts w:ascii="Times New Roman" w:eastAsia="Times New Roman" w:hAnsi="Times New Roman" w:cs="Times New Roman"/>
                <w:b/>
                <w:sz w:val="20"/>
                <w:szCs w:val="20"/>
                <w:lang w:eastAsia="pl-PL"/>
              </w:rPr>
              <w:t xml:space="preserve"> </w:t>
            </w:r>
            <w:r w:rsidRPr="00AB319A">
              <w:rPr>
                <w:rFonts w:ascii="Times New Roman" w:eastAsia="Times New Roman" w:hAnsi="Times New Roman" w:cs="Times New Roman"/>
                <w:b/>
                <w:sz w:val="20"/>
                <w:szCs w:val="20"/>
                <w:lang w:eastAsia="pl-PL"/>
              </w:rPr>
              <w:t>czasu</w:t>
            </w:r>
            <w:r w:rsidR="005E5C99">
              <w:rPr>
                <w:rFonts w:ascii="Times New Roman" w:eastAsia="Times New Roman" w:hAnsi="Times New Roman" w:cs="Times New Roman"/>
                <w:b/>
                <w:sz w:val="20"/>
                <w:szCs w:val="20"/>
                <w:lang w:eastAsia="pl-PL"/>
              </w:rPr>
              <w:t xml:space="preserve"> </w:t>
            </w:r>
            <w:r w:rsidRPr="00AB319A">
              <w:rPr>
                <w:rFonts w:ascii="Times New Roman" w:eastAsia="Times New Roman" w:hAnsi="Times New Roman" w:cs="Times New Roman"/>
                <w:b/>
                <w:sz w:val="20"/>
                <w:szCs w:val="20"/>
                <w:lang w:eastAsia="pl-PL"/>
              </w:rPr>
              <w:t>leczenia</w:t>
            </w:r>
            <w:r w:rsidR="005E5C99">
              <w:rPr>
                <w:rFonts w:ascii="Times New Roman" w:eastAsia="Times New Roman" w:hAnsi="Times New Roman" w:cs="Times New Roman"/>
                <w:b/>
                <w:sz w:val="20"/>
                <w:szCs w:val="20"/>
                <w:lang w:eastAsia="pl-PL"/>
              </w:rPr>
              <w:t xml:space="preserve"> </w:t>
            </w:r>
            <w:r w:rsidRPr="00AB319A">
              <w:rPr>
                <w:rFonts w:ascii="Times New Roman" w:eastAsia="Times New Roman" w:hAnsi="Times New Roman" w:cs="Times New Roman"/>
                <w:b/>
                <w:sz w:val="20"/>
                <w:szCs w:val="20"/>
                <w:lang w:eastAsia="pl-PL"/>
              </w:rPr>
              <w:t>w</w:t>
            </w:r>
            <w:r w:rsidR="005E5C99">
              <w:rPr>
                <w:rFonts w:ascii="Times New Roman" w:eastAsia="Times New Roman" w:hAnsi="Times New Roman" w:cs="Times New Roman"/>
                <w:b/>
                <w:sz w:val="20"/>
                <w:szCs w:val="20"/>
                <w:lang w:eastAsia="pl-PL"/>
              </w:rPr>
              <w:t xml:space="preserve"> </w:t>
            </w:r>
            <w:r w:rsidRPr="00AB319A">
              <w:rPr>
                <w:rFonts w:ascii="Times New Roman" w:eastAsia="Times New Roman" w:hAnsi="Times New Roman" w:cs="Times New Roman"/>
                <w:b/>
                <w:sz w:val="20"/>
                <w:szCs w:val="20"/>
                <w:lang w:eastAsia="pl-PL"/>
              </w:rPr>
              <w:t>programie</w:t>
            </w:r>
          </w:p>
          <w:p w14:paraId="4661494D" w14:textId="77777777" w:rsidR="00DC1948" w:rsidRDefault="006B10AF" w:rsidP="006A70AF">
            <w:pPr>
              <w:pStyle w:val="Tekstpodstawowy"/>
              <w:spacing w:after="60" w:line="276" w:lineRule="auto"/>
              <w:rPr>
                <w:iCs/>
                <w:sz w:val="20"/>
                <w:szCs w:val="20"/>
                <w:lang w:val="pl-PL"/>
              </w:rPr>
            </w:pPr>
            <w:r w:rsidRPr="00AB319A">
              <w:rPr>
                <w:iCs/>
                <w:sz w:val="20"/>
                <w:szCs w:val="20"/>
                <w:lang w:val="pl-PL"/>
              </w:rPr>
              <w:t>Leczenie</w:t>
            </w:r>
            <w:r w:rsidR="005E5C99">
              <w:rPr>
                <w:iCs/>
                <w:sz w:val="20"/>
                <w:szCs w:val="20"/>
                <w:lang w:val="pl-PL"/>
              </w:rPr>
              <w:t xml:space="preserve"> </w:t>
            </w:r>
            <w:r w:rsidRPr="00AB319A">
              <w:rPr>
                <w:iCs/>
                <w:sz w:val="20"/>
                <w:szCs w:val="20"/>
                <w:lang w:val="pl-PL"/>
              </w:rPr>
              <w:t>trwa</w:t>
            </w:r>
            <w:r w:rsidR="005E5C99">
              <w:rPr>
                <w:iCs/>
                <w:sz w:val="20"/>
                <w:szCs w:val="20"/>
                <w:lang w:val="pl-PL"/>
              </w:rPr>
              <w:t xml:space="preserve"> </w:t>
            </w:r>
            <w:r w:rsidRPr="00AB319A">
              <w:rPr>
                <w:iCs/>
                <w:sz w:val="20"/>
                <w:szCs w:val="20"/>
                <w:lang w:val="pl-PL"/>
              </w:rPr>
              <w:t>do</w:t>
            </w:r>
            <w:r w:rsidR="005E5C99">
              <w:rPr>
                <w:iCs/>
                <w:sz w:val="20"/>
                <w:szCs w:val="20"/>
                <w:lang w:val="pl-PL"/>
              </w:rPr>
              <w:t xml:space="preserve"> </w:t>
            </w:r>
            <w:r w:rsidRPr="00AB319A">
              <w:rPr>
                <w:iCs/>
                <w:sz w:val="20"/>
                <w:szCs w:val="20"/>
                <w:lang w:val="pl-PL"/>
              </w:rPr>
              <w:t>czasu</w:t>
            </w:r>
            <w:r w:rsidR="005E5C99">
              <w:rPr>
                <w:iCs/>
                <w:sz w:val="20"/>
                <w:szCs w:val="20"/>
                <w:lang w:val="pl-PL"/>
              </w:rPr>
              <w:t xml:space="preserve"> </w:t>
            </w:r>
            <w:r w:rsidRPr="00AB319A">
              <w:rPr>
                <w:iCs/>
                <w:sz w:val="20"/>
                <w:szCs w:val="20"/>
                <w:lang w:val="pl-PL"/>
              </w:rPr>
              <w:t>podjęcia</w:t>
            </w:r>
            <w:r w:rsidR="005E5C99">
              <w:rPr>
                <w:iCs/>
                <w:sz w:val="20"/>
                <w:szCs w:val="20"/>
                <w:lang w:val="pl-PL"/>
              </w:rPr>
              <w:t xml:space="preserve"> </w:t>
            </w:r>
            <w:r w:rsidRPr="00AB319A">
              <w:rPr>
                <w:iCs/>
                <w:sz w:val="20"/>
                <w:szCs w:val="20"/>
                <w:lang w:val="pl-PL"/>
              </w:rPr>
              <w:t>przez</w:t>
            </w:r>
            <w:r w:rsidR="005E5C99">
              <w:rPr>
                <w:iCs/>
                <w:sz w:val="20"/>
                <w:szCs w:val="20"/>
                <w:lang w:val="pl-PL"/>
              </w:rPr>
              <w:t xml:space="preserve"> </w:t>
            </w:r>
            <w:r w:rsidRPr="00AB319A">
              <w:rPr>
                <w:iCs/>
                <w:sz w:val="20"/>
                <w:szCs w:val="20"/>
                <w:lang w:val="pl-PL"/>
              </w:rPr>
              <w:t>lekarza</w:t>
            </w:r>
            <w:r w:rsidR="005E5C99">
              <w:rPr>
                <w:iCs/>
                <w:sz w:val="20"/>
                <w:szCs w:val="20"/>
                <w:lang w:val="pl-PL"/>
              </w:rPr>
              <w:t xml:space="preserve"> </w:t>
            </w:r>
            <w:r w:rsidRPr="00AB319A">
              <w:rPr>
                <w:iCs/>
                <w:sz w:val="20"/>
                <w:szCs w:val="20"/>
                <w:lang w:val="pl-PL"/>
              </w:rPr>
              <w:t>prowadzącego</w:t>
            </w:r>
            <w:r w:rsidR="005E5C99">
              <w:rPr>
                <w:iCs/>
                <w:sz w:val="20"/>
                <w:szCs w:val="20"/>
                <w:lang w:val="pl-PL"/>
              </w:rPr>
              <w:t xml:space="preserve"> </w:t>
            </w:r>
            <w:r w:rsidRPr="00AB319A">
              <w:rPr>
                <w:iCs/>
                <w:sz w:val="20"/>
                <w:szCs w:val="20"/>
                <w:lang w:val="pl-PL"/>
              </w:rPr>
              <w:t>decyzji</w:t>
            </w:r>
            <w:r w:rsidR="005E5C99">
              <w:rPr>
                <w:iCs/>
                <w:sz w:val="20"/>
                <w:szCs w:val="20"/>
                <w:lang w:val="pl-PL"/>
              </w:rPr>
              <w:t xml:space="preserve"> </w:t>
            </w:r>
            <w:r w:rsidRPr="00AB319A">
              <w:rPr>
                <w:iCs/>
                <w:sz w:val="20"/>
                <w:szCs w:val="20"/>
                <w:lang w:val="pl-PL"/>
              </w:rPr>
              <w:t>o</w:t>
            </w:r>
            <w:r w:rsidR="005E5C99">
              <w:rPr>
                <w:iCs/>
                <w:sz w:val="20"/>
                <w:szCs w:val="20"/>
                <w:lang w:val="pl-PL"/>
              </w:rPr>
              <w:t xml:space="preserve"> </w:t>
            </w:r>
            <w:r w:rsidRPr="00AB319A">
              <w:rPr>
                <w:iCs/>
                <w:sz w:val="20"/>
                <w:szCs w:val="20"/>
                <w:lang w:val="pl-PL"/>
              </w:rPr>
              <w:t>wyłączeniu</w:t>
            </w:r>
            <w:r w:rsidR="005E5C99">
              <w:rPr>
                <w:iCs/>
                <w:sz w:val="20"/>
                <w:szCs w:val="20"/>
                <w:lang w:val="pl-PL"/>
              </w:rPr>
              <w:t xml:space="preserve"> </w:t>
            </w:r>
            <w:r w:rsidRPr="00AB319A">
              <w:rPr>
                <w:iCs/>
                <w:sz w:val="20"/>
                <w:szCs w:val="20"/>
                <w:lang w:val="pl-PL"/>
              </w:rPr>
              <w:t>pacjenta</w:t>
            </w:r>
            <w:r w:rsidR="005E5C99">
              <w:rPr>
                <w:iCs/>
                <w:sz w:val="20"/>
                <w:szCs w:val="20"/>
                <w:lang w:val="pl-PL"/>
              </w:rPr>
              <w:t xml:space="preserve"> </w:t>
            </w:r>
            <w:r w:rsidRPr="00AB319A">
              <w:rPr>
                <w:iCs/>
                <w:sz w:val="20"/>
                <w:szCs w:val="20"/>
                <w:lang w:val="pl-PL"/>
              </w:rPr>
              <w:t>z</w:t>
            </w:r>
            <w:r w:rsidR="005E5C99">
              <w:rPr>
                <w:iCs/>
                <w:sz w:val="20"/>
                <w:szCs w:val="20"/>
                <w:lang w:val="pl-PL"/>
              </w:rPr>
              <w:t xml:space="preserve"> </w:t>
            </w:r>
            <w:r w:rsidRPr="00AB319A">
              <w:rPr>
                <w:iCs/>
                <w:sz w:val="20"/>
                <w:szCs w:val="20"/>
                <w:lang w:val="pl-PL"/>
              </w:rPr>
              <w:t>programu,</w:t>
            </w:r>
            <w:r w:rsidR="005E5C99">
              <w:rPr>
                <w:iCs/>
                <w:sz w:val="20"/>
                <w:szCs w:val="20"/>
                <w:lang w:val="pl-PL"/>
              </w:rPr>
              <w:t xml:space="preserve"> </w:t>
            </w:r>
            <w:r w:rsidRPr="00AB319A">
              <w:rPr>
                <w:iCs/>
                <w:sz w:val="20"/>
                <w:szCs w:val="20"/>
                <w:lang w:val="pl-PL"/>
              </w:rPr>
              <w:t>zgodnie</w:t>
            </w:r>
            <w:r w:rsidR="005E5C99">
              <w:rPr>
                <w:iCs/>
                <w:sz w:val="20"/>
                <w:szCs w:val="20"/>
                <w:lang w:val="pl-PL"/>
              </w:rPr>
              <w:t xml:space="preserve"> </w:t>
            </w:r>
            <w:r w:rsidRPr="00AB319A">
              <w:rPr>
                <w:iCs/>
                <w:sz w:val="20"/>
                <w:szCs w:val="20"/>
                <w:lang w:val="pl-PL"/>
              </w:rPr>
              <w:t>z</w:t>
            </w:r>
            <w:r w:rsidR="005E5C99">
              <w:rPr>
                <w:iCs/>
                <w:sz w:val="20"/>
                <w:szCs w:val="20"/>
                <w:lang w:val="pl-PL"/>
              </w:rPr>
              <w:t xml:space="preserve"> </w:t>
            </w:r>
            <w:r w:rsidRPr="00AB319A">
              <w:rPr>
                <w:iCs/>
                <w:sz w:val="20"/>
                <w:szCs w:val="20"/>
                <w:lang w:val="pl-PL"/>
              </w:rPr>
              <w:t>kryteriami</w:t>
            </w:r>
            <w:r w:rsidR="005E5C99">
              <w:rPr>
                <w:iCs/>
                <w:sz w:val="20"/>
                <w:szCs w:val="20"/>
                <w:lang w:val="pl-PL"/>
              </w:rPr>
              <w:t xml:space="preserve"> </w:t>
            </w:r>
            <w:r w:rsidRPr="00AB319A">
              <w:rPr>
                <w:iCs/>
                <w:sz w:val="20"/>
                <w:szCs w:val="20"/>
                <w:lang w:val="pl-PL"/>
              </w:rPr>
              <w:t>wyłączenia</w:t>
            </w:r>
            <w:r w:rsidR="005E5C99">
              <w:rPr>
                <w:iCs/>
                <w:sz w:val="20"/>
                <w:szCs w:val="20"/>
                <w:lang w:val="pl-PL"/>
              </w:rPr>
              <w:t xml:space="preserve"> </w:t>
            </w:r>
            <w:r w:rsidRPr="00AB319A">
              <w:rPr>
                <w:iCs/>
                <w:sz w:val="20"/>
                <w:szCs w:val="20"/>
                <w:lang w:val="pl-PL"/>
              </w:rPr>
              <w:t>z</w:t>
            </w:r>
            <w:r w:rsidR="005E5C99">
              <w:rPr>
                <w:iCs/>
                <w:sz w:val="20"/>
                <w:szCs w:val="20"/>
                <w:lang w:val="pl-PL"/>
              </w:rPr>
              <w:t xml:space="preserve"> </w:t>
            </w:r>
            <w:r w:rsidRPr="00AB319A">
              <w:rPr>
                <w:iCs/>
                <w:sz w:val="20"/>
                <w:szCs w:val="20"/>
                <w:lang w:val="pl-PL"/>
              </w:rPr>
              <w:t>programu</w:t>
            </w:r>
            <w:r w:rsidR="005E5C99">
              <w:rPr>
                <w:iCs/>
                <w:sz w:val="20"/>
                <w:szCs w:val="20"/>
                <w:lang w:val="pl-PL"/>
              </w:rPr>
              <w:t xml:space="preserve"> </w:t>
            </w:r>
            <w:r w:rsidRPr="00AB319A">
              <w:rPr>
                <w:iCs/>
                <w:sz w:val="20"/>
                <w:szCs w:val="20"/>
                <w:lang w:val="pl-PL"/>
              </w:rPr>
              <w:t>określonymi</w:t>
            </w:r>
            <w:r w:rsidR="005E5C99">
              <w:rPr>
                <w:iCs/>
                <w:sz w:val="20"/>
                <w:szCs w:val="20"/>
                <w:lang w:val="pl-PL"/>
              </w:rPr>
              <w:t xml:space="preserve"> </w:t>
            </w:r>
            <w:r w:rsidRPr="00AB319A">
              <w:rPr>
                <w:iCs/>
                <w:sz w:val="20"/>
                <w:szCs w:val="20"/>
                <w:lang w:val="pl-PL"/>
              </w:rPr>
              <w:t>w</w:t>
            </w:r>
            <w:r w:rsidR="005E5C99">
              <w:rPr>
                <w:iCs/>
                <w:sz w:val="20"/>
                <w:szCs w:val="20"/>
                <w:lang w:val="pl-PL"/>
              </w:rPr>
              <w:t xml:space="preserve"> </w:t>
            </w:r>
            <w:r w:rsidRPr="00AB319A">
              <w:rPr>
                <w:iCs/>
                <w:sz w:val="20"/>
                <w:szCs w:val="20"/>
                <w:lang w:val="pl-PL"/>
              </w:rPr>
              <w:t>punkcie</w:t>
            </w:r>
            <w:r w:rsidR="005E5C99">
              <w:rPr>
                <w:iCs/>
                <w:sz w:val="20"/>
                <w:szCs w:val="20"/>
                <w:lang w:val="pl-PL"/>
              </w:rPr>
              <w:t xml:space="preserve"> </w:t>
            </w:r>
            <w:r w:rsidRPr="00AB319A">
              <w:rPr>
                <w:iCs/>
                <w:sz w:val="20"/>
                <w:szCs w:val="20"/>
                <w:lang w:val="pl-PL"/>
              </w:rPr>
              <w:t>3.</w:t>
            </w:r>
          </w:p>
          <w:p w14:paraId="19DA896F" w14:textId="7BF444DA" w:rsidR="00DC1948" w:rsidRDefault="00DC1948" w:rsidP="006A70AF">
            <w:pPr>
              <w:pStyle w:val="Tekstpodstawowy"/>
              <w:spacing w:after="60" w:line="276" w:lineRule="auto"/>
              <w:rPr>
                <w:iCs/>
                <w:sz w:val="20"/>
                <w:szCs w:val="20"/>
                <w:lang w:val="pl-PL"/>
              </w:rPr>
            </w:pPr>
            <w:r>
              <w:rPr>
                <w:iCs/>
                <w:sz w:val="20"/>
                <w:szCs w:val="20"/>
                <w:lang w:val="pl-PL"/>
              </w:rPr>
              <w:t>W przypadku leczenia rytuksymabem czas terapii nie powinien być dłuższy niż 4 tygodnie.</w:t>
            </w:r>
          </w:p>
          <w:p w14:paraId="1ADBE68E" w14:textId="24867262" w:rsidR="006B10AF" w:rsidRPr="00AB319A" w:rsidRDefault="00DC1948" w:rsidP="006A70AF">
            <w:pPr>
              <w:pStyle w:val="Tekstpodstawowy"/>
              <w:spacing w:after="60" w:line="276" w:lineRule="auto"/>
              <w:rPr>
                <w:iCs/>
                <w:sz w:val="20"/>
                <w:szCs w:val="20"/>
                <w:lang w:val="pl-PL"/>
              </w:rPr>
            </w:pPr>
            <w:r w:rsidRPr="006A70AF">
              <w:rPr>
                <w:iCs/>
                <w:sz w:val="20"/>
                <w:szCs w:val="20"/>
                <w:lang w:val="pl-PL"/>
              </w:rPr>
              <w:t>Obserwacja pacjenta i ocena odpowiedzi na leczenie jest prowadzona przez cały czas utrzymywania się odpowiedzi płytkowej lub co najmniej przez 8 tygodni od podania pierwszej dawki leku w przypadku braku odpowiedzi na leczenie.</w:t>
            </w:r>
            <w:r w:rsidR="005E5C99">
              <w:rPr>
                <w:iCs/>
                <w:sz w:val="20"/>
                <w:szCs w:val="20"/>
                <w:lang w:val="pl-PL"/>
              </w:rPr>
              <w:t xml:space="preserve"> </w:t>
            </w:r>
          </w:p>
          <w:p w14:paraId="01288B2A" w14:textId="77777777" w:rsidR="006B10AF" w:rsidRPr="00AB319A" w:rsidRDefault="006B10AF" w:rsidP="006A70AF">
            <w:pPr>
              <w:pStyle w:val="Tekstpodstawowy"/>
              <w:spacing w:after="60" w:line="276" w:lineRule="auto"/>
              <w:rPr>
                <w:iCs/>
                <w:sz w:val="20"/>
                <w:szCs w:val="20"/>
                <w:lang w:val="pl-PL"/>
              </w:rPr>
            </w:pPr>
          </w:p>
          <w:p w14:paraId="0B6F78DE" w14:textId="4CC3BCE6" w:rsidR="006B10AF" w:rsidRPr="00AB319A" w:rsidRDefault="006B10AF" w:rsidP="006A70AF">
            <w:pPr>
              <w:pStyle w:val="Akapitzlist"/>
              <w:numPr>
                <w:ilvl w:val="0"/>
                <w:numId w:val="7"/>
              </w:numPr>
              <w:spacing w:after="60"/>
              <w:contextualSpacing w:val="0"/>
              <w:jc w:val="both"/>
              <w:rPr>
                <w:rFonts w:ascii="Times New Roman" w:eastAsia="Times New Roman" w:hAnsi="Times New Roman" w:cs="Times New Roman"/>
                <w:b/>
                <w:sz w:val="20"/>
                <w:szCs w:val="20"/>
                <w:lang w:eastAsia="pl-PL"/>
              </w:rPr>
            </w:pPr>
            <w:r w:rsidRPr="00AB319A">
              <w:rPr>
                <w:rFonts w:ascii="Times New Roman" w:eastAsia="Times New Roman" w:hAnsi="Times New Roman" w:cs="Times New Roman"/>
                <w:b/>
                <w:sz w:val="20"/>
                <w:szCs w:val="20"/>
                <w:lang w:eastAsia="pl-PL"/>
              </w:rPr>
              <w:lastRenderedPageBreak/>
              <w:t>Kryteria</w:t>
            </w:r>
            <w:r w:rsidR="005E5C99">
              <w:rPr>
                <w:rFonts w:ascii="Times New Roman" w:eastAsia="Times New Roman" w:hAnsi="Times New Roman" w:cs="Times New Roman"/>
                <w:b/>
                <w:sz w:val="20"/>
                <w:szCs w:val="20"/>
                <w:lang w:eastAsia="pl-PL"/>
              </w:rPr>
              <w:t xml:space="preserve"> </w:t>
            </w:r>
            <w:r w:rsidRPr="00AB319A">
              <w:rPr>
                <w:rFonts w:ascii="Times New Roman" w:eastAsia="Times New Roman" w:hAnsi="Times New Roman" w:cs="Times New Roman"/>
                <w:b/>
                <w:sz w:val="20"/>
                <w:szCs w:val="20"/>
                <w:lang w:eastAsia="pl-PL"/>
              </w:rPr>
              <w:t>wyłączenia</w:t>
            </w:r>
            <w:r w:rsidR="005E5C99">
              <w:rPr>
                <w:rFonts w:ascii="Times New Roman" w:eastAsia="Times New Roman" w:hAnsi="Times New Roman" w:cs="Times New Roman"/>
                <w:b/>
                <w:sz w:val="20"/>
                <w:szCs w:val="20"/>
                <w:lang w:eastAsia="pl-PL"/>
              </w:rPr>
              <w:t xml:space="preserve"> </w:t>
            </w:r>
            <w:r w:rsidRPr="00AB319A">
              <w:rPr>
                <w:rFonts w:ascii="Times New Roman" w:eastAsia="Times New Roman" w:hAnsi="Times New Roman" w:cs="Times New Roman"/>
                <w:b/>
                <w:sz w:val="20"/>
                <w:szCs w:val="20"/>
                <w:lang w:eastAsia="pl-PL"/>
              </w:rPr>
              <w:t>z</w:t>
            </w:r>
            <w:r w:rsidR="005E5C99">
              <w:rPr>
                <w:rFonts w:ascii="Times New Roman" w:eastAsia="Times New Roman" w:hAnsi="Times New Roman" w:cs="Times New Roman"/>
                <w:b/>
                <w:sz w:val="20"/>
                <w:szCs w:val="20"/>
                <w:lang w:eastAsia="pl-PL"/>
              </w:rPr>
              <w:t xml:space="preserve"> </w:t>
            </w:r>
            <w:r w:rsidRPr="00AB319A">
              <w:rPr>
                <w:rFonts w:ascii="Times New Roman" w:eastAsia="Times New Roman" w:hAnsi="Times New Roman" w:cs="Times New Roman"/>
                <w:b/>
                <w:sz w:val="20"/>
                <w:szCs w:val="20"/>
                <w:lang w:eastAsia="pl-PL"/>
              </w:rPr>
              <w:t>programu</w:t>
            </w:r>
          </w:p>
          <w:p w14:paraId="1B953A18" w14:textId="65024F36" w:rsidR="006B10AF" w:rsidRPr="00FE7472" w:rsidRDefault="006B10AF" w:rsidP="006A70AF">
            <w:pPr>
              <w:pStyle w:val="Akapitzlist"/>
              <w:numPr>
                <w:ilvl w:val="3"/>
                <w:numId w:val="7"/>
              </w:numPr>
              <w:spacing w:after="60"/>
              <w:contextualSpacing w:val="0"/>
              <w:jc w:val="both"/>
              <w:rPr>
                <w:rFonts w:ascii="Times New Roman" w:eastAsia="Times New Roman" w:hAnsi="Times New Roman"/>
                <w:sz w:val="20"/>
                <w:szCs w:val="20"/>
                <w:lang w:eastAsia="pl-PL"/>
              </w:rPr>
            </w:pPr>
            <w:r w:rsidRPr="00AB319A">
              <w:rPr>
                <w:rFonts w:ascii="Times New Roman" w:hAnsi="Times New Roman" w:cs="Times New Roman"/>
                <w:iCs/>
                <w:sz w:val="20"/>
                <w:szCs w:val="20"/>
              </w:rPr>
              <w:t>nadwrażliwość</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na</w:t>
            </w:r>
            <w:r w:rsidR="00EC22AF">
              <w:rPr>
                <w:rFonts w:ascii="Times New Roman" w:hAnsi="Times New Roman" w:cs="Times New Roman"/>
                <w:iCs/>
                <w:sz w:val="20"/>
                <w:szCs w:val="20"/>
              </w:rPr>
              <w:t xml:space="preserve"> </w:t>
            </w:r>
            <w:r w:rsidRPr="00FE7472">
              <w:rPr>
                <w:rFonts w:ascii="Times New Roman" w:hAnsi="Times New Roman"/>
                <w:iCs/>
                <w:sz w:val="20"/>
                <w:szCs w:val="20"/>
              </w:rPr>
              <w:t>substancję</w:t>
            </w:r>
            <w:r w:rsidR="005E5C99" w:rsidRPr="00FE7472">
              <w:rPr>
                <w:rFonts w:ascii="Times New Roman" w:hAnsi="Times New Roman"/>
                <w:iCs/>
                <w:sz w:val="20"/>
                <w:szCs w:val="20"/>
              </w:rPr>
              <w:t xml:space="preserve"> </w:t>
            </w:r>
            <w:r w:rsidRPr="00FE7472">
              <w:rPr>
                <w:rFonts w:ascii="Times New Roman" w:hAnsi="Times New Roman"/>
                <w:iCs/>
                <w:sz w:val="20"/>
                <w:szCs w:val="20"/>
              </w:rPr>
              <w:t>czynną</w:t>
            </w:r>
            <w:r w:rsidR="005E5C99" w:rsidRPr="00FE7472">
              <w:rPr>
                <w:rFonts w:ascii="Times New Roman" w:hAnsi="Times New Roman"/>
                <w:iCs/>
                <w:sz w:val="20"/>
                <w:szCs w:val="20"/>
              </w:rPr>
              <w:t xml:space="preserve"> </w:t>
            </w:r>
            <w:r w:rsidRPr="00FE7472">
              <w:rPr>
                <w:rFonts w:ascii="Times New Roman" w:hAnsi="Times New Roman"/>
                <w:iCs/>
                <w:sz w:val="20"/>
                <w:szCs w:val="20"/>
              </w:rPr>
              <w:t>lub</w:t>
            </w:r>
            <w:r w:rsidR="005E5C99" w:rsidRPr="00FE7472">
              <w:rPr>
                <w:rFonts w:ascii="Times New Roman" w:hAnsi="Times New Roman"/>
                <w:iCs/>
                <w:sz w:val="20"/>
                <w:szCs w:val="20"/>
              </w:rPr>
              <w:t xml:space="preserve"> </w:t>
            </w:r>
            <w:r w:rsidRPr="00FE7472">
              <w:rPr>
                <w:rFonts w:ascii="Times New Roman" w:hAnsi="Times New Roman"/>
                <w:iCs/>
                <w:sz w:val="20"/>
                <w:szCs w:val="20"/>
              </w:rPr>
              <w:t>którąkolwiek</w:t>
            </w:r>
            <w:r w:rsidR="005E5C99" w:rsidRPr="00FE7472">
              <w:rPr>
                <w:rFonts w:ascii="Times New Roman" w:hAnsi="Times New Roman"/>
                <w:iCs/>
                <w:sz w:val="20"/>
                <w:szCs w:val="20"/>
              </w:rPr>
              <w:t xml:space="preserve"> </w:t>
            </w:r>
            <w:r w:rsidRPr="00FE7472">
              <w:rPr>
                <w:rFonts w:ascii="Times New Roman" w:hAnsi="Times New Roman"/>
                <w:iCs/>
                <w:sz w:val="20"/>
                <w:szCs w:val="20"/>
              </w:rPr>
              <w:t>substancję</w:t>
            </w:r>
            <w:r w:rsidR="005E5C99" w:rsidRPr="00FE7472">
              <w:rPr>
                <w:rFonts w:ascii="Times New Roman" w:hAnsi="Times New Roman"/>
                <w:iCs/>
                <w:sz w:val="20"/>
                <w:szCs w:val="20"/>
              </w:rPr>
              <w:t xml:space="preserve"> </w:t>
            </w:r>
            <w:r w:rsidRPr="00FE7472">
              <w:rPr>
                <w:rFonts w:ascii="Times New Roman" w:hAnsi="Times New Roman"/>
                <w:iCs/>
                <w:sz w:val="20"/>
                <w:szCs w:val="20"/>
              </w:rPr>
              <w:t>pomocniczą</w:t>
            </w:r>
            <w:r w:rsidR="00EC22AF" w:rsidRPr="00FE7472">
              <w:rPr>
                <w:rFonts w:ascii="Times New Roman" w:hAnsi="Times New Roman"/>
                <w:iCs/>
                <w:sz w:val="20"/>
                <w:szCs w:val="20"/>
              </w:rPr>
              <w:t>;</w:t>
            </w:r>
          </w:p>
          <w:p w14:paraId="77D0F87A" w14:textId="6DBD7FED" w:rsidR="006B10AF" w:rsidRPr="00AB319A" w:rsidRDefault="006B10AF" w:rsidP="006A70AF">
            <w:pPr>
              <w:pStyle w:val="Akapitzlist"/>
              <w:numPr>
                <w:ilvl w:val="3"/>
                <w:numId w:val="7"/>
              </w:numPr>
              <w:spacing w:after="60"/>
              <w:contextualSpacing w:val="0"/>
              <w:jc w:val="both"/>
              <w:rPr>
                <w:rFonts w:ascii="Times New Roman" w:eastAsia="Times New Roman" w:hAnsi="Times New Roman" w:cs="Times New Roman"/>
                <w:sz w:val="20"/>
                <w:szCs w:val="20"/>
                <w:lang w:eastAsia="pl-PL"/>
              </w:rPr>
            </w:pPr>
            <w:r w:rsidRPr="00AB319A">
              <w:rPr>
                <w:rFonts w:ascii="Times New Roman" w:hAnsi="Times New Roman" w:cs="Times New Roman"/>
                <w:iCs/>
                <w:sz w:val="20"/>
                <w:szCs w:val="20"/>
              </w:rPr>
              <w:t>zaburzenia</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czynności</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wątroby:</w:t>
            </w:r>
          </w:p>
          <w:p w14:paraId="26D95150" w14:textId="11FA6D6C" w:rsidR="006B10AF" w:rsidRPr="00AB319A" w:rsidRDefault="006B10AF" w:rsidP="006A70AF">
            <w:pPr>
              <w:pStyle w:val="Akapitzlist"/>
              <w:numPr>
                <w:ilvl w:val="5"/>
                <w:numId w:val="7"/>
              </w:numPr>
              <w:spacing w:after="60"/>
              <w:contextualSpacing w:val="0"/>
              <w:jc w:val="both"/>
              <w:rPr>
                <w:rFonts w:ascii="Times New Roman" w:hAnsi="Times New Roman" w:cs="Times New Roman"/>
                <w:iCs/>
                <w:sz w:val="20"/>
                <w:szCs w:val="20"/>
              </w:rPr>
            </w:pPr>
            <w:r w:rsidRPr="00AB319A">
              <w:rPr>
                <w:rFonts w:ascii="Times New Roman" w:hAnsi="Times New Roman" w:cs="Times New Roman"/>
                <w:iCs/>
                <w:sz w:val="20"/>
                <w:szCs w:val="20"/>
              </w:rPr>
              <w:t>wynik</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w</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skali</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Child-Pugh</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5</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dotyczy</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leczenia</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eltrombopagiem</w:t>
            </w:r>
            <w:r w:rsidR="00041DA8">
              <w:rPr>
                <w:rFonts w:ascii="Times New Roman" w:hAnsi="Times New Roman" w:cs="Times New Roman"/>
                <w:iCs/>
                <w:sz w:val="20"/>
                <w:szCs w:val="20"/>
              </w:rPr>
              <w:t>,</w:t>
            </w:r>
          </w:p>
          <w:p w14:paraId="7A11409A" w14:textId="0C7EB8F1" w:rsidR="006B10AF" w:rsidRPr="00AB319A" w:rsidRDefault="006B10AF" w:rsidP="006A70AF">
            <w:pPr>
              <w:pStyle w:val="Akapitzlist"/>
              <w:numPr>
                <w:ilvl w:val="5"/>
                <w:numId w:val="7"/>
              </w:numPr>
              <w:spacing w:after="60"/>
              <w:contextualSpacing w:val="0"/>
              <w:jc w:val="both"/>
              <w:rPr>
                <w:rFonts w:ascii="Times New Roman" w:eastAsia="Times New Roman" w:hAnsi="Times New Roman" w:cs="Times New Roman"/>
                <w:sz w:val="20"/>
                <w:szCs w:val="20"/>
                <w:lang w:eastAsia="pl-PL"/>
              </w:rPr>
            </w:pPr>
            <w:r w:rsidRPr="00AB319A">
              <w:rPr>
                <w:rFonts w:ascii="Times New Roman" w:eastAsia="Times New Roman" w:hAnsi="Times New Roman" w:cs="Times New Roman"/>
                <w:sz w:val="20"/>
                <w:szCs w:val="20"/>
                <w:lang w:eastAsia="pl-PL"/>
              </w:rPr>
              <w:t>wynik</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w</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skali</w:t>
            </w:r>
            <w:r w:rsidR="005E5C99">
              <w:rPr>
                <w:rFonts w:ascii="Times New Roman" w:eastAsia="Times New Roman" w:hAnsi="Times New Roman" w:cs="Times New Roman"/>
                <w:sz w:val="20"/>
                <w:szCs w:val="20"/>
                <w:lang w:eastAsia="pl-PL"/>
              </w:rPr>
              <w:t xml:space="preserve"> </w:t>
            </w:r>
            <w:r w:rsidRPr="00AB319A">
              <w:rPr>
                <w:rFonts w:ascii="Times New Roman" w:hAnsi="Times New Roman" w:cs="Times New Roman"/>
                <w:iCs/>
                <w:sz w:val="20"/>
                <w:szCs w:val="20"/>
              </w:rPr>
              <w:t>Child-Pugh</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7</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dotyczy</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leczenia</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romiplostymem;</w:t>
            </w:r>
          </w:p>
          <w:p w14:paraId="02E84C49" w14:textId="2BBD62A8" w:rsidR="006B10AF" w:rsidRPr="00AB319A" w:rsidRDefault="006B10AF" w:rsidP="006A70AF">
            <w:pPr>
              <w:pStyle w:val="Akapitzlist"/>
              <w:numPr>
                <w:ilvl w:val="3"/>
                <w:numId w:val="7"/>
              </w:numPr>
              <w:spacing w:after="60"/>
              <w:contextualSpacing w:val="0"/>
              <w:jc w:val="both"/>
              <w:rPr>
                <w:rFonts w:ascii="Times New Roman" w:eastAsia="Times New Roman" w:hAnsi="Times New Roman" w:cs="Times New Roman"/>
                <w:sz w:val="20"/>
                <w:szCs w:val="20"/>
                <w:lang w:eastAsia="pl-PL"/>
              </w:rPr>
            </w:pPr>
            <w:r w:rsidRPr="00AB319A">
              <w:rPr>
                <w:rFonts w:ascii="Times New Roman" w:hAnsi="Times New Roman" w:cs="Times New Roman"/>
                <w:sz w:val="20"/>
                <w:szCs w:val="20"/>
              </w:rPr>
              <w:t>wyłącznie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przypadku</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leczenia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eltrombopagiem:</w:t>
            </w:r>
          </w:p>
          <w:p w14:paraId="24C33535" w14:textId="5B2168E4" w:rsidR="006B10AF" w:rsidRPr="00AB319A" w:rsidRDefault="006B10AF" w:rsidP="006A70AF">
            <w:pPr>
              <w:pStyle w:val="Akapitzlist"/>
              <w:spacing w:after="60"/>
              <w:ind w:left="454"/>
              <w:contextualSpacing w:val="0"/>
              <w:jc w:val="both"/>
              <w:rPr>
                <w:rFonts w:ascii="Times New Roman" w:eastAsia="Times New Roman" w:hAnsi="Times New Roman" w:cs="Times New Roman"/>
                <w:sz w:val="20"/>
                <w:szCs w:val="20"/>
                <w:lang w:eastAsia="pl-PL"/>
              </w:rPr>
            </w:pPr>
            <w:r w:rsidRPr="00AB319A">
              <w:rPr>
                <w:rFonts w:ascii="Times New Roman" w:hAnsi="Times New Roman" w:cs="Times New Roman"/>
                <w:sz w:val="20"/>
                <w:szCs w:val="20"/>
              </w:rPr>
              <w:t>istotne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zwiększenie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się</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aktywności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AlAT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(powyżej</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trzykrotności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górnej</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granicy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normy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dla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lokalnego</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laboratorium)</w:t>
            </w:r>
            <w:r w:rsidR="005E5C99">
              <w:rPr>
                <w:rFonts w:ascii="Times New Roman" w:hAnsi="Times New Roman" w:cs="Times New Roman"/>
                <w:i/>
                <w:sz w:val="20"/>
                <w:szCs w:val="20"/>
              </w:rPr>
              <w:t xml:space="preserve"> </w:t>
            </w:r>
            <w:r w:rsidRPr="00AB319A">
              <w:rPr>
                <w:rFonts w:ascii="Times New Roman" w:hAnsi="Times New Roman" w:cs="Times New Roman"/>
                <w:sz w:val="20"/>
                <w:szCs w:val="20"/>
              </w:rPr>
              <w:t>w</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przypadkach,</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gdy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przekroczenie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normy:</w:t>
            </w:r>
          </w:p>
          <w:p w14:paraId="6FDCFDEE" w14:textId="45F7E0BB" w:rsidR="006B10AF" w:rsidRPr="00AB319A" w:rsidRDefault="006B10AF" w:rsidP="006A70AF">
            <w:pPr>
              <w:pStyle w:val="Akapitzlist"/>
              <w:numPr>
                <w:ilvl w:val="4"/>
                <w:numId w:val="7"/>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będzie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narastać,</w:t>
            </w:r>
          </w:p>
          <w:p w14:paraId="0C0695D7" w14:textId="77777777" w:rsidR="006B10AF" w:rsidRPr="00AB319A" w:rsidRDefault="006B10AF" w:rsidP="006A70AF">
            <w:pPr>
              <w:pStyle w:val="Akapitzlist"/>
              <w:spacing w:after="60"/>
              <w:ind w:left="454"/>
              <w:contextualSpacing w:val="0"/>
              <w:jc w:val="both"/>
              <w:rPr>
                <w:rFonts w:ascii="Times New Roman" w:hAnsi="Times New Roman" w:cs="Times New Roman"/>
                <w:sz w:val="20"/>
                <w:szCs w:val="20"/>
              </w:rPr>
            </w:pPr>
            <w:r w:rsidRPr="00AB319A">
              <w:rPr>
                <w:rFonts w:ascii="Times New Roman" w:hAnsi="Times New Roman" w:cs="Times New Roman"/>
                <w:sz w:val="20"/>
                <w:szCs w:val="20"/>
              </w:rPr>
              <w:t>albo</w:t>
            </w:r>
          </w:p>
          <w:p w14:paraId="73AF0EAD" w14:textId="24A5B9BD" w:rsidR="006B10AF" w:rsidRPr="00AB319A" w:rsidRDefault="006B10AF" w:rsidP="006A70AF">
            <w:pPr>
              <w:pStyle w:val="Akapitzlist"/>
              <w:numPr>
                <w:ilvl w:val="4"/>
                <w:numId w:val="7"/>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będzie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utrzymywać</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się</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4</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tygodni,</w:t>
            </w:r>
          </w:p>
          <w:p w14:paraId="1DD2FE2F" w14:textId="77777777" w:rsidR="006B10AF" w:rsidRPr="00AB319A" w:rsidRDefault="006B10AF" w:rsidP="006A70AF">
            <w:pPr>
              <w:pStyle w:val="Akapitzlist"/>
              <w:spacing w:after="60"/>
              <w:ind w:left="454"/>
              <w:contextualSpacing w:val="0"/>
              <w:jc w:val="both"/>
              <w:rPr>
                <w:rFonts w:ascii="Times New Roman" w:hAnsi="Times New Roman" w:cs="Times New Roman"/>
                <w:sz w:val="20"/>
                <w:szCs w:val="20"/>
              </w:rPr>
            </w:pPr>
            <w:r w:rsidRPr="00AB319A">
              <w:rPr>
                <w:rFonts w:ascii="Times New Roman" w:hAnsi="Times New Roman" w:cs="Times New Roman"/>
                <w:sz w:val="20"/>
                <w:szCs w:val="20"/>
              </w:rPr>
              <w:t>albo</w:t>
            </w:r>
          </w:p>
          <w:p w14:paraId="426E03F3" w14:textId="1271D314" w:rsidR="006B10AF" w:rsidRPr="00AB319A" w:rsidRDefault="006B10AF" w:rsidP="006A70AF">
            <w:pPr>
              <w:pStyle w:val="Akapitzlist"/>
              <w:numPr>
                <w:ilvl w:val="4"/>
                <w:numId w:val="7"/>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będzie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związane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zwiększeniem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stężenia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bilirubiny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bezpośredniej,</w:t>
            </w:r>
          </w:p>
          <w:p w14:paraId="119A67EF" w14:textId="77777777" w:rsidR="006B10AF" w:rsidRPr="00AB319A" w:rsidRDefault="006B10AF" w:rsidP="006A70AF">
            <w:pPr>
              <w:pStyle w:val="Akapitzlist"/>
              <w:spacing w:after="60"/>
              <w:ind w:left="454"/>
              <w:contextualSpacing w:val="0"/>
              <w:jc w:val="both"/>
              <w:rPr>
                <w:rFonts w:ascii="Times New Roman" w:hAnsi="Times New Roman" w:cs="Times New Roman"/>
                <w:sz w:val="20"/>
                <w:szCs w:val="20"/>
              </w:rPr>
            </w:pPr>
            <w:r w:rsidRPr="00AB319A">
              <w:rPr>
                <w:rFonts w:ascii="Times New Roman" w:hAnsi="Times New Roman" w:cs="Times New Roman"/>
                <w:sz w:val="20"/>
                <w:szCs w:val="20"/>
              </w:rPr>
              <w:t>albo</w:t>
            </w:r>
          </w:p>
          <w:p w14:paraId="6B91E974" w14:textId="6BC55049" w:rsidR="006B10AF" w:rsidRPr="00AB319A" w:rsidRDefault="006B10AF" w:rsidP="006A70AF">
            <w:pPr>
              <w:pStyle w:val="Akapitzlist"/>
              <w:numPr>
                <w:ilvl w:val="4"/>
                <w:numId w:val="7"/>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będzie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związane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objawami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klinicznymi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uszkodzenia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wątroby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lub</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objawami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dekompensacji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wątroby;</w:t>
            </w:r>
          </w:p>
          <w:p w14:paraId="7B1405DB" w14:textId="4640335E" w:rsidR="006B10AF" w:rsidRPr="00AB319A" w:rsidRDefault="00EC22AF" w:rsidP="006A70AF">
            <w:pPr>
              <w:pStyle w:val="Akapitzlist"/>
              <w:numPr>
                <w:ilvl w:val="3"/>
                <w:numId w:val="7"/>
              </w:numPr>
              <w:spacing w:after="60"/>
              <w:contextualSpacing w:val="0"/>
              <w:jc w:val="both"/>
              <w:rPr>
                <w:rFonts w:ascii="Times New Roman" w:eastAsia="Times New Roman" w:hAnsi="Times New Roman" w:cs="Times New Roman"/>
                <w:sz w:val="20"/>
                <w:szCs w:val="20"/>
                <w:lang w:eastAsia="pl-PL"/>
              </w:rPr>
            </w:pPr>
            <w:r>
              <w:rPr>
                <w:rFonts w:ascii="Times New Roman" w:hAnsi="Times New Roman" w:cs="Times New Roman"/>
                <w:sz w:val="20"/>
                <w:szCs w:val="20"/>
              </w:rPr>
              <w:t>okres ciąży lub karmienia piersią;</w:t>
            </w:r>
          </w:p>
          <w:p w14:paraId="4A31A04A" w14:textId="0659A641" w:rsidR="006B10AF" w:rsidRPr="00AB319A" w:rsidRDefault="006B10AF" w:rsidP="006A70AF">
            <w:pPr>
              <w:pStyle w:val="Akapitzlist"/>
              <w:numPr>
                <w:ilvl w:val="3"/>
                <w:numId w:val="7"/>
              </w:numPr>
              <w:spacing w:after="60"/>
              <w:contextualSpacing w:val="0"/>
              <w:jc w:val="both"/>
              <w:rPr>
                <w:rFonts w:ascii="Times New Roman" w:hAnsi="Times New Roman" w:cs="Times New Roman"/>
                <w:iCs/>
                <w:sz w:val="20"/>
                <w:szCs w:val="20"/>
              </w:rPr>
            </w:pPr>
            <w:r w:rsidRPr="00AB319A">
              <w:rPr>
                <w:rFonts w:ascii="Times New Roman" w:hAnsi="Times New Roman" w:cs="Times New Roman"/>
                <w:iCs/>
                <w:sz w:val="20"/>
                <w:szCs w:val="20"/>
              </w:rPr>
              <w:t>brak</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odpowiedzi</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na</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leczenie:</w:t>
            </w:r>
          </w:p>
          <w:p w14:paraId="6CDF08ED" w14:textId="04D34973" w:rsidR="006B10AF" w:rsidRPr="00AB319A" w:rsidRDefault="006B10AF" w:rsidP="006A70AF">
            <w:pPr>
              <w:pStyle w:val="Akapitzlist"/>
              <w:numPr>
                <w:ilvl w:val="5"/>
                <w:numId w:val="7"/>
              </w:numPr>
              <w:spacing w:after="60"/>
              <w:contextualSpacing w:val="0"/>
              <w:jc w:val="both"/>
              <w:rPr>
                <w:rFonts w:ascii="Times New Roman" w:hAnsi="Times New Roman" w:cs="Times New Roman"/>
                <w:iCs/>
                <w:sz w:val="20"/>
                <w:szCs w:val="20"/>
              </w:rPr>
            </w:pPr>
            <w:r w:rsidRPr="00AB319A">
              <w:rPr>
                <w:rFonts w:ascii="Times New Roman" w:hAnsi="Times New Roman" w:cs="Times New Roman"/>
                <w:iCs/>
                <w:sz w:val="20"/>
                <w:szCs w:val="20"/>
              </w:rPr>
              <w:t>eltrombopagiem</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w</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dawce</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75</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mg</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podawanej</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przez</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4</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kolejne</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tygodnie</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leczenia</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(4</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pomiary)</w:t>
            </w:r>
            <w:r w:rsidR="006A70AF">
              <w:rPr>
                <w:rFonts w:ascii="Times New Roman" w:hAnsi="Times New Roman" w:cs="Times New Roman"/>
                <w:iCs/>
                <w:sz w:val="20"/>
                <w:szCs w:val="20"/>
              </w:rPr>
              <w:t>,</w:t>
            </w:r>
          </w:p>
          <w:p w14:paraId="43666854" w14:textId="77777777" w:rsidR="006B10AF" w:rsidRPr="00AB319A" w:rsidRDefault="006B10AF" w:rsidP="006A70AF">
            <w:pPr>
              <w:pStyle w:val="Akapitzlist"/>
              <w:spacing w:after="60"/>
              <w:ind w:left="680"/>
              <w:contextualSpacing w:val="0"/>
              <w:jc w:val="both"/>
              <w:rPr>
                <w:rFonts w:ascii="Times New Roman" w:hAnsi="Times New Roman" w:cs="Times New Roman"/>
                <w:iCs/>
                <w:sz w:val="20"/>
                <w:szCs w:val="20"/>
              </w:rPr>
            </w:pPr>
            <w:r w:rsidRPr="00AB319A">
              <w:rPr>
                <w:rFonts w:ascii="Times New Roman" w:hAnsi="Times New Roman" w:cs="Times New Roman"/>
                <w:iCs/>
                <w:sz w:val="20"/>
                <w:szCs w:val="20"/>
              </w:rPr>
              <w:t>lub</w:t>
            </w:r>
          </w:p>
          <w:p w14:paraId="1F8159EE" w14:textId="77777777" w:rsidR="00EC22AF" w:rsidRDefault="006B10AF" w:rsidP="006A70AF">
            <w:pPr>
              <w:pStyle w:val="Akapitzlist"/>
              <w:numPr>
                <w:ilvl w:val="5"/>
                <w:numId w:val="7"/>
              </w:numPr>
              <w:spacing w:after="60"/>
              <w:contextualSpacing w:val="0"/>
              <w:jc w:val="both"/>
              <w:rPr>
                <w:rFonts w:ascii="Times New Roman" w:hAnsi="Times New Roman" w:cs="Times New Roman"/>
                <w:iCs/>
                <w:sz w:val="20"/>
                <w:szCs w:val="20"/>
              </w:rPr>
            </w:pPr>
            <w:r w:rsidRPr="00AB319A">
              <w:rPr>
                <w:rFonts w:ascii="Times New Roman" w:hAnsi="Times New Roman" w:cs="Times New Roman"/>
                <w:iCs/>
                <w:sz w:val="20"/>
                <w:szCs w:val="20"/>
              </w:rPr>
              <w:lastRenderedPageBreak/>
              <w:t>romiplostymem</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pomimo</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stosowania</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maksymalnej</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dawki</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(10</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μg/kg</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mc.)</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przez</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4</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kolejne</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tygodnie</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leczenia</w:t>
            </w:r>
            <w:r w:rsidR="00EC22AF">
              <w:rPr>
                <w:rFonts w:ascii="Times New Roman" w:hAnsi="Times New Roman" w:cs="Times New Roman"/>
                <w:iCs/>
                <w:sz w:val="20"/>
                <w:szCs w:val="20"/>
              </w:rPr>
              <w:t>;</w:t>
            </w:r>
          </w:p>
          <w:p w14:paraId="22EA098E" w14:textId="27FF853A" w:rsidR="006B10AF" w:rsidRPr="00FE7472" w:rsidRDefault="00EC22AF" w:rsidP="006A70AF">
            <w:pPr>
              <w:pStyle w:val="Akapitzlist"/>
              <w:numPr>
                <w:ilvl w:val="3"/>
                <w:numId w:val="7"/>
              </w:numPr>
              <w:spacing w:after="60"/>
              <w:contextualSpacing w:val="0"/>
              <w:jc w:val="both"/>
              <w:rPr>
                <w:rFonts w:ascii="Times New Roman" w:hAnsi="Times New Roman" w:cs="Times New Roman"/>
                <w:iCs/>
                <w:sz w:val="20"/>
                <w:szCs w:val="20"/>
              </w:rPr>
            </w:pPr>
            <w:r w:rsidRPr="00FE7472">
              <w:rPr>
                <w:rFonts w:ascii="Times New Roman" w:hAnsi="Times New Roman"/>
                <w:iCs/>
                <w:sz w:val="20"/>
                <w:szCs w:val="20"/>
              </w:rPr>
              <w:t>brak współpracy lub nieprzestrzeganie zaleceń lekarskich, w tym zwłaszcza dotyczących okresowych badań kontrolnych oceniających skuteczność i bezpieczeństwo leczenia ze strony świadczeniobiorcy lub jego prawnych opiekunów.</w:t>
            </w:r>
          </w:p>
          <w:p w14:paraId="591941DE" w14:textId="49036943" w:rsidR="005E5C99" w:rsidRPr="00AB319A" w:rsidRDefault="005E5C99" w:rsidP="005E5C99">
            <w:pPr>
              <w:pStyle w:val="Akapitzlist"/>
              <w:spacing w:after="60"/>
              <w:ind w:left="907"/>
              <w:contextualSpacing w:val="0"/>
              <w:jc w:val="both"/>
              <w:rPr>
                <w:rFonts w:ascii="Times New Roman" w:hAnsi="Times New Roman" w:cs="Times New Roman"/>
                <w:iCs/>
                <w:sz w:val="20"/>
                <w:szCs w:val="20"/>
              </w:rPr>
            </w:pPr>
          </w:p>
        </w:tc>
        <w:tc>
          <w:tcPr>
            <w:tcW w:w="1667" w:type="pct"/>
          </w:tcPr>
          <w:p w14:paraId="342298FD" w14:textId="25445414" w:rsidR="006B10AF" w:rsidRPr="00AB319A" w:rsidRDefault="006B10AF" w:rsidP="00041DA8">
            <w:pPr>
              <w:pStyle w:val="Akapitzlist"/>
              <w:widowControl w:val="0"/>
              <w:numPr>
                <w:ilvl w:val="0"/>
                <w:numId w:val="8"/>
              </w:numPr>
              <w:spacing w:before="120" w:after="60"/>
              <w:contextualSpacing w:val="0"/>
              <w:jc w:val="both"/>
              <w:rPr>
                <w:rFonts w:ascii="Times New Roman" w:hAnsi="Times New Roman" w:cs="Times New Roman"/>
                <w:b/>
                <w:bCs/>
                <w:spacing w:val="4"/>
                <w:sz w:val="20"/>
                <w:szCs w:val="20"/>
              </w:rPr>
            </w:pPr>
            <w:r w:rsidRPr="00AB319A">
              <w:rPr>
                <w:rFonts w:ascii="Times New Roman" w:hAnsi="Times New Roman" w:cs="Times New Roman"/>
                <w:b/>
                <w:bCs/>
                <w:spacing w:val="4"/>
                <w:sz w:val="20"/>
                <w:szCs w:val="20"/>
              </w:rPr>
              <w:lastRenderedPageBreak/>
              <w:t>Dawkowanie</w:t>
            </w:r>
            <w:r w:rsidR="005E5C99">
              <w:rPr>
                <w:rFonts w:ascii="Times New Roman" w:hAnsi="Times New Roman" w:cs="Times New Roman"/>
                <w:b/>
                <w:bCs/>
                <w:spacing w:val="4"/>
                <w:sz w:val="20"/>
                <w:szCs w:val="20"/>
              </w:rPr>
              <w:t xml:space="preserve"> </w:t>
            </w:r>
            <w:r w:rsidRPr="00AB319A">
              <w:rPr>
                <w:rFonts w:ascii="Times New Roman" w:hAnsi="Times New Roman" w:cs="Times New Roman"/>
                <w:b/>
                <w:bCs/>
                <w:spacing w:val="4"/>
                <w:sz w:val="20"/>
                <w:szCs w:val="20"/>
              </w:rPr>
              <w:t>eltrombopagu</w:t>
            </w:r>
          </w:p>
          <w:p w14:paraId="2E53E978" w14:textId="149A8FCD" w:rsidR="006B10AF" w:rsidRPr="00AB319A" w:rsidRDefault="006B10AF" w:rsidP="00041DA8">
            <w:pPr>
              <w:pStyle w:val="Akapitzlist"/>
              <w:numPr>
                <w:ilvl w:val="3"/>
                <w:numId w:val="8"/>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zalecana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dawka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początkowa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eltrombopagu</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wynosi:</w:t>
            </w:r>
            <w:r w:rsidR="005E5C99">
              <w:rPr>
                <w:rFonts w:ascii="Times New Roman" w:hAnsi="Times New Roman" w:cs="Times New Roman"/>
                <w:sz w:val="20"/>
                <w:szCs w:val="20"/>
              </w:rPr>
              <w:t xml:space="preserve"> </w:t>
            </w:r>
          </w:p>
          <w:p w14:paraId="643065FA" w14:textId="38B586B0" w:rsidR="006B10AF" w:rsidRPr="00AB319A" w:rsidRDefault="006B10AF" w:rsidP="00041DA8">
            <w:pPr>
              <w:pStyle w:val="Akapitzlist"/>
              <w:numPr>
                <w:ilvl w:val="5"/>
                <w:numId w:val="8"/>
              </w:numPr>
              <w:spacing w:after="60"/>
              <w:contextualSpacing w:val="0"/>
              <w:jc w:val="both"/>
              <w:rPr>
                <w:rFonts w:ascii="Times New Roman" w:hAnsi="Times New Roman" w:cs="Times New Roman"/>
                <w:sz w:val="20"/>
                <w:szCs w:val="20"/>
              </w:rPr>
            </w:pPr>
            <w:r w:rsidRPr="00AB319A">
              <w:rPr>
                <w:rFonts w:ascii="Times New Roman" w:eastAsia="ScalaLancetPro" w:hAnsi="Times New Roman" w:cs="Times New Roman"/>
                <w:sz w:val="20"/>
                <w:szCs w:val="20"/>
              </w:rPr>
              <w:t>50</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mg</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raz</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na</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dobę</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dla</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pacjentów</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w</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wieku</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6-17</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lat,</w:t>
            </w:r>
          </w:p>
          <w:p w14:paraId="2FC5094E" w14:textId="0AD356C7" w:rsidR="006B10AF" w:rsidRPr="00AB319A" w:rsidRDefault="006B10AF" w:rsidP="00041DA8">
            <w:pPr>
              <w:pStyle w:val="Akapitzlist"/>
              <w:numPr>
                <w:ilvl w:val="5"/>
                <w:numId w:val="8"/>
              </w:numPr>
              <w:spacing w:after="60"/>
              <w:contextualSpacing w:val="0"/>
              <w:jc w:val="both"/>
              <w:rPr>
                <w:rFonts w:ascii="Times New Roman" w:hAnsi="Times New Roman" w:cs="Times New Roman"/>
                <w:sz w:val="20"/>
                <w:szCs w:val="20"/>
              </w:rPr>
            </w:pPr>
            <w:r w:rsidRPr="00AB319A">
              <w:rPr>
                <w:rFonts w:ascii="Times New Roman" w:eastAsia="ScalaLancetPro" w:hAnsi="Times New Roman" w:cs="Times New Roman"/>
                <w:sz w:val="20"/>
                <w:szCs w:val="20"/>
              </w:rPr>
              <w:t>25</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mg</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raz</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na</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dobę</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dla</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pacjentów</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w</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wieku</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1-5</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lat</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oraz</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dla</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pacjentów</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pochodzenia</w:t>
            </w:r>
            <w:r w:rsidR="005E5C99">
              <w:rPr>
                <w:rFonts w:ascii="Times New Roman" w:eastAsia="ScalaLancetPro" w:hAnsi="Times New Roman" w:cs="Times New Roman"/>
                <w:sz w:val="20"/>
                <w:szCs w:val="20"/>
              </w:rPr>
              <w:t xml:space="preserve"> </w:t>
            </w:r>
            <w:r w:rsidRPr="00AB319A">
              <w:rPr>
                <w:rFonts w:ascii="Times New Roman" w:eastAsia="ScalaLancetPro" w:hAnsi="Times New Roman" w:cs="Times New Roman"/>
                <w:sz w:val="20"/>
                <w:szCs w:val="20"/>
              </w:rPr>
              <w:t>wschodnioazjatyckiego;</w:t>
            </w:r>
          </w:p>
          <w:p w14:paraId="3502B4E0" w14:textId="1C44C5FC" w:rsidR="006B10AF" w:rsidRPr="00AB319A" w:rsidRDefault="006B10AF" w:rsidP="00041DA8">
            <w:pPr>
              <w:pStyle w:val="Akapitzlist"/>
              <w:numPr>
                <w:ilvl w:val="3"/>
                <w:numId w:val="8"/>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maksymalna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dawka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dobowa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wynosi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75</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mg;</w:t>
            </w:r>
          </w:p>
          <w:p w14:paraId="43E1D06A" w14:textId="11268AA8" w:rsidR="006B10AF" w:rsidRPr="00AB319A" w:rsidRDefault="006B10AF" w:rsidP="00041DA8">
            <w:pPr>
              <w:pStyle w:val="Akapitzlist"/>
              <w:numPr>
                <w:ilvl w:val="3"/>
                <w:numId w:val="8"/>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dawkę</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leku</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modyfikuje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się</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indywidualnie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zależności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od</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liczby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płytek</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krwi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pacjenta</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zgodnie</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z</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aktualną</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na</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dzień</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wydania</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decyzji</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Charakterystyką</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Produktu</w:t>
            </w:r>
            <w:r w:rsidR="005E5C99">
              <w:rPr>
                <w:rFonts w:ascii="Times New Roman" w:hAnsi="Times New Roman" w:cs="Times New Roman"/>
                <w:sz w:val="20"/>
                <w:szCs w:val="20"/>
              </w:rPr>
              <w:t xml:space="preserve"> </w:t>
            </w:r>
            <w:r w:rsidR="00DA0444" w:rsidRPr="00AB319A">
              <w:rPr>
                <w:rFonts w:ascii="Times New Roman" w:hAnsi="Times New Roman" w:cs="Times New Roman"/>
                <w:sz w:val="20"/>
                <w:szCs w:val="20"/>
              </w:rPr>
              <w:t>Leczniczego.</w:t>
            </w:r>
          </w:p>
          <w:p w14:paraId="49054095" w14:textId="4D343125" w:rsidR="006B10AF" w:rsidRPr="00AB319A" w:rsidRDefault="006B10AF" w:rsidP="00041DA8">
            <w:pPr>
              <w:pStyle w:val="Akapitzlist"/>
              <w:spacing w:after="60"/>
              <w:ind w:left="454"/>
              <w:contextualSpacing w:val="0"/>
              <w:jc w:val="both"/>
              <w:rPr>
                <w:rFonts w:ascii="Times New Roman" w:hAnsi="Times New Roman" w:cs="Times New Roman"/>
                <w:sz w:val="20"/>
                <w:szCs w:val="20"/>
              </w:rPr>
            </w:pPr>
            <w:r w:rsidRPr="00AB319A">
              <w:rPr>
                <w:rFonts w:ascii="Times New Roman" w:hAnsi="Times New Roman" w:cs="Times New Roman"/>
                <w:sz w:val="20"/>
                <w:szCs w:val="20"/>
              </w:rPr>
              <w:t>Celem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modyfikacji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dawek</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jest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osiągnięcie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minimalnej</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dawki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pozwalającej</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utrzymać</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liczbę</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płytek</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50</w:t>
            </w:r>
            <w:r w:rsidR="005E5C99">
              <w:rPr>
                <w:rFonts w:ascii="Times New Roman" w:hAnsi="Times New Roman" w:cs="Times New Roman"/>
                <w:sz w:val="20"/>
                <w:szCs w:val="20"/>
              </w:rPr>
              <w:t xml:space="preserve"> </w:t>
            </w:r>
            <w:r w:rsidR="00003CC8" w:rsidRPr="00AB319A">
              <w:rPr>
                <w:rFonts w:ascii="Times New Roman" w:hAnsi="Times New Roman" w:cs="Times New Roman"/>
                <w:sz w:val="20"/>
                <w:szCs w:val="20"/>
              </w:rPr>
              <w:t>tys.</w:t>
            </w:r>
            <w:r w:rsidRPr="00AB319A">
              <w:rPr>
                <w:rFonts w:ascii="Times New Roman" w:hAnsi="Times New Roman" w:cs="Times New Roman"/>
                <w:sz w:val="20"/>
                <w:szCs w:val="20"/>
              </w:rPr>
              <w:t>/μl.</w:t>
            </w:r>
          </w:p>
          <w:p w14:paraId="698B784E" w14:textId="77777777" w:rsidR="006B10AF" w:rsidRPr="00041DA8" w:rsidRDefault="006B10AF" w:rsidP="00041DA8">
            <w:pPr>
              <w:spacing w:after="60"/>
              <w:jc w:val="both"/>
              <w:rPr>
                <w:rFonts w:ascii="Times New Roman" w:hAnsi="Times New Roman"/>
                <w:sz w:val="20"/>
                <w:szCs w:val="20"/>
              </w:rPr>
            </w:pPr>
          </w:p>
          <w:p w14:paraId="269342EC" w14:textId="1E16317C" w:rsidR="006B10AF" w:rsidRPr="00AB319A" w:rsidRDefault="006B10AF" w:rsidP="00041DA8">
            <w:pPr>
              <w:pStyle w:val="Akapitzlist"/>
              <w:numPr>
                <w:ilvl w:val="0"/>
                <w:numId w:val="8"/>
              </w:numPr>
              <w:spacing w:after="60"/>
              <w:contextualSpacing w:val="0"/>
              <w:jc w:val="both"/>
              <w:rPr>
                <w:rFonts w:ascii="Times New Roman" w:hAnsi="Times New Roman" w:cs="Times New Roman"/>
                <w:b/>
                <w:sz w:val="20"/>
                <w:szCs w:val="20"/>
              </w:rPr>
            </w:pPr>
            <w:r w:rsidRPr="00AB319A">
              <w:rPr>
                <w:rFonts w:ascii="Times New Roman" w:hAnsi="Times New Roman" w:cs="Times New Roman"/>
                <w:b/>
                <w:sz w:val="20"/>
                <w:szCs w:val="20"/>
              </w:rPr>
              <w:t>Dawkowanie</w:t>
            </w:r>
            <w:r w:rsidR="005E5C99">
              <w:rPr>
                <w:rFonts w:ascii="Times New Roman" w:hAnsi="Times New Roman" w:cs="Times New Roman"/>
                <w:b/>
                <w:sz w:val="20"/>
                <w:szCs w:val="20"/>
              </w:rPr>
              <w:t xml:space="preserve"> </w:t>
            </w:r>
            <w:r w:rsidRPr="00AB319A">
              <w:rPr>
                <w:rFonts w:ascii="Times New Roman" w:hAnsi="Times New Roman" w:cs="Times New Roman"/>
                <w:b/>
                <w:sz w:val="20"/>
                <w:szCs w:val="20"/>
              </w:rPr>
              <w:t>romiplostymu</w:t>
            </w:r>
          </w:p>
          <w:p w14:paraId="7A7B1180" w14:textId="2BF15B36" w:rsidR="006B10AF" w:rsidRPr="00AB319A" w:rsidRDefault="006B10AF" w:rsidP="00041DA8">
            <w:pPr>
              <w:pStyle w:val="ColorfulList-Accent11"/>
              <w:numPr>
                <w:ilvl w:val="3"/>
                <w:numId w:val="8"/>
              </w:numPr>
              <w:autoSpaceDE w:val="0"/>
              <w:autoSpaceDN w:val="0"/>
              <w:adjustRightInd w:val="0"/>
              <w:spacing w:before="0" w:line="276" w:lineRule="auto"/>
              <w:contextualSpacing w:val="0"/>
              <w:rPr>
                <w:rFonts w:ascii="Times New Roman" w:hAnsi="Times New Roman"/>
                <w:sz w:val="20"/>
                <w:szCs w:val="20"/>
                <w:lang w:val="pl-PL"/>
              </w:rPr>
            </w:pPr>
            <w:r w:rsidRPr="00AB319A">
              <w:rPr>
                <w:rFonts w:ascii="Times New Roman" w:hAnsi="Times New Roman"/>
                <w:sz w:val="20"/>
                <w:szCs w:val="20"/>
                <w:lang w:val="pl-PL"/>
              </w:rPr>
              <w:t>romiplostym</w:t>
            </w:r>
            <w:r w:rsidR="005E5C99">
              <w:rPr>
                <w:rFonts w:ascii="Times New Roman" w:hAnsi="Times New Roman"/>
                <w:sz w:val="20"/>
                <w:szCs w:val="20"/>
                <w:lang w:val="pl-PL"/>
              </w:rPr>
              <w:t xml:space="preserve"> </w:t>
            </w:r>
            <w:r w:rsidRPr="00AB319A">
              <w:rPr>
                <w:rFonts w:ascii="Times New Roman" w:hAnsi="Times New Roman"/>
                <w:sz w:val="20"/>
                <w:szCs w:val="20"/>
                <w:lang w:val="pl-PL"/>
              </w:rPr>
              <w:t>powinien</w:t>
            </w:r>
            <w:r w:rsidR="005E5C99">
              <w:rPr>
                <w:rFonts w:ascii="Times New Roman" w:hAnsi="Times New Roman"/>
                <w:sz w:val="20"/>
                <w:szCs w:val="20"/>
                <w:lang w:val="pl-PL"/>
              </w:rPr>
              <w:t xml:space="preserve"> </w:t>
            </w:r>
            <w:r w:rsidRPr="00AB319A">
              <w:rPr>
                <w:rFonts w:ascii="Times New Roman" w:hAnsi="Times New Roman"/>
                <w:sz w:val="20"/>
                <w:szCs w:val="20"/>
                <w:lang w:val="pl-PL"/>
              </w:rPr>
              <w:t>być</w:t>
            </w:r>
            <w:r w:rsidR="005E5C99">
              <w:rPr>
                <w:rFonts w:ascii="Times New Roman" w:hAnsi="Times New Roman"/>
                <w:sz w:val="20"/>
                <w:szCs w:val="20"/>
                <w:lang w:val="pl-PL"/>
              </w:rPr>
              <w:t xml:space="preserve"> </w:t>
            </w:r>
            <w:r w:rsidRPr="00AB319A">
              <w:rPr>
                <w:rFonts w:ascii="Times New Roman" w:hAnsi="Times New Roman"/>
                <w:sz w:val="20"/>
                <w:szCs w:val="20"/>
                <w:lang w:val="pl-PL"/>
              </w:rPr>
              <w:t>podawany</w:t>
            </w:r>
            <w:r w:rsidR="005E5C99">
              <w:rPr>
                <w:rFonts w:ascii="Times New Roman" w:hAnsi="Times New Roman"/>
                <w:sz w:val="20"/>
                <w:szCs w:val="20"/>
                <w:lang w:val="pl-PL"/>
              </w:rPr>
              <w:t xml:space="preserve"> </w:t>
            </w:r>
            <w:r w:rsidRPr="00AB319A">
              <w:rPr>
                <w:rFonts w:ascii="Times New Roman" w:hAnsi="Times New Roman"/>
                <w:sz w:val="20"/>
                <w:szCs w:val="20"/>
                <w:lang w:val="pl-PL"/>
              </w:rPr>
              <w:t>raz</w:t>
            </w:r>
            <w:r w:rsidR="005E5C99">
              <w:rPr>
                <w:rFonts w:ascii="Times New Roman" w:hAnsi="Times New Roman"/>
                <w:sz w:val="20"/>
                <w:szCs w:val="20"/>
                <w:lang w:val="pl-PL"/>
              </w:rPr>
              <w:t xml:space="preserve"> </w:t>
            </w:r>
            <w:r w:rsidRPr="00AB319A">
              <w:rPr>
                <w:rFonts w:ascii="Times New Roman" w:hAnsi="Times New Roman"/>
                <w:sz w:val="20"/>
                <w:szCs w:val="20"/>
                <w:lang w:val="pl-PL"/>
              </w:rPr>
              <w:t>w</w:t>
            </w:r>
            <w:r w:rsidR="005E5C99">
              <w:rPr>
                <w:rFonts w:ascii="Times New Roman" w:hAnsi="Times New Roman"/>
                <w:sz w:val="20"/>
                <w:szCs w:val="20"/>
                <w:lang w:val="pl-PL"/>
              </w:rPr>
              <w:t xml:space="preserve"> </w:t>
            </w:r>
            <w:r w:rsidR="00003CC8" w:rsidRPr="00AB319A">
              <w:rPr>
                <w:rFonts w:ascii="Times New Roman" w:hAnsi="Times New Roman"/>
                <w:sz w:val="20"/>
                <w:szCs w:val="20"/>
                <w:lang w:val="pl-PL"/>
              </w:rPr>
              <w:t>tygodniu</w:t>
            </w:r>
            <w:r w:rsidR="005E5C99">
              <w:rPr>
                <w:rFonts w:ascii="Times New Roman" w:hAnsi="Times New Roman"/>
                <w:sz w:val="20"/>
                <w:szCs w:val="20"/>
                <w:lang w:val="pl-PL"/>
              </w:rPr>
              <w:t xml:space="preserve"> </w:t>
            </w:r>
            <w:r w:rsidRPr="00AB319A">
              <w:rPr>
                <w:rFonts w:ascii="Times New Roman" w:hAnsi="Times New Roman"/>
                <w:sz w:val="20"/>
                <w:szCs w:val="20"/>
                <w:lang w:val="pl-PL"/>
              </w:rPr>
              <w:t>jako</w:t>
            </w:r>
            <w:r w:rsidR="005E5C99">
              <w:rPr>
                <w:rFonts w:ascii="Times New Roman" w:hAnsi="Times New Roman"/>
                <w:sz w:val="20"/>
                <w:szCs w:val="20"/>
                <w:lang w:val="pl-PL"/>
              </w:rPr>
              <w:t xml:space="preserve"> </w:t>
            </w:r>
            <w:r w:rsidRPr="00AB319A">
              <w:rPr>
                <w:rFonts w:ascii="Times New Roman" w:hAnsi="Times New Roman"/>
                <w:sz w:val="20"/>
                <w:szCs w:val="20"/>
                <w:lang w:val="pl-PL"/>
              </w:rPr>
              <w:t>wstrzyknięcie</w:t>
            </w:r>
            <w:r w:rsidR="005E5C99">
              <w:rPr>
                <w:rFonts w:ascii="Times New Roman" w:hAnsi="Times New Roman"/>
                <w:sz w:val="20"/>
                <w:szCs w:val="20"/>
                <w:lang w:val="pl-PL"/>
              </w:rPr>
              <w:t xml:space="preserve"> </w:t>
            </w:r>
            <w:r w:rsidRPr="00AB319A">
              <w:rPr>
                <w:rFonts w:ascii="Times New Roman" w:hAnsi="Times New Roman"/>
                <w:sz w:val="20"/>
                <w:szCs w:val="20"/>
                <w:lang w:val="pl-PL"/>
              </w:rPr>
              <w:t>podskórne;</w:t>
            </w:r>
          </w:p>
          <w:p w14:paraId="5E5B5D6D" w14:textId="1D008252" w:rsidR="006B10AF" w:rsidRPr="00AB319A" w:rsidRDefault="006B10AF" w:rsidP="00041DA8">
            <w:pPr>
              <w:pStyle w:val="ColorfulList-Accent11"/>
              <w:numPr>
                <w:ilvl w:val="3"/>
                <w:numId w:val="8"/>
              </w:numPr>
              <w:spacing w:before="0" w:line="276" w:lineRule="auto"/>
              <w:contextualSpacing w:val="0"/>
              <w:rPr>
                <w:rFonts w:ascii="Times New Roman" w:hAnsi="Times New Roman"/>
                <w:sz w:val="20"/>
                <w:szCs w:val="20"/>
                <w:lang w:val="pl-PL"/>
              </w:rPr>
            </w:pPr>
            <w:r w:rsidRPr="00AB319A">
              <w:rPr>
                <w:rFonts w:ascii="Times New Roman" w:hAnsi="Times New Roman"/>
                <w:sz w:val="20"/>
                <w:szCs w:val="20"/>
                <w:lang w:val="pl-PL"/>
              </w:rPr>
              <w:lastRenderedPageBreak/>
              <w:t>początkowa</w:t>
            </w:r>
            <w:r w:rsidR="005E5C99">
              <w:rPr>
                <w:rFonts w:ascii="Times New Roman" w:hAnsi="Times New Roman"/>
                <w:sz w:val="20"/>
                <w:szCs w:val="20"/>
                <w:lang w:val="pl-PL"/>
              </w:rPr>
              <w:t xml:space="preserve"> </w:t>
            </w:r>
            <w:r w:rsidRPr="00AB319A">
              <w:rPr>
                <w:rFonts w:ascii="Times New Roman" w:hAnsi="Times New Roman"/>
                <w:sz w:val="20"/>
                <w:szCs w:val="20"/>
                <w:lang w:val="pl-PL"/>
              </w:rPr>
              <w:t>dawka</w:t>
            </w:r>
            <w:r w:rsidR="005E5C99">
              <w:rPr>
                <w:rFonts w:ascii="Times New Roman" w:hAnsi="Times New Roman"/>
                <w:sz w:val="20"/>
                <w:szCs w:val="20"/>
                <w:lang w:val="pl-PL"/>
              </w:rPr>
              <w:t xml:space="preserve"> </w:t>
            </w:r>
            <w:r w:rsidRPr="00AB319A">
              <w:rPr>
                <w:rFonts w:ascii="Times New Roman" w:hAnsi="Times New Roman"/>
                <w:sz w:val="20"/>
                <w:szCs w:val="20"/>
                <w:lang w:val="pl-PL"/>
              </w:rPr>
              <w:t>romiplostymu</w:t>
            </w:r>
            <w:r w:rsidR="005E5C99">
              <w:rPr>
                <w:rFonts w:ascii="Times New Roman" w:hAnsi="Times New Roman"/>
                <w:sz w:val="20"/>
                <w:szCs w:val="20"/>
                <w:lang w:val="pl-PL"/>
              </w:rPr>
              <w:t xml:space="preserve"> </w:t>
            </w:r>
            <w:r w:rsidRPr="00AB319A">
              <w:rPr>
                <w:rFonts w:ascii="Times New Roman" w:hAnsi="Times New Roman"/>
                <w:sz w:val="20"/>
                <w:szCs w:val="20"/>
                <w:lang w:val="pl-PL"/>
              </w:rPr>
              <w:t>wynosi</w:t>
            </w:r>
            <w:r w:rsidR="005E5C99">
              <w:rPr>
                <w:rFonts w:ascii="Times New Roman" w:hAnsi="Times New Roman"/>
                <w:sz w:val="20"/>
                <w:szCs w:val="20"/>
                <w:lang w:val="pl-PL"/>
              </w:rPr>
              <w:t xml:space="preserve"> </w:t>
            </w:r>
            <w:r w:rsidRPr="00AB319A">
              <w:rPr>
                <w:rFonts w:ascii="Times New Roman" w:hAnsi="Times New Roman"/>
                <w:sz w:val="20"/>
                <w:szCs w:val="20"/>
                <w:lang w:val="pl-PL"/>
              </w:rPr>
              <w:t>1</w:t>
            </w:r>
            <w:r w:rsidR="005E5C99">
              <w:rPr>
                <w:rFonts w:ascii="Times New Roman" w:hAnsi="Times New Roman"/>
                <w:sz w:val="20"/>
                <w:szCs w:val="20"/>
                <w:lang w:val="pl-PL"/>
              </w:rPr>
              <w:t xml:space="preserve"> </w:t>
            </w:r>
            <w:r w:rsidRPr="00AB319A">
              <w:rPr>
                <w:rFonts w:ascii="Times New Roman" w:hAnsi="Times New Roman"/>
                <w:sz w:val="20"/>
                <w:szCs w:val="20"/>
                <w:lang w:val="pl-PL"/>
              </w:rPr>
              <w:t>µg/kg</w:t>
            </w:r>
            <w:r w:rsidR="005E5C99">
              <w:rPr>
                <w:rFonts w:ascii="Times New Roman" w:hAnsi="Times New Roman"/>
                <w:sz w:val="20"/>
                <w:szCs w:val="20"/>
                <w:lang w:val="pl-PL"/>
              </w:rPr>
              <w:t xml:space="preserve"> </w:t>
            </w:r>
            <w:r w:rsidRPr="00AB319A">
              <w:rPr>
                <w:rFonts w:ascii="Times New Roman" w:hAnsi="Times New Roman"/>
                <w:sz w:val="20"/>
                <w:szCs w:val="20"/>
                <w:lang w:val="pl-PL"/>
              </w:rPr>
              <w:t>mc.,</w:t>
            </w:r>
            <w:r w:rsidR="005E5C99">
              <w:rPr>
                <w:rFonts w:ascii="Times New Roman" w:hAnsi="Times New Roman"/>
                <w:sz w:val="20"/>
                <w:szCs w:val="20"/>
                <w:lang w:val="pl-PL"/>
              </w:rPr>
              <w:t xml:space="preserve"> </w:t>
            </w:r>
            <w:r w:rsidRPr="00AB319A">
              <w:rPr>
                <w:rFonts w:ascii="Times New Roman" w:hAnsi="Times New Roman"/>
                <w:sz w:val="20"/>
                <w:szCs w:val="20"/>
                <w:lang w:val="pl-PL"/>
              </w:rPr>
              <w:t>z</w:t>
            </w:r>
            <w:r w:rsidR="005E5C99">
              <w:rPr>
                <w:rFonts w:ascii="Times New Roman" w:hAnsi="Times New Roman"/>
                <w:sz w:val="20"/>
                <w:szCs w:val="20"/>
                <w:lang w:val="pl-PL"/>
              </w:rPr>
              <w:t xml:space="preserve"> </w:t>
            </w:r>
            <w:r w:rsidRPr="00AB319A">
              <w:rPr>
                <w:rFonts w:ascii="Times New Roman" w:hAnsi="Times New Roman"/>
                <w:sz w:val="20"/>
                <w:szCs w:val="20"/>
                <w:lang w:val="pl-PL"/>
              </w:rPr>
              <w:t>uwzględnieniem</w:t>
            </w:r>
            <w:r w:rsidR="005E5C99">
              <w:rPr>
                <w:rFonts w:ascii="Times New Roman" w:hAnsi="Times New Roman"/>
                <w:sz w:val="20"/>
                <w:szCs w:val="20"/>
                <w:lang w:val="pl-PL"/>
              </w:rPr>
              <w:t xml:space="preserve"> </w:t>
            </w:r>
            <w:r w:rsidRPr="00AB319A">
              <w:rPr>
                <w:rFonts w:ascii="Times New Roman" w:hAnsi="Times New Roman"/>
                <w:sz w:val="20"/>
                <w:szCs w:val="20"/>
                <w:lang w:val="pl-PL"/>
              </w:rPr>
              <w:t>masy</w:t>
            </w:r>
            <w:r w:rsidR="005E5C99">
              <w:rPr>
                <w:rFonts w:ascii="Times New Roman" w:hAnsi="Times New Roman"/>
                <w:sz w:val="20"/>
                <w:szCs w:val="20"/>
                <w:lang w:val="pl-PL"/>
              </w:rPr>
              <w:t xml:space="preserve"> </w:t>
            </w:r>
            <w:r w:rsidRPr="00AB319A">
              <w:rPr>
                <w:rFonts w:ascii="Times New Roman" w:hAnsi="Times New Roman"/>
                <w:sz w:val="20"/>
                <w:szCs w:val="20"/>
                <w:lang w:val="pl-PL"/>
              </w:rPr>
              <w:t>ciała</w:t>
            </w:r>
            <w:r w:rsidR="005E5C99">
              <w:rPr>
                <w:rFonts w:ascii="Times New Roman" w:hAnsi="Times New Roman"/>
                <w:sz w:val="20"/>
                <w:szCs w:val="20"/>
                <w:lang w:val="pl-PL"/>
              </w:rPr>
              <w:t xml:space="preserve"> </w:t>
            </w:r>
            <w:r w:rsidRPr="00AB319A">
              <w:rPr>
                <w:rFonts w:ascii="Times New Roman" w:hAnsi="Times New Roman"/>
                <w:sz w:val="20"/>
                <w:szCs w:val="20"/>
                <w:lang w:val="pl-PL"/>
              </w:rPr>
              <w:t>pacjenta</w:t>
            </w:r>
            <w:r w:rsidR="005E5C99">
              <w:rPr>
                <w:rFonts w:ascii="Times New Roman" w:hAnsi="Times New Roman"/>
                <w:sz w:val="20"/>
                <w:szCs w:val="20"/>
                <w:lang w:val="pl-PL"/>
              </w:rPr>
              <w:t xml:space="preserve"> </w:t>
            </w:r>
            <w:r w:rsidRPr="00AB319A">
              <w:rPr>
                <w:rFonts w:ascii="Times New Roman" w:hAnsi="Times New Roman"/>
                <w:sz w:val="20"/>
                <w:szCs w:val="20"/>
                <w:lang w:val="pl-PL"/>
              </w:rPr>
              <w:t>na</w:t>
            </w:r>
            <w:r w:rsidR="005E5C99">
              <w:rPr>
                <w:rFonts w:ascii="Times New Roman" w:hAnsi="Times New Roman"/>
                <w:sz w:val="20"/>
                <w:szCs w:val="20"/>
                <w:lang w:val="pl-PL"/>
              </w:rPr>
              <w:t xml:space="preserve"> </w:t>
            </w:r>
            <w:r w:rsidRPr="00AB319A">
              <w:rPr>
                <w:rFonts w:ascii="Times New Roman" w:hAnsi="Times New Roman"/>
                <w:sz w:val="20"/>
                <w:szCs w:val="20"/>
                <w:lang w:val="pl-PL"/>
              </w:rPr>
              <w:t>początku</w:t>
            </w:r>
            <w:r w:rsidR="005E5C99">
              <w:rPr>
                <w:rFonts w:ascii="Times New Roman" w:hAnsi="Times New Roman"/>
                <w:sz w:val="20"/>
                <w:szCs w:val="20"/>
                <w:lang w:val="pl-PL"/>
              </w:rPr>
              <w:t xml:space="preserve"> </w:t>
            </w:r>
            <w:r w:rsidRPr="00AB319A">
              <w:rPr>
                <w:rFonts w:ascii="Times New Roman" w:hAnsi="Times New Roman"/>
                <w:sz w:val="20"/>
                <w:szCs w:val="20"/>
                <w:lang w:val="pl-PL"/>
              </w:rPr>
              <w:t>leczenia;</w:t>
            </w:r>
          </w:p>
          <w:p w14:paraId="2DE788B7" w14:textId="130ECB42" w:rsidR="00DA0444" w:rsidRPr="00AB319A" w:rsidRDefault="00DA0444" w:rsidP="00041DA8">
            <w:pPr>
              <w:pStyle w:val="ColorfulList-Accent11"/>
              <w:numPr>
                <w:ilvl w:val="3"/>
                <w:numId w:val="8"/>
              </w:numPr>
              <w:spacing w:before="0" w:line="276" w:lineRule="auto"/>
              <w:contextualSpacing w:val="0"/>
              <w:rPr>
                <w:rFonts w:ascii="Times New Roman" w:hAnsi="Times New Roman"/>
                <w:sz w:val="20"/>
                <w:szCs w:val="20"/>
                <w:lang w:val="pl-PL"/>
              </w:rPr>
            </w:pPr>
            <w:r w:rsidRPr="00AB319A">
              <w:rPr>
                <w:rFonts w:ascii="Times New Roman" w:hAnsi="Times New Roman"/>
                <w:sz w:val="20"/>
                <w:szCs w:val="20"/>
                <w:lang w:val="pl-PL"/>
              </w:rPr>
              <w:t>następnie</w:t>
            </w:r>
            <w:r w:rsidR="005E5C99">
              <w:rPr>
                <w:rFonts w:ascii="Times New Roman" w:hAnsi="Times New Roman"/>
                <w:sz w:val="20"/>
                <w:szCs w:val="20"/>
                <w:lang w:val="pl-PL"/>
              </w:rPr>
              <w:t xml:space="preserve"> </w:t>
            </w:r>
            <w:r w:rsidRPr="00AB319A">
              <w:rPr>
                <w:rFonts w:ascii="Times New Roman" w:hAnsi="Times New Roman"/>
                <w:sz w:val="20"/>
                <w:szCs w:val="20"/>
                <w:lang w:val="pl-PL"/>
              </w:rPr>
              <w:t>dawkę</w:t>
            </w:r>
            <w:r w:rsidR="005E5C99">
              <w:rPr>
                <w:rFonts w:ascii="Times New Roman" w:hAnsi="Times New Roman"/>
                <w:sz w:val="20"/>
                <w:szCs w:val="20"/>
                <w:lang w:val="pl-PL"/>
              </w:rPr>
              <w:t xml:space="preserve"> </w:t>
            </w:r>
            <w:r w:rsidRPr="00AB319A">
              <w:rPr>
                <w:rFonts w:ascii="Times New Roman" w:hAnsi="Times New Roman"/>
                <w:sz w:val="20"/>
                <w:szCs w:val="20"/>
                <w:lang w:val="pl-PL"/>
              </w:rPr>
              <w:t>leku</w:t>
            </w:r>
            <w:r w:rsidR="005E5C99">
              <w:rPr>
                <w:rFonts w:ascii="Times New Roman" w:hAnsi="Times New Roman"/>
                <w:sz w:val="20"/>
                <w:szCs w:val="20"/>
                <w:lang w:val="pl-PL"/>
              </w:rPr>
              <w:t xml:space="preserve"> </w:t>
            </w:r>
            <w:r w:rsidRPr="00AB319A">
              <w:rPr>
                <w:rFonts w:ascii="Times New Roman" w:hAnsi="Times New Roman"/>
                <w:sz w:val="20"/>
                <w:szCs w:val="20"/>
                <w:lang w:val="pl-PL"/>
              </w:rPr>
              <w:t>ustala</w:t>
            </w:r>
            <w:r w:rsidR="005E5C99">
              <w:rPr>
                <w:rFonts w:ascii="Times New Roman" w:hAnsi="Times New Roman"/>
                <w:sz w:val="20"/>
                <w:szCs w:val="20"/>
                <w:lang w:val="pl-PL"/>
              </w:rPr>
              <w:t xml:space="preserve"> </w:t>
            </w:r>
            <w:r w:rsidRPr="00AB319A">
              <w:rPr>
                <w:rFonts w:ascii="Times New Roman" w:hAnsi="Times New Roman"/>
                <w:sz w:val="20"/>
                <w:szCs w:val="20"/>
                <w:lang w:val="pl-PL"/>
              </w:rPr>
              <w:t>się</w:t>
            </w:r>
            <w:r w:rsidR="005E5C99">
              <w:rPr>
                <w:rFonts w:ascii="Times New Roman" w:hAnsi="Times New Roman"/>
                <w:sz w:val="20"/>
                <w:szCs w:val="20"/>
                <w:lang w:val="pl-PL"/>
              </w:rPr>
              <w:t xml:space="preserve"> </w:t>
            </w:r>
            <w:r w:rsidRPr="00AB319A">
              <w:rPr>
                <w:rFonts w:ascii="Times New Roman" w:hAnsi="Times New Roman"/>
                <w:sz w:val="20"/>
                <w:szCs w:val="20"/>
                <w:lang w:val="pl-PL"/>
              </w:rPr>
              <w:t>indywidualnie</w:t>
            </w:r>
            <w:r w:rsidR="005E5C99">
              <w:rPr>
                <w:rFonts w:ascii="Times New Roman" w:hAnsi="Times New Roman"/>
                <w:sz w:val="20"/>
                <w:szCs w:val="20"/>
                <w:lang w:val="pl-PL"/>
              </w:rPr>
              <w:t xml:space="preserve"> </w:t>
            </w:r>
            <w:r w:rsidRPr="00AB319A">
              <w:rPr>
                <w:rFonts w:ascii="Times New Roman" w:hAnsi="Times New Roman"/>
                <w:sz w:val="20"/>
                <w:szCs w:val="20"/>
                <w:lang w:val="pl-PL"/>
              </w:rPr>
              <w:t>w</w:t>
            </w:r>
            <w:r w:rsidR="005E5C99">
              <w:rPr>
                <w:rFonts w:ascii="Times New Roman" w:hAnsi="Times New Roman"/>
                <w:sz w:val="20"/>
                <w:szCs w:val="20"/>
                <w:lang w:val="pl-PL"/>
              </w:rPr>
              <w:t xml:space="preserve"> </w:t>
            </w:r>
            <w:r w:rsidRPr="00AB319A">
              <w:rPr>
                <w:rFonts w:ascii="Times New Roman" w:hAnsi="Times New Roman"/>
                <w:sz w:val="20"/>
                <w:szCs w:val="20"/>
                <w:lang w:val="pl-PL"/>
              </w:rPr>
              <w:t>zależności</w:t>
            </w:r>
            <w:r w:rsidR="005E5C99">
              <w:rPr>
                <w:rFonts w:ascii="Times New Roman" w:hAnsi="Times New Roman"/>
                <w:sz w:val="20"/>
                <w:szCs w:val="20"/>
                <w:lang w:val="pl-PL"/>
              </w:rPr>
              <w:t xml:space="preserve"> </w:t>
            </w:r>
            <w:r w:rsidRPr="00AB319A">
              <w:rPr>
                <w:rFonts w:ascii="Times New Roman" w:hAnsi="Times New Roman"/>
                <w:sz w:val="20"/>
                <w:szCs w:val="20"/>
                <w:lang w:val="pl-PL"/>
              </w:rPr>
              <w:t>od</w:t>
            </w:r>
            <w:r w:rsidR="005E5C99">
              <w:rPr>
                <w:rFonts w:ascii="Times New Roman" w:hAnsi="Times New Roman"/>
                <w:sz w:val="20"/>
                <w:szCs w:val="20"/>
                <w:lang w:val="pl-PL"/>
              </w:rPr>
              <w:t xml:space="preserve"> </w:t>
            </w:r>
            <w:r w:rsidRPr="00AB319A">
              <w:rPr>
                <w:rFonts w:ascii="Times New Roman" w:hAnsi="Times New Roman"/>
                <w:sz w:val="20"/>
                <w:szCs w:val="20"/>
                <w:lang w:val="pl-PL"/>
              </w:rPr>
              <w:t>liczby</w:t>
            </w:r>
            <w:r w:rsidR="005E5C99">
              <w:rPr>
                <w:rFonts w:ascii="Times New Roman" w:hAnsi="Times New Roman"/>
                <w:sz w:val="20"/>
                <w:szCs w:val="20"/>
                <w:lang w:val="pl-PL"/>
              </w:rPr>
              <w:t xml:space="preserve"> </w:t>
            </w:r>
            <w:r w:rsidRPr="00AB319A">
              <w:rPr>
                <w:rFonts w:ascii="Times New Roman" w:hAnsi="Times New Roman"/>
                <w:sz w:val="20"/>
                <w:szCs w:val="20"/>
                <w:lang w:val="pl-PL"/>
              </w:rPr>
              <w:t>płytek</w:t>
            </w:r>
            <w:r w:rsidR="005E5C99">
              <w:rPr>
                <w:rFonts w:ascii="Times New Roman" w:hAnsi="Times New Roman"/>
                <w:sz w:val="20"/>
                <w:szCs w:val="20"/>
                <w:lang w:val="pl-PL"/>
              </w:rPr>
              <w:t xml:space="preserve"> </w:t>
            </w:r>
            <w:r w:rsidRPr="00AB319A">
              <w:rPr>
                <w:rFonts w:ascii="Times New Roman" w:hAnsi="Times New Roman"/>
                <w:sz w:val="20"/>
                <w:szCs w:val="20"/>
                <w:lang w:val="pl-PL"/>
              </w:rPr>
              <w:t>krwi</w:t>
            </w:r>
            <w:r w:rsidR="005E5C99">
              <w:rPr>
                <w:rFonts w:ascii="Times New Roman" w:hAnsi="Times New Roman"/>
                <w:sz w:val="20"/>
                <w:szCs w:val="20"/>
                <w:lang w:val="pl-PL"/>
              </w:rPr>
              <w:t xml:space="preserve"> </w:t>
            </w:r>
            <w:r w:rsidRPr="00AB319A">
              <w:rPr>
                <w:rFonts w:ascii="Times New Roman" w:hAnsi="Times New Roman"/>
                <w:sz w:val="20"/>
                <w:szCs w:val="20"/>
                <w:lang w:val="pl-PL"/>
              </w:rPr>
              <w:t>pacjenta</w:t>
            </w:r>
            <w:r w:rsidR="005E5C99">
              <w:rPr>
                <w:rFonts w:ascii="Times New Roman" w:hAnsi="Times New Roman"/>
                <w:sz w:val="20"/>
                <w:szCs w:val="20"/>
                <w:lang w:val="pl-PL"/>
              </w:rPr>
              <w:t xml:space="preserve"> </w:t>
            </w:r>
            <w:r w:rsidRPr="00AB319A">
              <w:rPr>
                <w:rFonts w:ascii="Times New Roman" w:hAnsi="Times New Roman"/>
                <w:sz w:val="20"/>
                <w:szCs w:val="20"/>
                <w:lang w:val="pl-PL"/>
              </w:rPr>
              <w:t>oraz</w:t>
            </w:r>
            <w:r w:rsidR="005E5C99">
              <w:rPr>
                <w:rFonts w:ascii="Times New Roman" w:hAnsi="Times New Roman"/>
                <w:sz w:val="20"/>
                <w:szCs w:val="20"/>
                <w:lang w:val="pl-PL"/>
              </w:rPr>
              <w:t xml:space="preserve"> </w:t>
            </w:r>
            <w:r w:rsidRPr="00AB319A">
              <w:rPr>
                <w:rFonts w:ascii="Times New Roman" w:hAnsi="Times New Roman"/>
                <w:sz w:val="20"/>
                <w:szCs w:val="20"/>
                <w:lang w:val="pl-PL"/>
              </w:rPr>
              <w:t>zmiany</w:t>
            </w:r>
            <w:r w:rsidR="005E5C99">
              <w:rPr>
                <w:rFonts w:ascii="Times New Roman" w:hAnsi="Times New Roman"/>
                <w:sz w:val="20"/>
                <w:szCs w:val="20"/>
                <w:lang w:val="pl-PL"/>
              </w:rPr>
              <w:t xml:space="preserve"> </w:t>
            </w:r>
            <w:r w:rsidRPr="00AB319A">
              <w:rPr>
                <w:rFonts w:ascii="Times New Roman" w:hAnsi="Times New Roman"/>
                <w:sz w:val="20"/>
                <w:szCs w:val="20"/>
                <w:lang w:val="pl-PL"/>
              </w:rPr>
              <w:t>masy</w:t>
            </w:r>
            <w:r w:rsidR="005E5C99">
              <w:rPr>
                <w:rFonts w:ascii="Times New Roman" w:hAnsi="Times New Roman"/>
                <w:sz w:val="20"/>
                <w:szCs w:val="20"/>
                <w:lang w:val="pl-PL"/>
              </w:rPr>
              <w:t xml:space="preserve"> </w:t>
            </w:r>
            <w:r w:rsidRPr="00AB319A">
              <w:rPr>
                <w:rFonts w:ascii="Times New Roman" w:hAnsi="Times New Roman"/>
                <w:sz w:val="20"/>
                <w:szCs w:val="20"/>
                <w:lang w:val="pl-PL"/>
              </w:rPr>
              <w:t>ciała</w:t>
            </w:r>
            <w:r w:rsidR="005E5C99">
              <w:rPr>
                <w:rFonts w:ascii="Times New Roman" w:hAnsi="Times New Roman"/>
                <w:sz w:val="20"/>
                <w:szCs w:val="20"/>
                <w:lang w:val="pl-PL"/>
              </w:rPr>
              <w:t xml:space="preserve"> </w:t>
            </w:r>
            <w:r w:rsidRPr="00AB319A">
              <w:rPr>
                <w:rFonts w:ascii="Times New Roman" w:hAnsi="Times New Roman"/>
                <w:sz w:val="20"/>
                <w:szCs w:val="20"/>
                <w:lang w:val="pl-PL"/>
              </w:rPr>
              <w:t>-</w:t>
            </w:r>
            <w:r w:rsidR="005E5C99">
              <w:rPr>
                <w:rFonts w:ascii="Times New Roman" w:hAnsi="Times New Roman"/>
                <w:sz w:val="20"/>
                <w:szCs w:val="20"/>
                <w:lang w:val="pl-PL"/>
              </w:rPr>
              <w:t xml:space="preserve"> </w:t>
            </w:r>
            <w:r w:rsidRPr="00AB319A">
              <w:rPr>
                <w:rFonts w:ascii="Times New Roman" w:hAnsi="Times New Roman"/>
                <w:sz w:val="20"/>
                <w:szCs w:val="20"/>
                <w:lang w:val="pl-PL"/>
              </w:rPr>
              <w:t>zgodnie</w:t>
            </w:r>
            <w:r w:rsidR="005E5C99">
              <w:rPr>
                <w:rFonts w:ascii="Times New Roman" w:hAnsi="Times New Roman"/>
                <w:sz w:val="20"/>
                <w:szCs w:val="20"/>
                <w:lang w:val="pl-PL"/>
              </w:rPr>
              <w:t xml:space="preserve"> </w:t>
            </w:r>
            <w:r w:rsidRPr="00AB319A">
              <w:rPr>
                <w:rFonts w:ascii="Times New Roman" w:hAnsi="Times New Roman"/>
                <w:sz w:val="20"/>
                <w:szCs w:val="20"/>
                <w:lang w:val="pl-PL"/>
              </w:rPr>
              <w:t>z</w:t>
            </w:r>
            <w:r w:rsidR="005E5C99">
              <w:rPr>
                <w:rFonts w:ascii="Times New Roman" w:hAnsi="Times New Roman"/>
                <w:sz w:val="20"/>
                <w:szCs w:val="20"/>
                <w:lang w:val="pl-PL"/>
              </w:rPr>
              <w:t xml:space="preserve"> </w:t>
            </w:r>
            <w:r w:rsidRPr="00AB319A">
              <w:rPr>
                <w:rFonts w:ascii="Times New Roman" w:hAnsi="Times New Roman"/>
                <w:sz w:val="20"/>
                <w:szCs w:val="20"/>
                <w:lang w:val="pl-PL"/>
              </w:rPr>
              <w:t>aktualną</w:t>
            </w:r>
            <w:r w:rsidR="005E5C99">
              <w:rPr>
                <w:rFonts w:ascii="Times New Roman" w:hAnsi="Times New Roman"/>
                <w:sz w:val="20"/>
                <w:szCs w:val="20"/>
                <w:lang w:val="pl-PL"/>
              </w:rPr>
              <w:t xml:space="preserve"> </w:t>
            </w:r>
            <w:r w:rsidRPr="00AB319A">
              <w:rPr>
                <w:rFonts w:ascii="Times New Roman" w:hAnsi="Times New Roman"/>
                <w:sz w:val="20"/>
                <w:szCs w:val="20"/>
                <w:lang w:val="pl-PL"/>
              </w:rPr>
              <w:t>na</w:t>
            </w:r>
            <w:r w:rsidR="005E5C99">
              <w:rPr>
                <w:rFonts w:ascii="Times New Roman" w:hAnsi="Times New Roman"/>
                <w:sz w:val="20"/>
                <w:szCs w:val="20"/>
                <w:lang w:val="pl-PL"/>
              </w:rPr>
              <w:t xml:space="preserve"> </w:t>
            </w:r>
            <w:r w:rsidRPr="00AB319A">
              <w:rPr>
                <w:rFonts w:ascii="Times New Roman" w:hAnsi="Times New Roman"/>
                <w:sz w:val="20"/>
                <w:szCs w:val="20"/>
                <w:lang w:val="pl-PL"/>
              </w:rPr>
              <w:t>dzień</w:t>
            </w:r>
            <w:r w:rsidR="005E5C99">
              <w:rPr>
                <w:rFonts w:ascii="Times New Roman" w:hAnsi="Times New Roman"/>
                <w:sz w:val="20"/>
                <w:szCs w:val="20"/>
                <w:lang w:val="pl-PL"/>
              </w:rPr>
              <w:t xml:space="preserve"> </w:t>
            </w:r>
            <w:r w:rsidRPr="00AB319A">
              <w:rPr>
                <w:rFonts w:ascii="Times New Roman" w:hAnsi="Times New Roman"/>
                <w:sz w:val="20"/>
                <w:szCs w:val="20"/>
                <w:lang w:val="pl-PL"/>
              </w:rPr>
              <w:t>wydania</w:t>
            </w:r>
            <w:r w:rsidR="005E5C99">
              <w:rPr>
                <w:rFonts w:ascii="Times New Roman" w:hAnsi="Times New Roman"/>
                <w:sz w:val="20"/>
                <w:szCs w:val="20"/>
                <w:lang w:val="pl-PL"/>
              </w:rPr>
              <w:t xml:space="preserve"> </w:t>
            </w:r>
            <w:r w:rsidRPr="00AB319A">
              <w:rPr>
                <w:rFonts w:ascii="Times New Roman" w:hAnsi="Times New Roman"/>
                <w:sz w:val="20"/>
                <w:szCs w:val="20"/>
                <w:lang w:val="pl-PL"/>
              </w:rPr>
              <w:t>decyzji</w:t>
            </w:r>
            <w:r w:rsidR="005E5C99">
              <w:rPr>
                <w:rFonts w:ascii="Times New Roman" w:hAnsi="Times New Roman"/>
                <w:sz w:val="20"/>
                <w:szCs w:val="20"/>
                <w:lang w:val="pl-PL"/>
              </w:rPr>
              <w:t xml:space="preserve"> </w:t>
            </w:r>
            <w:r w:rsidRPr="00AB319A">
              <w:rPr>
                <w:rFonts w:ascii="Times New Roman" w:hAnsi="Times New Roman"/>
                <w:sz w:val="20"/>
                <w:szCs w:val="20"/>
                <w:lang w:val="pl-PL"/>
              </w:rPr>
              <w:t>Charakterystyką</w:t>
            </w:r>
            <w:r w:rsidR="005E5C99">
              <w:rPr>
                <w:rFonts w:ascii="Times New Roman" w:hAnsi="Times New Roman"/>
                <w:sz w:val="20"/>
                <w:szCs w:val="20"/>
                <w:lang w:val="pl-PL"/>
              </w:rPr>
              <w:t xml:space="preserve"> </w:t>
            </w:r>
            <w:r w:rsidRPr="00AB319A">
              <w:rPr>
                <w:rFonts w:ascii="Times New Roman" w:hAnsi="Times New Roman"/>
                <w:sz w:val="20"/>
                <w:szCs w:val="20"/>
                <w:lang w:val="pl-PL"/>
              </w:rPr>
              <w:t>Produktu</w:t>
            </w:r>
            <w:r w:rsidR="005E5C99">
              <w:rPr>
                <w:rFonts w:ascii="Times New Roman" w:hAnsi="Times New Roman"/>
                <w:sz w:val="20"/>
                <w:szCs w:val="20"/>
                <w:lang w:val="pl-PL"/>
              </w:rPr>
              <w:t xml:space="preserve"> </w:t>
            </w:r>
            <w:r w:rsidRPr="00AB319A">
              <w:rPr>
                <w:rFonts w:ascii="Times New Roman" w:hAnsi="Times New Roman"/>
                <w:sz w:val="20"/>
                <w:szCs w:val="20"/>
                <w:lang w:val="pl-PL"/>
              </w:rPr>
              <w:t>Leczniczego.</w:t>
            </w:r>
          </w:p>
          <w:p w14:paraId="6C8B3AAE" w14:textId="4E496873" w:rsidR="006B10AF" w:rsidRDefault="006B10AF" w:rsidP="00041DA8">
            <w:pPr>
              <w:pStyle w:val="ColorfulList-Accent11"/>
              <w:spacing w:before="0" w:line="276" w:lineRule="auto"/>
              <w:ind w:left="454"/>
              <w:contextualSpacing w:val="0"/>
              <w:rPr>
                <w:rFonts w:ascii="Times New Roman" w:hAnsi="Times New Roman"/>
                <w:sz w:val="20"/>
                <w:szCs w:val="20"/>
                <w:lang w:val="pl-PL"/>
              </w:rPr>
            </w:pPr>
            <w:r w:rsidRPr="00AB319A">
              <w:rPr>
                <w:rFonts w:ascii="Times New Roman" w:hAnsi="Times New Roman"/>
                <w:sz w:val="20"/>
                <w:szCs w:val="20"/>
                <w:lang w:val="pl-PL"/>
              </w:rPr>
              <w:t>Celem</w:t>
            </w:r>
            <w:r w:rsidR="005E5C99">
              <w:rPr>
                <w:rFonts w:ascii="Times New Roman" w:hAnsi="Times New Roman"/>
                <w:sz w:val="20"/>
                <w:szCs w:val="20"/>
                <w:lang w:val="pl-PL"/>
              </w:rPr>
              <w:t xml:space="preserve"> </w:t>
            </w:r>
            <w:r w:rsidRPr="00AB319A">
              <w:rPr>
                <w:rFonts w:ascii="Times New Roman" w:hAnsi="Times New Roman"/>
                <w:sz w:val="20"/>
                <w:szCs w:val="20"/>
                <w:lang w:val="pl-PL"/>
              </w:rPr>
              <w:t>modyfikacji</w:t>
            </w:r>
            <w:r w:rsidR="005E5C99">
              <w:rPr>
                <w:rFonts w:ascii="Times New Roman" w:hAnsi="Times New Roman"/>
                <w:sz w:val="20"/>
                <w:szCs w:val="20"/>
                <w:lang w:val="pl-PL"/>
              </w:rPr>
              <w:t xml:space="preserve"> </w:t>
            </w:r>
            <w:r w:rsidRPr="00AB319A">
              <w:rPr>
                <w:rFonts w:ascii="Times New Roman" w:hAnsi="Times New Roman"/>
                <w:sz w:val="20"/>
                <w:szCs w:val="20"/>
                <w:lang w:val="pl-PL"/>
              </w:rPr>
              <w:t>dawek</w:t>
            </w:r>
            <w:r w:rsidR="005E5C99">
              <w:rPr>
                <w:rFonts w:ascii="Times New Roman" w:hAnsi="Times New Roman"/>
                <w:sz w:val="20"/>
                <w:szCs w:val="20"/>
                <w:lang w:val="pl-PL"/>
              </w:rPr>
              <w:t xml:space="preserve"> </w:t>
            </w:r>
            <w:r w:rsidRPr="00AB319A">
              <w:rPr>
                <w:rFonts w:ascii="Times New Roman" w:hAnsi="Times New Roman"/>
                <w:sz w:val="20"/>
                <w:szCs w:val="20"/>
                <w:lang w:val="pl-PL"/>
              </w:rPr>
              <w:t>jest</w:t>
            </w:r>
            <w:r w:rsidR="005E5C99">
              <w:rPr>
                <w:rFonts w:ascii="Times New Roman" w:hAnsi="Times New Roman"/>
                <w:sz w:val="20"/>
                <w:szCs w:val="20"/>
                <w:lang w:val="pl-PL"/>
              </w:rPr>
              <w:t xml:space="preserve"> </w:t>
            </w:r>
            <w:r w:rsidRPr="00AB319A">
              <w:rPr>
                <w:rFonts w:ascii="Times New Roman" w:hAnsi="Times New Roman"/>
                <w:sz w:val="20"/>
                <w:szCs w:val="20"/>
                <w:lang w:val="pl-PL"/>
              </w:rPr>
              <w:t>osiągnięcie</w:t>
            </w:r>
            <w:r w:rsidR="005E5C99">
              <w:rPr>
                <w:rFonts w:ascii="Times New Roman" w:hAnsi="Times New Roman"/>
                <w:sz w:val="20"/>
                <w:szCs w:val="20"/>
                <w:lang w:val="pl-PL"/>
              </w:rPr>
              <w:t xml:space="preserve"> </w:t>
            </w:r>
            <w:r w:rsidRPr="00AB319A">
              <w:rPr>
                <w:rFonts w:ascii="Times New Roman" w:hAnsi="Times New Roman"/>
                <w:sz w:val="20"/>
                <w:szCs w:val="20"/>
                <w:lang w:val="pl-PL"/>
              </w:rPr>
              <w:t>minimalnej</w:t>
            </w:r>
            <w:r w:rsidR="005E5C99">
              <w:rPr>
                <w:rFonts w:ascii="Times New Roman" w:hAnsi="Times New Roman"/>
                <w:sz w:val="20"/>
                <w:szCs w:val="20"/>
                <w:lang w:val="pl-PL"/>
              </w:rPr>
              <w:t xml:space="preserve"> </w:t>
            </w:r>
            <w:r w:rsidRPr="00AB319A">
              <w:rPr>
                <w:rFonts w:ascii="Times New Roman" w:hAnsi="Times New Roman"/>
                <w:sz w:val="20"/>
                <w:szCs w:val="20"/>
                <w:lang w:val="pl-PL"/>
              </w:rPr>
              <w:t>dawki</w:t>
            </w:r>
            <w:r w:rsidR="005E5C99">
              <w:rPr>
                <w:rFonts w:ascii="Times New Roman" w:hAnsi="Times New Roman"/>
                <w:sz w:val="20"/>
                <w:szCs w:val="20"/>
                <w:lang w:val="pl-PL"/>
              </w:rPr>
              <w:t xml:space="preserve"> </w:t>
            </w:r>
            <w:r w:rsidRPr="00AB319A">
              <w:rPr>
                <w:rFonts w:ascii="Times New Roman" w:hAnsi="Times New Roman"/>
                <w:sz w:val="20"/>
                <w:szCs w:val="20"/>
                <w:lang w:val="pl-PL"/>
              </w:rPr>
              <w:t>pozwalające</w:t>
            </w:r>
            <w:r w:rsidR="005E5C99">
              <w:rPr>
                <w:rFonts w:ascii="Times New Roman" w:hAnsi="Times New Roman"/>
                <w:sz w:val="20"/>
                <w:szCs w:val="20"/>
                <w:lang w:val="pl-PL"/>
              </w:rPr>
              <w:t xml:space="preserve"> </w:t>
            </w:r>
            <w:r w:rsidRPr="00AB319A">
              <w:rPr>
                <w:rFonts w:ascii="Times New Roman" w:hAnsi="Times New Roman"/>
                <w:sz w:val="20"/>
                <w:szCs w:val="20"/>
                <w:lang w:val="pl-PL"/>
              </w:rPr>
              <w:t>utrzymać</w:t>
            </w:r>
            <w:r w:rsidR="005E5C99">
              <w:rPr>
                <w:rFonts w:ascii="Times New Roman" w:hAnsi="Times New Roman"/>
                <w:sz w:val="20"/>
                <w:szCs w:val="20"/>
                <w:lang w:val="pl-PL"/>
              </w:rPr>
              <w:t xml:space="preserve"> </w:t>
            </w:r>
            <w:r w:rsidRPr="00AB319A">
              <w:rPr>
                <w:rFonts w:ascii="Times New Roman" w:hAnsi="Times New Roman"/>
                <w:sz w:val="20"/>
                <w:szCs w:val="20"/>
                <w:lang w:val="pl-PL"/>
              </w:rPr>
              <w:t>liczbę</w:t>
            </w:r>
            <w:r w:rsidR="005E5C99">
              <w:rPr>
                <w:rFonts w:ascii="Times New Roman" w:hAnsi="Times New Roman"/>
                <w:sz w:val="20"/>
                <w:szCs w:val="20"/>
                <w:lang w:val="pl-PL"/>
              </w:rPr>
              <w:t xml:space="preserve"> </w:t>
            </w:r>
            <w:r w:rsidRPr="00AB319A">
              <w:rPr>
                <w:rFonts w:ascii="Times New Roman" w:hAnsi="Times New Roman"/>
                <w:sz w:val="20"/>
                <w:szCs w:val="20"/>
                <w:lang w:val="pl-PL"/>
              </w:rPr>
              <w:t>płytek</w:t>
            </w:r>
            <w:r w:rsidR="005E5C99">
              <w:rPr>
                <w:rFonts w:ascii="Times New Roman" w:hAnsi="Times New Roman"/>
                <w:sz w:val="20"/>
                <w:szCs w:val="20"/>
                <w:lang w:val="pl-PL"/>
              </w:rPr>
              <w:t xml:space="preserve"> </w:t>
            </w:r>
            <w:r w:rsidRPr="00AB319A">
              <w:rPr>
                <w:rFonts w:ascii="Times New Roman" w:hAnsi="Times New Roman"/>
                <w:sz w:val="20"/>
                <w:szCs w:val="20"/>
                <w:lang w:val="pl-PL"/>
              </w:rPr>
              <w:t>≥</w:t>
            </w:r>
            <w:r w:rsidR="005E5C99">
              <w:rPr>
                <w:rFonts w:ascii="Times New Roman" w:hAnsi="Times New Roman"/>
                <w:sz w:val="20"/>
                <w:szCs w:val="20"/>
                <w:lang w:val="pl-PL"/>
              </w:rPr>
              <w:t xml:space="preserve"> </w:t>
            </w:r>
            <w:r w:rsidRPr="00AB319A">
              <w:rPr>
                <w:rFonts w:ascii="Times New Roman" w:hAnsi="Times New Roman"/>
                <w:sz w:val="20"/>
                <w:szCs w:val="20"/>
                <w:lang w:val="pl-PL"/>
              </w:rPr>
              <w:t>50</w:t>
            </w:r>
            <w:r w:rsidR="005E5C99">
              <w:rPr>
                <w:rFonts w:ascii="Times New Roman" w:hAnsi="Times New Roman"/>
                <w:sz w:val="20"/>
                <w:szCs w:val="20"/>
                <w:lang w:val="pl-PL"/>
              </w:rPr>
              <w:t xml:space="preserve"> </w:t>
            </w:r>
            <w:r w:rsidR="00003CC8" w:rsidRPr="00AB319A">
              <w:rPr>
                <w:rFonts w:ascii="Times New Roman" w:hAnsi="Times New Roman"/>
                <w:sz w:val="20"/>
                <w:szCs w:val="20"/>
                <w:lang w:val="pl-PL"/>
              </w:rPr>
              <w:t>tys.</w:t>
            </w:r>
            <w:r w:rsidRPr="00AB319A">
              <w:rPr>
                <w:rFonts w:ascii="Times New Roman" w:hAnsi="Times New Roman"/>
                <w:sz w:val="20"/>
                <w:szCs w:val="20"/>
                <w:lang w:val="pl-PL"/>
              </w:rPr>
              <w:t>/μl.</w:t>
            </w:r>
          </w:p>
          <w:p w14:paraId="641706AD" w14:textId="77777777" w:rsidR="006A70AF" w:rsidRPr="00AB319A" w:rsidRDefault="006A70AF" w:rsidP="00041DA8">
            <w:pPr>
              <w:pStyle w:val="ColorfulList-Accent11"/>
              <w:spacing w:before="0" w:line="276" w:lineRule="auto"/>
              <w:ind w:left="454"/>
              <w:contextualSpacing w:val="0"/>
              <w:rPr>
                <w:rFonts w:ascii="Times New Roman" w:hAnsi="Times New Roman"/>
                <w:sz w:val="20"/>
                <w:szCs w:val="20"/>
                <w:lang w:val="pl-PL"/>
              </w:rPr>
            </w:pPr>
          </w:p>
          <w:p w14:paraId="0CF2D477" w14:textId="595A68AB" w:rsidR="0047380E" w:rsidRPr="00FE7472" w:rsidRDefault="00EC22AF" w:rsidP="00EC22AF">
            <w:pPr>
              <w:pStyle w:val="ColorfulList-Accent11"/>
              <w:numPr>
                <w:ilvl w:val="0"/>
                <w:numId w:val="8"/>
              </w:numPr>
              <w:spacing w:before="0" w:line="276" w:lineRule="auto"/>
              <w:contextualSpacing w:val="0"/>
              <w:rPr>
                <w:rFonts w:ascii="Times New Roman" w:hAnsi="Times New Roman"/>
                <w:b/>
                <w:bCs/>
                <w:sz w:val="20"/>
                <w:szCs w:val="20"/>
                <w:lang w:val="pl-PL"/>
              </w:rPr>
            </w:pPr>
            <w:r w:rsidRPr="00FE7472">
              <w:rPr>
                <w:rFonts w:ascii="Times New Roman" w:hAnsi="Times New Roman"/>
                <w:b/>
                <w:bCs/>
                <w:sz w:val="20"/>
                <w:szCs w:val="20"/>
                <w:lang w:val="pl-PL"/>
              </w:rPr>
              <w:t>Dawkowanie rytuksymabu</w:t>
            </w:r>
          </w:p>
          <w:p w14:paraId="246503AF" w14:textId="6F5947D2" w:rsidR="00EC22AF" w:rsidRDefault="00DC1948" w:rsidP="00EC22AF">
            <w:pPr>
              <w:pStyle w:val="ColorfulList-Accent11"/>
              <w:numPr>
                <w:ilvl w:val="3"/>
                <w:numId w:val="9"/>
              </w:numPr>
              <w:spacing w:before="0" w:line="276" w:lineRule="auto"/>
              <w:contextualSpacing w:val="0"/>
              <w:rPr>
                <w:rFonts w:ascii="Times New Roman" w:hAnsi="Times New Roman"/>
                <w:sz w:val="20"/>
                <w:szCs w:val="20"/>
                <w:lang w:val="pl-PL"/>
              </w:rPr>
            </w:pPr>
            <w:r>
              <w:rPr>
                <w:rFonts w:ascii="Times New Roman" w:hAnsi="Times New Roman"/>
                <w:sz w:val="20"/>
                <w:szCs w:val="20"/>
                <w:lang w:val="pl-PL"/>
              </w:rPr>
              <w:t>z</w:t>
            </w:r>
            <w:r w:rsidR="00EC22AF">
              <w:rPr>
                <w:rFonts w:ascii="Times New Roman" w:hAnsi="Times New Roman"/>
                <w:sz w:val="20"/>
                <w:szCs w:val="20"/>
                <w:lang w:val="pl-PL"/>
              </w:rPr>
              <w:t>alecana dawka</w:t>
            </w:r>
            <w:r>
              <w:rPr>
                <w:rFonts w:ascii="Times New Roman" w:hAnsi="Times New Roman"/>
                <w:sz w:val="20"/>
                <w:szCs w:val="20"/>
                <w:lang w:val="pl-PL"/>
              </w:rPr>
              <w:t>: 375 mg/m</w:t>
            </w:r>
            <w:r>
              <w:rPr>
                <w:rFonts w:ascii="Times New Roman" w:hAnsi="Times New Roman"/>
                <w:sz w:val="20"/>
                <w:szCs w:val="20"/>
                <w:vertAlign w:val="superscript"/>
                <w:lang w:val="pl-PL"/>
              </w:rPr>
              <w:t>2</w:t>
            </w:r>
            <w:r>
              <w:rPr>
                <w:rFonts w:ascii="Times New Roman" w:hAnsi="Times New Roman"/>
                <w:sz w:val="20"/>
                <w:szCs w:val="20"/>
                <w:lang w:val="pl-PL"/>
              </w:rPr>
              <w:t xml:space="preserve"> we wlewie dożylnym raz w tygodniu;</w:t>
            </w:r>
          </w:p>
          <w:p w14:paraId="67A47D10" w14:textId="371A189A" w:rsidR="00DC1948" w:rsidRPr="00AB319A" w:rsidRDefault="00DC1948" w:rsidP="00FE7472">
            <w:pPr>
              <w:pStyle w:val="ColorfulList-Accent11"/>
              <w:numPr>
                <w:ilvl w:val="3"/>
                <w:numId w:val="9"/>
              </w:numPr>
              <w:spacing w:before="0" w:line="276" w:lineRule="auto"/>
              <w:contextualSpacing w:val="0"/>
              <w:rPr>
                <w:rFonts w:ascii="Times New Roman" w:hAnsi="Times New Roman"/>
                <w:sz w:val="20"/>
                <w:szCs w:val="20"/>
                <w:lang w:val="pl-PL"/>
              </w:rPr>
            </w:pPr>
            <w:r w:rsidRPr="00DC1948">
              <w:rPr>
                <w:rFonts w:ascii="Times New Roman" w:hAnsi="Times New Roman"/>
                <w:sz w:val="20"/>
                <w:szCs w:val="20"/>
                <w:lang w:val="pl-PL"/>
              </w:rPr>
              <w:t>30 minut przed wlewem rytuksymabu należy podać metyloprednizolon w dawce 100 mg dożylnie</w:t>
            </w:r>
            <w:r>
              <w:rPr>
                <w:rFonts w:ascii="Times New Roman" w:hAnsi="Times New Roman"/>
                <w:sz w:val="20"/>
                <w:szCs w:val="20"/>
                <w:lang w:val="pl-PL"/>
              </w:rPr>
              <w:t>.</w:t>
            </w:r>
          </w:p>
          <w:p w14:paraId="35E8B46E" w14:textId="34571CA6" w:rsidR="0047380E" w:rsidRPr="00AB319A" w:rsidRDefault="0047380E" w:rsidP="00041DA8">
            <w:pPr>
              <w:widowControl w:val="0"/>
              <w:spacing w:after="60"/>
              <w:jc w:val="both"/>
              <w:rPr>
                <w:rFonts w:ascii="Times New Roman" w:hAnsi="Times New Roman"/>
                <w:sz w:val="20"/>
                <w:szCs w:val="20"/>
              </w:rPr>
            </w:pPr>
          </w:p>
        </w:tc>
        <w:tc>
          <w:tcPr>
            <w:tcW w:w="1667" w:type="pct"/>
          </w:tcPr>
          <w:p w14:paraId="3B5EAEB6" w14:textId="7FCD8BB5" w:rsidR="006B10AF" w:rsidRPr="00AB319A" w:rsidRDefault="006B10AF" w:rsidP="006A70AF">
            <w:pPr>
              <w:pStyle w:val="Akapitzlist"/>
              <w:widowControl w:val="0"/>
              <w:numPr>
                <w:ilvl w:val="0"/>
                <w:numId w:val="10"/>
              </w:numPr>
              <w:spacing w:before="120" w:after="60"/>
              <w:contextualSpacing w:val="0"/>
              <w:jc w:val="both"/>
              <w:rPr>
                <w:rFonts w:ascii="Times New Roman" w:hAnsi="Times New Roman" w:cs="Times New Roman"/>
                <w:b/>
                <w:bCs/>
                <w:spacing w:val="4"/>
                <w:sz w:val="20"/>
                <w:szCs w:val="20"/>
              </w:rPr>
            </w:pPr>
            <w:r w:rsidRPr="00AB319A">
              <w:rPr>
                <w:rFonts w:ascii="Times New Roman" w:hAnsi="Times New Roman" w:cs="Times New Roman"/>
                <w:b/>
                <w:bCs/>
                <w:spacing w:val="4"/>
                <w:sz w:val="20"/>
                <w:szCs w:val="20"/>
              </w:rPr>
              <w:lastRenderedPageBreak/>
              <w:t>Badania</w:t>
            </w:r>
            <w:r w:rsidR="005E5C99">
              <w:rPr>
                <w:rFonts w:ascii="Times New Roman" w:hAnsi="Times New Roman" w:cs="Times New Roman"/>
                <w:b/>
                <w:bCs/>
                <w:spacing w:val="4"/>
                <w:sz w:val="20"/>
                <w:szCs w:val="20"/>
              </w:rPr>
              <w:t xml:space="preserve"> </w:t>
            </w:r>
            <w:r w:rsidRPr="00AB319A">
              <w:rPr>
                <w:rFonts w:ascii="Times New Roman" w:hAnsi="Times New Roman" w:cs="Times New Roman"/>
                <w:b/>
                <w:bCs/>
                <w:spacing w:val="4"/>
                <w:sz w:val="20"/>
                <w:szCs w:val="20"/>
              </w:rPr>
              <w:t>przy</w:t>
            </w:r>
            <w:r w:rsidR="005E5C99">
              <w:rPr>
                <w:rFonts w:ascii="Times New Roman" w:hAnsi="Times New Roman" w:cs="Times New Roman"/>
                <w:b/>
                <w:bCs/>
                <w:spacing w:val="4"/>
                <w:sz w:val="20"/>
                <w:szCs w:val="20"/>
              </w:rPr>
              <w:t xml:space="preserve"> </w:t>
            </w:r>
            <w:r w:rsidRPr="00AB319A">
              <w:rPr>
                <w:rFonts w:ascii="Times New Roman" w:hAnsi="Times New Roman" w:cs="Times New Roman"/>
                <w:b/>
                <w:bCs/>
                <w:spacing w:val="4"/>
                <w:sz w:val="20"/>
                <w:szCs w:val="20"/>
              </w:rPr>
              <w:t>kwalifikacji</w:t>
            </w:r>
            <w:r w:rsidR="005E5C99">
              <w:rPr>
                <w:rFonts w:ascii="Times New Roman" w:hAnsi="Times New Roman" w:cs="Times New Roman"/>
                <w:b/>
                <w:bCs/>
                <w:spacing w:val="4"/>
                <w:sz w:val="20"/>
                <w:szCs w:val="20"/>
              </w:rPr>
              <w:t xml:space="preserve"> </w:t>
            </w:r>
          </w:p>
          <w:p w14:paraId="3A615249" w14:textId="1D0C3117" w:rsidR="006B10AF" w:rsidRPr="00AB319A" w:rsidRDefault="006B10AF" w:rsidP="006A70AF">
            <w:pPr>
              <w:pStyle w:val="Akapitzlist"/>
              <w:numPr>
                <w:ilvl w:val="3"/>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morfologia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krwi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rozmazem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białokrwinkowym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liczbą</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płytek;</w:t>
            </w:r>
          </w:p>
          <w:p w14:paraId="429E9003" w14:textId="0F570A93" w:rsidR="006B10AF" w:rsidRPr="00AB319A" w:rsidRDefault="006B10AF" w:rsidP="006A70AF">
            <w:pPr>
              <w:pStyle w:val="Akapitzlist"/>
              <w:numPr>
                <w:ilvl w:val="3"/>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parametry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czynności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wątroby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(AlAT,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AspAT,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bilirubina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całkowita,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APTT,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INR,</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albumina);</w:t>
            </w:r>
          </w:p>
          <w:p w14:paraId="5807A698" w14:textId="5AF17E8A" w:rsidR="006B10AF" w:rsidRPr="00AB319A" w:rsidRDefault="006B10AF" w:rsidP="006A70AF">
            <w:pPr>
              <w:pStyle w:val="Akapitzlist"/>
              <w:widowControl w:val="0"/>
              <w:numPr>
                <w:ilvl w:val="3"/>
                <w:numId w:val="10"/>
              </w:numPr>
              <w:spacing w:after="60"/>
              <w:contextualSpacing w:val="0"/>
              <w:jc w:val="both"/>
              <w:rPr>
                <w:rFonts w:ascii="Times New Roman" w:eastAsia="Times New Roman" w:hAnsi="Times New Roman" w:cs="Times New Roman"/>
                <w:sz w:val="20"/>
                <w:szCs w:val="20"/>
                <w:lang w:eastAsia="pl-PL"/>
              </w:rPr>
            </w:pPr>
            <w:r w:rsidRPr="00AB319A">
              <w:rPr>
                <w:rFonts w:ascii="Times New Roman" w:hAnsi="Times New Roman" w:cs="Times New Roman"/>
                <w:sz w:val="20"/>
                <w:szCs w:val="20"/>
              </w:rPr>
              <w:t>badanie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okulistyczne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dotyczy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kwalifikacji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do</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eltrombopagu;</w:t>
            </w:r>
          </w:p>
          <w:p w14:paraId="5FB7D5A3" w14:textId="1BACB58E" w:rsidR="006B10AF" w:rsidRPr="00AB319A" w:rsidRDefault="006B10AF" w:rsidP="006A70AF">
            <w:pPr>
              <w:pStyle w:val="Akapitzlist"/>
              <w:widowControl w:val="0"/>
              <w:numPr>
                <w:ilvl w:val="3"/>
                <w:numId w:val="10"/>
              </w:numPr>
              <w:spacing w:after="60"/>
              <w:contextualSpacing w:val="0"/>
              <w:jc w:val="both"/>
              <w:rPr>
                <w:rFonts w:ascii="Times New Roman" w:eastAsia="Times New Roman" w:hAnsi="Times New Roman" w:cs="Times New Roman"/>
                <w:sz w:val="20"/>
                <w:szCs w:val="20"/>
                <w:lang w:eastAsia="pl-PL"/>
              </w:rPr>
            </w:pPr>
            <w:r w:rsidRPr="00AB319A">
              <w:rPr>
                <w:rFonts w:ascii="Times New Roman" w:eastAsia="Times New Roman" w:hAnsi="Times New Roman" w:cs="Times New Roman"/>
                <w:sz w:val="20"/>
                <w:szCs w:val="20"/>
                <w:lang w:eastAsia="pl-PL"/>
              </w:rPr>
              <w:t>test</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ciążowy</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u</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kobiet</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w</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wieku</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rozrodczym</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jeśli</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dotyczy.</w:t>
            </w:r>
          </w:p>
          <w:p w14:paraId="2A8BA668" w14:textId="77777777" w:rsidR="006B10AF" w:rsidRPr="005E5C99" w:rsidRDefault="006B10AF" w:rsidP="005E5C99">
            <w:pPr>
              <w:widowControl w:val="0"/>
              <w:spacing w:after="60"/>
              <w:jc w:val="both"/>
              <w:rPr>
                <w:rFonts w:ascii="Times New Roman" w:eastAsia="Times New Roman" w:hAnsi="Times New Roman"/>
                <w:sz w:val="20"/>
                <w:szCs w:val="20"/>
                <w:lang w:eastAsia="pl-PL"/>
              </w:rPr>
            </w:pPr>
          </w:p>
          <w:p w14:paraId="4A7BB59A" w14:textId="1E8F7022" w:rsidR="006B10AF" w:rsidRPr="00AB319A" w:rsidRDefault="006B10AF" w:rsidP="006A70AF">
            <w:pPr>
              <w:pStyle w:val="Akapitzlist"/>
              <w:widowControl w:val="0"/>
              <w:numPr>
                <w:ilvl w:val="0"/>
                <w:numId w:val="10"/>
              </w:numPr>
              <w:spacing w:after="60"/>
              <w:contextualSpacing w:val="0"/>
              <w:jc w:val="both"/>
              <w:rPr>
                <w:rFonts w:ascii="Times New Roman" w:eastAsia="Times New Roman" w:hAnsi="Times New Roman" w:cs="Times New Roman"/>
                <w:b/>
                <w:sz w:val="20"/>
                <w:szCs w:val="20"/>
                <w:lang w:eastAsia="pl-PL"/>
              </w:rPr>
            </w:pPr>
            <w:r w:rsidRPr="00AB319A">
              <w:rPr>
                <w:rFonts w:ascii="Times New Roman" w:eastAsia="Times New Roman" w:hAnsi="Times New Roman" w:cs="Times New Roman"/>
                <w:b/>
                <w:sz w:val="20"/>
                <w:szCs w:val="20"/>
                <w:lang w:eastAsia="pl-PL"/>
              </w:rPr>
              <w:t>Monitorowanie</w:t>
            </w:r>
            <w:r w:rsidR="005E5C99">
              <w:rPr>
                <w:rFonts w:ascii="Times New Roman" w:eastAsia="Times New Roman" w:hAnsi="Times New Roman" w:cs="Times New Roman"/>
                <w:b/>
                <w:sz w:val="20"/>
                <w:szCs w:val="20"/>
                <w:lang w:eastAsia="pl-PL"/>
              </w:rPr>
              <w:t xml:space="preserve"> </w:t>
            </w:r>
            <w:r w:rsidRPr="00AB319A">
              <w:rPr>
                <w:rFonts w:ascii="Times New Roman" w:eastAsia="Times New Roman" w:hAnsi="Times New Roman" w:cs="Times New Roman"/>
                <w:b/>
                <w:sz w:val="20"/>
                <w:szCs w:val="20"/>
                <w:lang w:eastAsia="pl-PL"/>
              </w:rPr>
              <w:t>leczenia</w:t>
            </w:r>
            <w:r w:rsidR="005E5C99">
              <w:rPr>
                <w:rFonts w:ascii="Times New Roman" w:eastAsia="Times New Roman" w:hAnsi="Times New Roman" w:cs="Times New Roman"/>
                <w:b/>
                <w:sz w:val="20"/>
                <w:szCs w:val="20"/>
                <w:lang w:eastAsia="pl-PL"/>
              </w:rPr>
              <w:t xml:space="preserve"> </w:t>
            </w:r>
          </w:p>
          <w:p w14:paraId="06F2BC46" w14:textId="06054F91" w:rsidR="006B10AF" w:rsidRPr="00AB319A" w:rsidRDefault="006B10AF" w:rsidP="006A70AF">
            <w:pPr>
              <w:pStyle w:val="Akapitzlist"/>
              <w:numPr>
                <w:ilvl w:val="3"/>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iCs/>
                <w:sz w:val="20"/>
                <w:szCs w:val="20"/>
              </w:rPr>
              <w:t>badania</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przeprowadzane</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w</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pierwszych</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4</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tygodniach</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leczenia</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oraz</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w</w:t>
            </w:r>
            <w:r w:rsidR="005E5C99">
              <w:rPr>
                <w:rFonts w:ascii="Times New Roman" w:hAnsi="Times New Roman" w:cs="Times New Roman"/>
                <w:iCs/>
                <w:sz w:val="20"/>
                <w:szCs w:val="20"/>
              </w:rPr>
              <w:t xml:space="preserve"> </w:t>
            </w:r>
            <w:r w:rsidRPr="00AB319A">
              <w:rPr>
                <w:rFonts w:ascii="Times New Roman" w:hAnsi="Times New Roman" w:cs="Times New Roman"/>
                <w:iCs/>
                <w:sz w:val="20"/>
                <w:szCs w:val="20"/>
              </w:rPr>
              <w:t>okresie</w:t>
            </w:r>
            <w:r w:rsidR="005E5C99">
              <w:rPr>
                <w:rFonts w:ascii="Times New Roman" w:hAnsi="Times New Roman" w:cs="Times New Roman"/>
                <w:iCs/>
                <w:sz w:val="20"/>
                <w:szCs w:val="20"/>
              </w:rPr>
              <w:t xml:space="preserve"> </w:t>
            </w:r>
            <w:r w:rsidRPr="00AB319A">
              <w:rPr>
                <w:rFonts w:ascii="Times New Roman" w:hAnsi="Times New Roman" w:cs="Times New Roman"/>
                <w:sz w:val="20"/>
                <w:szCs w:val="20"/>
              </w:rPr>
              <w:t>braku</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odpowiedzi:</w:t>
            </w:r>
          </w:p>
          <w:p w14:paraId="292D8F6A" w14:textId="1A7AD5B3" w:rsidR="006B10AF" w:rsidRPr="00AB319A" w:rsidRDefault="006B10AF" w:rsidP="006A70AF">
            <w:pPr>
              <w:pStyle w:val="Akapitzlist"/>
              <w:numPr>
                <w:ilvl w:val="4"/>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wykonywane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co</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1</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tydzień</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(dla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wszystkich):</w:t>
            </w:r>
          </w:p>
          <w:p w14:paraId="53E3A202" w14:textId="3FAD1910" w:rsidR="006B10AF" w:rsidRPr="00AB319A" w:rsidRDefault="006B10AF" w:rsidP="006A70AF">
            <w:pPr>
              <w:pStyle w:val="Akapitzlist"/>
              <w:numPr>
                <w:ilvl w:val="5"/>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morfologia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krwi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rozmazem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białokrwinkowym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liczbą</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płytek,</w:t>
            </w:r>
          </w:p>
          <w:p w14:paraId="5ECB1206" w14:textId="6292348A" w:rsidR="006B10AF" w:rsidRPr="00AB319A" w:rsidRDefault="006B10AF" w:rsidP="006A70AF">
            <w:pPr>
              <w:pStyle w:val="Akapitzlist"/>
              <w:numPr>
                <w:ilvl w:val="4"/>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wykonywane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co</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2</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tygodnie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(dotyczy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leczenia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eltrombopagiem):</w:t>
            </w:r>
          </w:p>
          <w:p w14:paraId="2F7F4E37" w14:textId="54547CAA" w:rsidR="006B10AF" w:rsidRPr="00AB319A" w:rsidRDefault="006B10AF" w:rsidP="006A70AF">
            <w:pPr>
              <w:pStyle w:val="Akapitzlist"/>
              <w:numPr>
                <w:ilvl w:val="5"/>
                <w:numId w:val="10"/>
              </w:numPr>
              <w:spacing w:after="60"/>
              <w:contextualSpacing w:val="0"/>
              <w:jc w:val="both"/>
              <w:rPr>
                <w:rFonts w:ascii="Times New Roman" w:hAnsi="Times New Roman" w:cs="Times New Roman"/>
                <w:iCs/>
                <w:sz w:val="20"/>
                <w:szCs w:val="20"/>
              </w:rPr>
            </w:pPr>
            <w:r w:rsidRPr="00AB319A">
              <w:rPr>
                <w:rFonts w:ascii="Times New Roman" w:hAnsi="Times New Roman" w:cs="Times New Roman"/>
                <w:sz w:val="20"/>
                <w:szCs w:val="20"/>
              </w:rPr>
              <w:t>parametry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czynności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wątroby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(AlAT,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AspAT,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bilirubina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całkowita,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APTT,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INR,</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albumina);</w:t>
            </w:r>
          </w:p>
          <w:p w14:paraId="41E86C3F" w14:textId="3B7BA53C" w:rsidR="006B10AF" w:rsidRPr="00AB319A" w:rsidRDefault="006B10AF" w:rsidP="006A70AF">
            <w:pPr>
              <w:pStyle w:val="Akapitzlist"/>
              <w:numPr>
                <w:ilvl w:val="3"/>
                <w:numId w:val="10"/>
              </w:numPr>
              <w:spacing w:after="60"/>
              <w:contextualSpacing w:val="0"/>
              <w:jc w:val="both"/>
              <w:rPr>
                <w:rFonts w:ascii="Times New Roman" w:hAnsi="Times New Roman" w:cs="Times New Roman"/>
                <w:iCs/>
                <w:sz w:val="20"/>
                <w:szCs w:val="20"/>
              </w:rPr>
            </w:pPr>
            <w:r w:rsidRPr="00AB319A">
              <w:rPr>
                <w:rFonts w:ascii="Times New Roman" w:hAnsi="Times New Roman" w:cs="Times New Roman"/>
                <w:sz w:val="20"/>
                <w:szCs w:val="20"/>
              </w:rPr>
              <w:lastRenderedPageBreak/>
              <w:t>badania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przeprowadzane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od</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4</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tygodnia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leczenia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u</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wszystkich</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odpowiadających</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pacjentów:</w:t>
            </w:r>
          </w:p>
          <w:p w14:paraId="0C8D85AE" w14:textId="5B54FF82" w:rsidR="006B10AF" w:rsidRPr="00AB319A" w:rsidRDefault="006B10AF" w:rsidP="006A70AF">
            <w:pPr>
              <w:pStyle w:val="Akapitzlist"/>
              <w:numPr>
                <w:ilvl w:val="4"/>
                <w:numId w:val="10"/>
              </w:numPr>
              <w:spacing w:after="60"/>
              <w:contextualSpacing w:val="0"/>
              <w:jc w:val="both"/>
              <w:rPr>
                <w:rFonts w:ascii="Times New Roman" w:hAnsi="Times New Roman" w:cs="Times New Roman"/>
                <w:iCs/>
                <w:sz w:val="20"/>
                <w:szCs w:val="20"/>
              </w:rPr>
            </w:pPr>
            <w:r w:rsidRPr="00AB319A">
              <w:rPr>
                <w:rFonts w:ascii="Times New Roman" w:hAnsi="Times New Roman" w:cs="Times New Roman"/>
                <w:sz w:val="20"/>
                <w:szCs w:val="20"/>
              </w:rPr>
              <w:t>wykonywane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co</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1</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miesiąc:</w:t>
            </w:r>
          </w:p>
          <w:p w14:paraId="2C4E210E" w14:textId="774EF7FB" w:rsidR="006B10AF" w:rsidRPr="00AB319A" w:rsidRDefault="006B10AF" w:rsidP="006A70AF">
            <w:pPr>
              <w:pStyle w:val="Akapitzlist"/>
              <w:numPr>
                <w:ilvl w:val="5"/>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morfologia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krwi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rozmazem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białokrwinkowym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liczbą</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płytek,</w:t>
            </w:r>
          </w:p>
          <w:p w14:paraId="4C56DC71" w14:textId="50CCBA38" w:rsidR="006B10AF" w:rsidRPr="00AB319A" w:rsidRDefault="006B10AF" w:rsidP="006A70AF">
            <w:pPr>
              <w:pStyle w:val="Akapitzlist"/>
              <w:numPr>
                <w:ilvl w:val="4"/>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wykonywane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co</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3</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miesiące:</w:t>
            </w:r>
          </w:p>
          <w:p w14:paraId="3B53CA65" w14:textId="6CF963F0" w:rsidR="006B10AF" w:rsidRPr="00AB319A" w:rsidRDefault="006B10AF" w:rsidP="006A70AF">
            <w:pPr>
              <w:pStyle w:val="Akapitzlist"/>
              <w:numPr>
                <w:ilvl w:val="5"/>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parametry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czynności</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wątroby</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(AlAT,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AspAT,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bilirubina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całkowita,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APTT,</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INR,</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albumina);</w:t>
            </w:r>
            <w:r w:rsidR="005E5C99">
              <w:rPr>
                <w:rFonts w:ascii="Times New Roman" w:hAnsi="Times New Roman" w:cs="Times New Roman"/>
                <w:sz w:val="20"/>
                <w:szCs w:val="20"/>
              </w:rPr>
              <w:t xml:space="preserve"> </w:t>
            </w:r>
          </w:p>
          <w:p w14:paraId="18885B63" w14:textId="6E07C58D" w:rsidR="006B10AF" w:rsidRPr="00AB319A" w:rsidRDefault="006B10AF" w:rsidP="006A70AF">
            <w:pPr>
              <w:pStyle w:val="Akapitzlist"/>
              <w:numPr>
                <w:ilvl w:val="3"/>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badanie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przeprowadzane</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przypadku</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wystąpienia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nowych</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lub</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postępujących</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nieprawidłowości</w:t>
            </w:r>
            <w:r w:rsidR="005E5C99">
              <w:rPr>
                <w:rFonts w:ascii="Times New Roman" w:hAnsi="Times New Roman" w:cs="Times New Roman"/>
                <w:sz w:val="20"/>
                <w:szCs w:val="20"/>
              </w:rPr>
              <w:t xml:space="preserve"> </w:t>
            </w:r>
            <w:r w:rsidRPr="00AB319A">
              <w:rPr>
                <w:rFonts w:ascii="Times New Roman" w:hAnsi="Times New Roman" w:cs="Times New Roman"/>
                <w:bCs/>
                <w:sz w:val="20"/>
                <w:szCs w:val="20"/>
              </w:rPr>
              <w:t>w</w:t>
            </w:r>
            <w:r w:rsidR="005E5C99">
              <w:rPr>
                <w:rFonts w:ascii="Times New Roman" w:hAnsi="Times New Roman" w:cs="Times New Roman"/>
                <w:bCs/>
                <w:sz w:val="20"/>
                <w:szCs w:val="20"/>
              </w:rPr>
              <w:t xml:space="preserve"> </w:t>
            </w:r>
            <w:r w:rsidRPr="00AB319A">
              <w:rPr>
                <w:rFonts w:ascii="Times New Roman" w:hAnsi="Times New Roman" w:cs="Times New Roman"/>
                <w:bCs/>
                <w:sz w:val="20"/>
                <w:szCs w:val="20"/>
              </w:rPr>
              <w:t>morfologii</w:t>
            </w:r>
            <w:r w:rsidR="005E5C99">
              <w:rPr>
                <w:rFonts w:ascii="Times New Roman" w:hAnsi="Times New Roman" w:cs="Times New Roman"/>
                <w:bCs/>
                <w:sz w:val="20"/>
                <w:szCs w:val="20"/>
              </w:rPr>
              <w:t xml:space="preserve"> </w:t>
            </w:r>
            <w:r w:rsidRPr="00AB319A">
              <w:rPr>
                <w:rFonts w:ascii="Times New Roman" w:hAnsi="Times New Roman" w:cs="Times New Roman"/>
                <w:bCs/>
                <w:sz w:val="20"/>
                <w:szCs w:val="20"/>
              </w:rPr>
              <w:t>krwi</w:t>
            </w:r>
            <w:r w:rsidRPr="00AB319A">
              <w:rPr>
                <w:rFonts w:ascii="Times New Roman" w:hAnsi="Times New Roman" w:cs="Times New Roman"/>
                <w:sz w:val="20"/>
                <w:szCs w:val="20"/>
              </w:rPr>
              <w:t>:</w:t>
            </w:r>
          </w:p>
          <w:p w14:paraId="42269E83" w14:textId="0C8A4361" w:rsidR="006B10AF" w:rsidRPr="00AB319A" w:rsidRDefault="006B10AF" w:rsidP="006A70AF">
            <w:pPr>
              <w:pStyle w:val="Akapitzlist"/>
              <w:widowControl w:val="0"/>
              <w:numPr>
                <w:ilvl w:val="4"/>
                <w:numId w:val="10"/>
              </w:numPr>
              <w:spacing w:after="60"/>
              <w:contextualSpacing w:val="0"/>
              <w:jc w:val="both"/>
              <w:rPr>
                <w:rFonts w:ascii="Times New Roman" w:hAnsi="Times New Roman" w:cs="Times New Roman"/>
                <w:sz w:val="20"/>
                <w:szCs w:val="20"/>
              </w:rPr>
            </w:pPr>
            <w:r w:rsidRPr="00AB319A">
              <w:rPr>
                <w:rFonts w:ascii="Times New Roman" w:hAnsi="Times New Roman" w:cs="Times New Roman"/>
                <w:sz w:val="20"/>
                <w:szCs w:val="20"/>
              </w:rPr>
              <w:t>biopsja</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szpiku</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kostnego</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z</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barwieniem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oceniającym</w:t>
            </w:r>
            <w:r w:rsidR="005E5C99">
              <w:rPr>
                <w:rFonts w:ascii="Times New Roman" w:hAnsi="Times New Roman" w:cs="Times New Roman"/>
                <w:sz w:val="20"/>
                <w:szCs w:val="20"/>
              </w:rPr>
              <w:t xml:space="preserve"> </w:t>
            </w:r>
            <w:r w:rsidRPr="00AB319A">
              <w:rPr>
                <w:rFonts w:ascii="Times New Roman" w:hAnsi="Times New Roman" w:cs="Times New Roman"/>
                <w:sz w:val="20"/>
                <w:szCs w:val="20"/>
              </w:rPr>
              <w:t>włóknienie;</w:t>
            </w:r>
          </w:p>
          <w:p w14:paraId="5E9BCE3F" w14:textId="43133834" w:rsidR="006B10AF" w:rsidRPr="00AB319A" w:rsidRDefault="006B10AF" w:rsidP="006A70AF">
            <w:pPr>
              <w:pStyle w:val="Akapitzlist"/>
              <w:widowControl w:val="0"/>
              <w:numPr>
                <w:ilvl w:val="3"/>
                <w:numId w:val="10"/>
              </w:numPr>
              <w:spacing w:after="60"/>
              <w:contextualSpacing w:val="0"/>
              <w:jc w:val="both"/>
              <w:rPr>
                <w:rFonts w:ascii="Times New Roman" w:eastAsia="Times New Roman" w:hAnsi="Times New Roman" w:cs="Times New Roman"/>
                <w:sz w:val="20"/>
                <w:szCs w:val="20"/>
                <w:lang w:eastAsia="pl-PL"/>
              </w:rPr>
            </w:pPr>
            <w:r w:rsidRPr="00AB319A">
              <w:rPr>
                <w:rFonts w:ascii="Times New Roman" w:eastAsia="Times New Roman" w:hAnsi="Times New Roman" w:cs="Times New Roman"/>
                <w:sz w:val="20"/>
                <w:szCs w:val="20"/>
                <w:lang w:eastAsia="pl-PL"/>
              </w:rPr>
              <w:t>badanie</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okulistyczne</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co</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6</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miesięcy</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dotyczy</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leczenia</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eltrombopagiem</w:t>
            </w:r>
            <w:r w:rsidR="005E5C99">
              <w:rPr>
                <w:rFonts w:ascii="Times New Roman" w:eastAsia="Times New Roman" w:hAnsi="Times New Roman" w:cs="Times New Roman"/>
                <w:sz w:val="20"/>
                <w:szCs w:val="20"/>
                <w:lang w:eastAsia="pl-PL"/>
              </w:rPr>
              <w:t>;</w:t>
            </w:r>
          </w:p>
          <w:p w14:paraId="608A5846" w14:textId="155BA0B9" w:rsidR="0047380E" w:rsidRPr="00AB319A" w:rsidRDefault="0047380E" w:rsidP="006A70AF">
            <w:pPr>
              <w:pStyle w:val="Akapitzlist"/>
              <w:widowControl w:val="0"/>
              <w:numPr>
                <w:ilvl w:val="3"/>
                <w:numId w:val="10"/>
              </w:numPr>
              <w:spacing w:after="60"/>
              <w:contextualSpacing w:val="0"/>
              <w:jc w:val="both"/>
              <w:rPr>
                <w:rFonts w:ascii="Times New Roman" w:eastAsia="Times New Roman" w:hAnsi="Times New Roman" w:cs="Times New Roman"/>
                <w:sz w:val="20"/>
                <w:szCs w:val="20"/>
                <w:lang w:eastAsia="pl-PL"/>
              </w:rPr>
            </w:pPr>
            <w:r w:rsidRPr="00AB319A">
              <w:rPr>
                <w:rFonts w:ascii="Times New Roman" w:eastAsia="Times New Roman" w:hAnsi="Times New Roman" w:cs="Times New Roman"/>
                <w:sz w:val="20"/>
                <w:szCs w:val="20"/>
                <w:lang w:eastAsia="pl-PL"/>
              </w:rPr>
              <w:t>w</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przypadku</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przerwania</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leczenia</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z</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powodu</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wzrostu</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liczby</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płytek</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krwi</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powyżej</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250x10</w:t>
            </w:r>
            <w:r w:rsidRPr="00AB319A">
              <w:rPr>
                <w:rFonts w:ascii="Times New Roman" w:eastAsia="Times New Roman" w:hAnsi="Times New Roman" w:cs="Times New Roman"/>
                <w:sz w:val="20"/>
                <w:szCs w:val="20"/>
                <w:vertAlign w:val="superscript"/>
                <w:lang w:eastAsia="pl-PL"/>
              </w:rPr>
              <w:t>9</w:t>
            </w:r>
            <w:r w:rsidRPr="00AB319A">
              <w:rPr>
                <w:rFonts w:ascii="Times New Roman" w:eastAsia="Times New Roman" w:hAnsi="Times New Roman" w:cs="Times New Roman"/>
                <w:sz w:val="20"/>
                <w:szCs w:val="20"/>
                <w:lang w:eastAsia="pl-PL"/>
              </w:rPr>
              <w:t>/l,</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należy</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kontrolować</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liczbę</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płytek</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krwi</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1</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razy</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w</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tygodniu,</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aż</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do</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osiągnięcia</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wartości</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mniejszej</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lub</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równej</w:t>
            </w:r>
            <w:r w:rsidR="005E5C99">
              <w:rPr>
                <w:rFonts w:ascii="Times New Roman" w:eastAsia="Times New Roman" w:hAnsi="Times New Roman" w:cs="Times New Roman"/>
                <w:sz w:val="20"/>
                <w:szCs w:val="20"/>
                <w:lang w:eastAsia="pl-PL"/>
              </w:rPr>
              <w:t xml:space="preserve"> </w:t>
            </w:r>
            <w:r w:rsidRPr="00AB319A">
              <w:rPr>
                <w:rFonts w:ascii="Times New Roman" w:eastAsia="Times New Roman" w:hAnsi="Times New Roman" w:cs="Times New Roman"/>
                <w:sz w:val="20"/>
                <w:szCs w:val="20"/>
                <w:lang w:eastAsia="pl-PL"/>
              </w:rPr>
              <w:t>100x10</w:t>
            </w:r>
            <w:r w:rsidRPr="00AB319A">
              <w:rPr>
                <w:rFonts w:ascii="Times New Roman" w:eastAsia="Times New Roman" w:hAnsi="Times New Roman" w:cs="Times New Roman"/>
                <w:sz w:val="20"/>
                <w:szCs w:val="20"/>
                <w:vertAlign w:val="superscript"/>
                <w:lang w:eastAsia="pl-PL"/>
              </w:rPr>
              <w:t>9</w:t>
            </w:r>
            <w:r w:rsidRPr="00AB319A">
              <w:rPr>
                <w:rFonts w:ascii="Times New Roman" w:eastAsia="Times New Roman" w:hAnsi="Times New Roman" w:cs="Times New Roman"/>
                <w:sz w:val="20"/>
                <w:szCs w:val="20"/>
                <w:lang w:eastAsia="pl-PL"/>
              </w:rPr>
              <w:t>/l.</w:t>
            </w:r>
          </w:p>
          <w:p w14:paraId="1A442BBE" w14:textId="77777777" w:rsidR="006B10AF" w:rsidRPr="00AB319A" w:rsidRDefault="006B10AF" w:rsidP="00041DA8">
            <w:pPr>
              <w:pStyle w:val="Akapitzlist"/>
              <w:widowControl w:val="0"/>
              <w:spacing w:after="60"/>
              <w:ind w:left="397"/>
              <w:contextualSpacing w:val="0"/>
              <w:jc w:val="both"/>
              <w:rPr>
                <w:rFonts w:ascii="Times New Roman" w:eastAsia="Times New Roman" w:hAnsi="Times New Roman" w:cs="Times New Roman"/>
                <w:sz w:val="20"/>
                <w:szCs w:val="20"/>
                <w:lang w:eastAsia="pl-PL"/>
              </w:rPr>
            </w:pPr>
          </w:p>
          <w:p w14:paraId="444EDE3B" w14:textId="463081BE" w:rsidR="006B10AF" w:rsidRPr="00AB319A" w:rsidRDefault="006B10AF" w:rsidP="006A70AF">
            <w:pPr>
              <w:pStyle w:val="Akapitzlist"/>
              <w:widowControl w:val="0"/>
              <w:numPr>
                <w:ilvl w:val="0"/>
                <w:numId w:val="10"/>
              </w:numPr>
              <w:spacing w:after="60"/>
              <w:contextualSpacing w:val="0"/>
              <w:jc w:val="both"/>
              <w:rPr>
                <w:rFonts w:ascii="Times New Roman" w:hAnsi="Times New Roman" w:cs="Times New Roman"/>
                <w:b/>
                <w:sz w:val="20"/>
                <w:szCs w:val="20"/>
              </w:rPr>
            </w:pPr>
            <w:r w:rsidRPr="00AB319A">
              <w:rPr>
                <w:rFonts w:ascii="Times New Roman" w:hAnsi="Times New Roman" w:cs="Times New Roman"/>
                <w:b/>
                <w:sz w:val="20"/>
                <w:szCs w:val="20"/>
              </w:rPr>
              <w:t>Monitorowanie</w:t>
            </w:r>
            <w:r w:rsidR="005E5C99">
              <w:rPr>
                <w:rFonts w:ascii="Times New Roman" w:hAnsi="Times New Roman" w:cs="Times New Roman"/>
                <w:b/>
                <w:sz w:val="20"/>
                <w:szCs w:val="20"/>
              </w:rPr>
              <w:t xml:space="preserve"> </w:t>
            </w:r>
            <w:r w:rsidRPr="00AB319A">
              <w:rPr>
                <w:rFonts w:ascii="Times New Roman" w:hAnsi="Times New Roman" w:cs="Times New Roman"/>
                <w:b/>
                <w:sz w:val="20"/>
                <w:szCs w:val="20"/>
              </w:rPr>
              <w:t>programu</w:t>
            </w:r>
          </w:p>
          <w:p w14:paraId="20B05ED8" w14:textId="32E3D029" w:rsidR="006B10AF" w:rsidRPr="00AB319A" w:rsidRDefault="006B10AF" w:rsidP="006A70AF">
            <w:pPr>
              <w:widowControl w:val="0"/>
              <w:numPr>
                <w:ilvl w:val="3"/>
                <w:numId w:val="10"/>
              </w:numPr>
              <w:spacing w:after="60"/>
              <w:jc w:val="both"/>
              <w:rPr>
                <w:rFonts w:ascii="Times New Roman" w:hAnsi="Times New Roman"/>
                <w:sz w:val="20"/>
                <w:szCs w:val="20"/>
              </w:rPr>
            </w:pPr>
            <w:r w:rsidRPr="00AB319A">
              <w:rPr>
                <w:rFonts w:ascii="Times New Roman" w:hAnsi="Times New Roman"/>
                <w:sz w:val="20"/>
                <w:szCs w:val="20"/>
              </w:rPr>
              <w:t>gromadzenie</w:t>
            </w:r>
            <w:r w:rsidR="005E5C99">
              <w:rPr>
                <w:rFonts w:ascii="Times New Roman" w:hAnsi="Times New Roman"/>
                <w:sz w:val="20"/>
                <w:szCs w:val="20"/>
              </w:rPr>
              <w:t xml:space="preserve"> </w:t>
            </w:r>
            <w:r w:rsidRPr="00AB319A">
              <w:rPr>
                <w:rFonts w:ascii="Times New Roman" w:hAnsi="Times New Roman"/>
                <w:sz w:val="20"/>
                <w:szCs w:val="20"/>
              </w:rPr>
              <w:t>w</w:t>
            </w:r>
            <w:r w:rsidR="005E5C99">
              <w:rPr>
                <w:rFonts w:ascii="Times New Roman" w:hAnsi="Times New Roman"/>
                <w:sz w:val="20"/>
                <w:szCs w:val="20"/>
              </w:rPr>
              <w:t xml:space="preserve"> </w:t>
            </w:r>
            <w:r w:rsidRPr="00AB319A">
              <w:rPr>
                <w:rFonts w:ascii="Times New Roman" w:hAnsi="Times New Roman"/>
                <w:sz w:val="20"/>
                <w:szCs w:val="20"/>
              </w:rPr>
              <w:t>dokumentacji</w:t>
            </w:r>
            <w:r w:rsidR="005E5C99">
              <w:rPr>
                <w:rFonts w:ascii="Times New Roman" w:hAnsi="Times New Roman"/>
                <w:sz w:val="20"/>
                <w:szCs w:val="20"/>
              </w:rPr>
              <w:t xml:space="preserve"> </w:t>
            </w:r>
            <w:r w:rsidRPr="00AB319A">
              <w:rPr>
                <w:rFonts w:ascii="Times New Roman" w:hAnsi="Times New Roman"/>
                <w:sz w:val="20"/>
                <w:szCs w:val="20"/>
              </w:rPr>
              <w:t>medycznej</w:t>
            </w:r>
            <w:r w:rsidR="005E5C99">
              <w:rPr>
                <w:rFonts w:ascii="Times New Roman" w:hAnsi="Times New Roman"/>
                <w:sz w:val="20"/>
                <w:szCs w:val="20"/>
              </w:rPr>
              <w:t xml:space="preserve"> </w:t>
            </w:r>
            <w:r w:rsidRPr="00AB319A">
              <w:rPr>
                <w:rFonts w:ascii="Times New Roman" w:hAnsi="Times New Roman"/>
                <w:sz w:val="20"/>
                <w:szCs w:val="20"/>
              </w:rPr>
              <w:t>pacjenta</w:t>
            </w:r>
            <w:r w:rsidR="005E5C99">
              <w:rPr>
                <w:rFonts w:ascii="Times New Roman" w:hAnsi="Times New Roman"/>
                <w:sz w:val="20"/>
                <w:szCs w:val="20"/>
              </w:rPr>
              <w:t xml:space="preserve"> </w:t>
            </w:r>
            <w:r w:rsidRPr="00AB319A">
              <w:rPr>
                <w:rFonts w:ascii="Times New Roman" w:hAnsi="Times New Roman"/>
                <w:sz w:val="20"/>
                <w:szCs w:val="20"/>
              </w:rPr>
              <w:t>danych</w:t>
            </w:r>
            <w:r w:rsidR="005E5C99">
              <w:rPr>
                <w:rFonts w:ascii="Times New Roman" w:hAnsi="Times New Roman"/>
                <w:sz w:val="20"/>
                <w:szCs w:val="20"/>
              </w:rPr>
              <w:t xml:space="preserve"> </w:t>
            </w:r>
            <w:r w:rsidRPr="00AB319A">
              <w:rPr>
                <w:rFonts w:ascii="Times New Roman" w:hAnsi="Times New Roman"/>
                <w:sz w:val="20"/>
                <w:szCs w:val="20"/>
              </w:rPr>
              <w:t>dotyczących</w:t>
            </w:r>
            <w:r w:rsidR="005E5C99">
              <w:rPr>
                <w:rFonts w:ascii="Times New Roman" w:hAnsi="Times New Roman"/>
                <w:sz w:val="20"/>
                <w:szCs w:val="20"/>
              </w:rPr>
              <w:t xml:space="preserve"> </w:t>
            </w:r>
            <w:r w:rsidRPr="00AB319A">
              <w:rPr>
                <w:rFonts w:ascii="Times New Roman" w:hAnsi="Times New Roman"/>
                <w:sz w:val="20"/>
                <w:szCs w:val="20"/>
              </w:rPr>
              <w:t>monitorowania</w:t>
            </w:r>
            <w:r w:rsidR="005E5C99">
              <w:rPr>
                <w:rFonts w:ascii="Times New Roman" w:hAnsi="Times New Roman"/>
                <w:sz w:val="20"/>
                <w:szCs w:val="20"/>
              </w:rPr>
              <w:t xml:space="preserve"> </w:t>
            </w:r>
            <w:r w:rsidRPr="00AB319A">
              <w:rPr>
                <w:rFonts w:ascii="Times New Roman" w:hAnsi="Times New Roman"/>
                <w:sz w:val="20"/>
                <w:szCs w:val="20"/>
              </w:rPr>
              <w:t>leczenia</w:t>
            </w:r>
            <w:r w:rsidR="005E5C99">
              <w:rPr>
                <w:rFonts w:ascii="Times New Roman" w:hAnsi="Times New Roman"/>
                <w:sz w:val="20"/>
                <w:szCs w:val="20"/>
              </w:rPr>
              <w:t xml:space="preserve"> </w:t>
            </w:r>
            <w:r w:rsidRPr="00AB319A">
              <w:rPr>
                <w:rFonts w:ascii="Times New Roman" w:hAnsi="Times New Roman"/>
                <w:sz w:val="20"/>
                <w:szCs w:val="20"/>
              </w:rPr>
              <w:t>i</w:t>
            </w:r>
            <w:r w:rsidR="005E5C99">
              <w:rPr>
                <w:rFonts w:ascii="Times New Roman" w:hAnsi="Times New Roman"/>
                <w:sz w:val="20"/>
                <w:szCs w:val="20"/>
              </w:rPr>
              <w:t xml:space="preserve"> </w:t>
            </w:r>
            <w:r w:rsidRPr="00AB319A">
              <w:rPr>
                <w:rFonts w:ascii="Times New Roman" w:hAnsi="Times New Roman"/>
                <w:sz w:val="20"/>
                <w:szCs w:val="20"/>
              </w:rPr>
              <w:t>każdorazowe</w:t>
            </w:r>
            <w:r w:rsidR="005E5C99">
              <w:rPr>
                <w:rFonts w:ascii="Times New Roman" w:hAnsi="Times New Roman"/>
                <w:sz w:val="20"/>
                <w:szCs w:val="20"/>
              </w:rPr>
              <w:t xml:space="preserve"> </w:t>
            </w:r>
            <w:r w:rsidRPr="00AB319A">
              <w:rPr>
                <w:rFonts w:ascii="Times New Roman" w:hAnsi="Times New Roman"/>
                <w:sz w:val="20"/>
                <w:szCs w:val="20"/>
              </w:rPr>
              <w:t>ich</w:t>
            </w:r>
            <w:r w:rsidR="005E5C99">
              <w:rPr>
                <w:rFonts w:ascii="Times New Roman" w:hAnsi="Times New Roman"/>
                <w:sz w:val="20"/>
                <w:szCs w:val="20"/>
              </w:rPr>
              <w:t xml:space="preserve"> </w:t>
            </w:r>
            <w:r w:rsidRPr="00AB319A">
              <w:rPr>
                <w:rFonts w:ascii="Times New Roman" w:hAnsi="Times New Roman"/>
                <w:sz w:val="20"/>
                <w:szCs w:val="20"/>
              </w:rPr>
              <w:t>przedstawianie</w:t>
            </w:r>
            <w:r w:rsidR="005E5C99">
              <w:rPr>
                <w:rFonts w:ascii="Times New Roman" w:hAnsi="Times New Roman"/>
                <w:sz w:val="20"/>
                <w:szCs w:val="20"/>
              </w:rPr>
              <w:t xml:space="preserve"> </w:t>
            </w:r>
            <w:r w:rsidRPr="00AB319A">
              <w:rPr>
                <w:rFonts w:ascii="Times New Roman" w:hAnsi="Times New Roman"/>
                <w:sz w:val="20"/>
                <w:szCs w:val="20"/>
              </w:rPr>
              <w:t>na</w:t>
            </w:r>
            <w:r w:rsidR="005E5C99">
              <w:rPr>
                <w:rFonts w:ascii="Times New Roman" w:hAnsi="Times New Roman"/>
                <w:sz w:val="20"/>
                <w:szCs w:val="20"/>
              </w:rPr>
              <w:t xml:space="preserve"> </w:t>
            </w:r>
            <w:r w:rsidRPr="00AB319A">
              <w:rPr>
                <w:rFonts w:ascii="Times New Roman" w:hAnsi="Times New Roman"/>
                <w:sz w:val="20"/>
                <w:szCs w:val="20"/>
              </w:rPr>
              <w:t>żądanie</w:t>
            </w:r>
            <w:r w:rsidR="005E5C99">
              <w:rPr>
                <w:rFonts w:ascii="Times New Roman" w:hAnsi="Times New Roman"/>
                <w:sz w:val="20"/>
                <w:szCs w:val="20"/>
              </w:rPr>
              <w:t xml:space="preserve"> </w:t>
            </w:r>
            <w:r w:rsidRPr="00AB319A">
              <w:rPr>
                <w:rFonts w:ascii="Times New Roman" w:hAnsi="Times New Roman"/>
                <w:sz w:val="20"/>
                <w:szCs w:val="20"/>
              </w:rPr>
              <w:t>kontrolerów</w:t>
            </w:r>
            <w:r w:rsidR="005E5C99">
              <w:rPr>
                <w:rFonts w:ascii="Times New Roman" w:hAnsi="Times New Roman"/>
                <w:sz w:val="20"/>
                <w:szCs w:val="20"/>
              </w:rPr>
              <w:t xml:space="preserve"> </w:t>
            </w:r>
            <w:r w:rsidRPr="00AB319A">
              <w:rPr>
                <w:rFonts w:ascii="Times New Roman" w:hAnsi="Times New Roman"/>
                <w:sz w:val="20"/>
                <w:szCs w:val="20"/>
              </w:rPr>
              <w:t>Narodowego</w:t>
            </w:r>
            <w:r w:rsidR="005E5C99">
              <w:rPr>
                <w:rFonts w:ascii="Times New Roman" w:hAnsi="Times New Roman"/>
                <w:sz w:val="20"/>
                <w:szCs w:val="20"/>
              </w:rPr>
              <w:t xml:space="preserve"> </w:t>
            </w:r>
            <w:r w:rsidRPr="00AB319A">
              <w:rPr>
                <w:rFonts w:ascii="Times New Roman" w:hAnsi="Times New Roman"/>
                <w:sz w:val="20"/>
                <w:szCs w:val="20"/>
              </w:rPr>
              <w:t>Funduszu</w:t>
            </w:r>
            <w:r w:rsidR="005E5C99">
              <w:rPr>
                <w:rFonts w:ascii="Times New Roman" w:hAnsi="Times New Roman"/>
                <w:sz w:val="20"/>
                <w:szCs w:val="20"/>
              </w:rPr>
              <w:t xml:space="preserve"> </w:t>
            </w:r>
            <w:r w:rsidRPr="00AB319A">
              <w:rPr>
                <w:rFonts w:ascii="Times New Roman" w:hAnsi="Times New Roman"/>
                <w:sz w:val="20"/>
                <w:szCs w:val="20"/>
              </w:rPr>
              <w:t>Zdrowia;</w:t>
            </w:r>
          </w:p>
          <w:p w14:paraId="29333D0B" w14:textId="329D61BF" w:rsidR="006B10AF" w:rsidRPr="00AB319A" w:rsidRDefault="006B10AF" w:rsidP="006A70AF">
            <w:pPr>
              <w:widowControl w:val="0"/>
              <w:numPr>
                <w:ilvl w:val="3"/>
                <w:numId w:val="10"/>
              </w:numPr>
              <w:spacing w:after="60"/>
              <w:jc w:val="both"/>
              <w:rPr>
                <w:rFonts w:ascii="Times New Roman" w:hAnsi="Times New Roman"/>
                <w:sz w:val="20"/>
                <w:szCs w:val="20"/>
              </w:rPr>
            </w:pPr>
            <w:r w:rsidRPr="00AB319A">
              <w:rPr>
                <w:rFonts w:ascii="Times New Roman" w:hAnsi="Times New Roman"/>
                <w:sz w:val="20"/>
                <w:szCs w:val="20"/>
              </w:rPr>
              <w:t>uzupełnianie</w:t>
            </w:r>
            <w:r w:rsidR="005E5C99">
              <w:rPr>
                <w:rFonts w:ascii="Times New Roman" w:hAnsi="Times New Roman"/>
                <w:sz w:val="20"/>
                <w:szCs w:val="20"/>
              </w:rPr>
              <w:t xml:space="preserve"> </w:t>
            </w:r>
            <w:r w:rsidRPr="00AB319A">
              <w:rPr>
                <w:rFonts w:ascii="Times New Roman" w:hAnsi="Times New Roman"/>
                <w:sz w:val="20"/>
                <w:szCs w:val="20"/>
              </w:rPr>
              <w:t>danych</w:t>
            </w:r>
            <w:r w:rsidR="005E5C99">
              <w:rPr>
                <w:rFonts w:ascii="Times New Roman" w:hAnsi="Times New Roman"/>
                <w:sz w:val="20"/>
                <w:szCs w:val="20"/>
              </w:rPr>
              <w:t xml:space="preserve"> </w:t>
            </w:r>
            <w:r w:rsidRPr="00AB319A">
              <w:rPr>
                <w:rFonts w:ascii="Times New Roman" w:hAnsi="Times New Roman"/>
                <w:sz w:val="20"/>
                <w:szCs w:val="20"/>
              </w:rPr>
              <w:t>zawartych</w:t>
            </w:r>
            <w:r w:rsidR="005E5C99">
              <w:rPr>
                <w:rFonts w:ascii="Times New Roman" w:hAnsi="Times New Roman"/>
                <w:sz w:val="20"/>
                <w:szCs w:val="20"/>
              </w:rPr>
              <w:t xml:space="preserve"> </w:t>
            </w:r>
            <w:r w:rsidRPr="00AB319A">
              <w:rPr>
                <w:rFonts w:ascii="Times New Roman" w:hAnsi="Times New Roman"/>
                <w:sz w:val="20"/>
                <w:szCs w:val="20"/>
              </w:rPr>
              <w:t>w</w:t>
            </w:r>
            <w:r w:rsidR="005E5C99">
              <w:rPr>
                <w:rFonts w:ascii="Times New Roman" w:hAnsi="Times New Roman"/>
                <w:sz w:val="20"/>
                <w:szCs w:val="20"/>
              </w:rPr>
              <w:t xml:space="preserve"> </w:t>
            </w:r>
            <w:r w:rsidRPr="00AB319A">
              <w:rPr>
                <w:rFonts w:ascii="Times New Roman" w:hAnsi="Times New Roman"/>
                <w:sz w:val="20"/>
                <w:szCs w:val="20"/>
              </w:rPr>
              <w:t>rejestrze</w:t>
            </w:r>
            <w:r w:rsidR="005E5C99">
              <w:rPr>
                <w:rFonts w:ascii="Times New Roman" w:hAnsi="Times New Roman"/>
                <w:sz w:val="20"/>
                <w:szCs w:val="20"/>
              </w:rPr>
              <w:t xml:space="preserve"> </w:t>
            </w:r>
            <w:r w:rsidRPr="00AB319A">
              <w:rPr>
                <w:rFonts w:ascii="Times New Roman" w:hAnsi="Times New Roman"/>
                <w:sz w:val="20"/>
                <w:szCs w:val="20"/>
              </w:rPr>
              <w:t>(SMPT)</w:t>
            </w:r>
            <w:r w:rsidR="005E5C99">
              <w:rPr>
                <w:rFonts w:ascii="Times New Roman" w:hAnsi="Times New Roman"/>
                <w:sz w:val="20"/>
                <w:szCs w:val="20"/>
              </w:rPr>
              <w:t xml:space="preserve"> </w:t>
            </w:r>
            <w:r w:rsidRPr="00AB319A">
              <w:rPr>
                <w:rFonts w:ascii="Times New Roman" w:hAnsi="Times New Roman"/>
                <w:sz w:val="20"/>
                <w:szCs w:val="20"/>
              </w:rPr>
              <w:t>dostępnym</w:t>
            </w:r>
            <w:r w:rsidR="005E5C99">
              <w:rPr>
                <w:rFonts w:ascii="Times New Roman" w:hAnsi="Times New Roman"/>
                <w:sz w:val="20"/>
                <w:szCs w:val="20"/>
              </w:rPr>
              <w:t xml:space="preserve"> </w:t>
            </w:r>
            <w:r w:rsidRPr="00AB319A">
              <w:rPr>
                <w:rFonts w:ascii="Times New Roman" w:hAnsi="Times New Roman"/>
                <w:sz w:val="20"/>
                <w:szCs w:val="20"/>
              </w:rPr>
              <w:t>za</w:t>
            </w:r>
            <w:r w:rsidR="005E5C99">
              <w:rPr>
                <w:rFonts w:ascii="Times New Roman" w:hAnsi="Times New Roman"/>
                <w:sz w:val="20"/>
                <w:szCs w:val="20"/>
              </w:rPr>
              <w:t xml:space="preserve"> </w:t>
            </w:r>
            <w:r w:rsidRPr="00AB319A">
              <w:rPr>
                <w:rFonts w:ascii="Times New Roman" w:hAnsi="Times New Roman"/>
                <w:sz w:val="20"/>
                <w:szCs w:val="20"/>
              </w:rPr>
              <w:t>pomocą</w:t>
            </w:r>
            <w:r w:rsidR="005E5C99">
              <w:rPr>
                <w:rFonts w:ascii="Times New Roman" w:hAnsi="Times New Roman"/>
                <w:sz w:val="20"/>
                <w:szCs w:val="20"/>
              </w:rPr>
              <w:t xml:space="preserve"> </w:t>
            </w:r>
            <w:r w:rsidRPr="00AB319A">
              <w:rPr>
                <w:rFonts w:ascii="Times New Roman" w:hAnsi="Times New Roman"/>
                <w:sz w:val="20"/>
                <w:szCs w:val="20"/>
              </w:rPr>
              <w:t>aplikacji</w:t>
            </w:r>
            <w:r w:rsidR="005E5C99">
              <w:rPr>
                <w:rFonts w:ascii="Times New Roman" w:hAnsi="Times New Roman"/>
                <w:sz w:val="20"/>
                <w:szCs w:val="20"/>
              </w:rPr>
              <w:t xml:space="preserve"> </w:t>
            </w:r>
            <w:r w:rsidRPr="00AB319A">
              <w:rPr>
                <w:rFonts w:ascii="Times New Roman" w:hAnsi="Times New Roman"/>
                <w:sz w:val="20"/>
                <w:szCs w:val="20"/>
              </w:rPr>
              <w:t>internetowej</w:t>
            </w:r>
            <w:r w:rsidR="005E5C99">
              <w:rPr>
                <w:rFonts w:ascii="Times New Roman" w:hAnsi="Times New Roman"/>
                <w:sz w:val="20"/>
                <w:szCs w:val="20"/>
              </w:rPr>
              <w:t xml:space="preserve"> </w:t>
            </w:r>
            <w:r w:rsidRPr="00AB319A">
              <w:rPr>
                <w:rFonts w:ascii="Times New Roman" w:hAnsi="Times New Roman"/>
                <w:sz w:val="20"/>
                <w:szCs w:val="20"/>
              </w:rPr>
              <w:t>udostępnionej</w:t>
            </w:r>
            <w:r w:rsidR="005E5C99">
              <w:rPr>
                <w:rFonts w:ascii="Times New Roman" w:hAnsi="Times New Roman"/>
                <w:sz w:val="20"/>
                <w:szCs w:val="20"/>
              </w:rPr>
              <w:t xml:space="preserve"> </w:t>
            </w:r>
            <w:r w:rsidRPr="00AB319A">
              <w:rPr>
                <w:rFonts w:ascii="Times New Roman" w:hAnsi="Times New Roman"/>
                <w:sz w:val="20"/>
                <w:szCs w:val="20"/>
              </w:rPr>
              <w:t>przez</w:t>
            </w:r>
            <w:r w:rsidR="005E5C99">
              <w:rPr>
                <w:rFonts w:ascii="Times New Roman" w:hAnsi="Times New Roman"/>
                <w:sz w:val="20"/>
                <w:szCs w:val="20"/>
              </w:rPr>
              <w:t xml:space="preserve"> </w:t>
            </w:r>
            <w:r w:rsidRPr="00AB319A">
              <w:rPr>
                <w:rFonts w:ascii="Times New Roman" w:hAnsi="Times New Roman"/>
                <w:sz w:val="20"/>
                <w:szCs w:val="20"/>
              </w:rPr>
              <w:t>OW</w:t>
            </w:r>
            <w:r w:rsidR="005E5C99">
              <w:rPr>
                <w:rFonts w:ascii="Times New Roman" w:hAnsi="Times New Roman"/>
                <w:sz w:val="20"/>
                <w:szCs w:val="20"/>
              </w:rPr>
              <w:t xml:space="preserve"> </w:t>
            </w:r>
            <w:r w:rsidRPr="00AB319A">
              <w:rPr>
                <w:rFonts w:ascii="Times New Roman" w:hAnsi="Times New Roman"/>
                <w:sz w:val="20"/>
                <w:szCs w:val="20"/>
              </w:rPr>
              <w:t>NFZ,</w:t>
            </w:r>
            <w:r w:rsidR="005E5C99">
              <w:rPr>
                <w:rFonts w:ascii="Times New Roman" w:hAnsi="Times New Roman"/>
                <w:sz w:val="20"/>
                <w:szCs w:val="20"/>
              </w:rPr>
              <w:t xml:space="preserve"> </w:t>
            </w:r>
            <w:r w:rsidRPr="00AB319A">
              <w:rPr>
                <w:rFonts w:ascii="Times New Roman" w:hAnsi="Times New Roman"/>
                <w:sz w:val="20"/>
                <w:szCs w:val="20"/>
              </w:rPr>
              <w:t>nie</w:t>
            </w:r>
            <w:r w:rsidR="005E5C99">
              <w:rPr>
                <w:rFonts w:ascii="Times New Roman" w:hAnsi="Times New Roman"/>
                <w:sz w:val="20"/>
                <w:szCs w:val="20"/>
              </w:rPr>
              <w:t xml:space="preserve"> </w:t>
            </w:r>
            <w:r w:rsidRPr="00AB319A">
              <w:rPr>
                <w:rFonts w:ascii="Times New Roman" w:hAnsi="Times New Roman"/>
                <w:sz w:val="20"/>
                <w:szCs w:val="20"/>
              </w:rPr>
              <w:t>rzadziej</w:t>
            </w:r>
            <w:r w:rsidR="005E5C99">
              <w:rPr>
                <w:rFonts w:ascii="Times New Roman" w:hAnsi="Times New Roman"/>
                <w:sz w:val="20"/>
                <w:szCs w:val="20"/>
              </w:rPr>
              <w:t xml:space="preserve"> </w:t>
            </w:r>
            <w:r w:rsidRPr="00AB319A">
              <w:rPr>
                <w:rFonts w:ascii="Times New Roman" w:hAnsi="Times New Roman"/>
                <w:sz w:val="20"/>
                <w:szCs w:val="20"/>
              </w:rPr>
              <w:t>niż</w:t>
            </w:r>
            <w:r w:rsidR="005E5C99">
              <w:rPr>
                <w:rFonts w:ascii="Times New Roman" w:hAnsi="Times New Roman"/>
                <w:sz w:val="20"/>
                <w:szCs w:val="20"/>
              </w:rPr>
              <w:t xml:space="preserve"> </w:t>
            </w:r>
            <w:r w:rsidRPr="00AB319A">
              <w:rPr>
                <w:rFonts w:ascii="Times New Roman" w:hAnsi="Times New Roman"/>
                <w:sz w:val="20"/>
                <w:szCs w:val="20"/>
              </w:rPr>
              <w:t>co</w:t>
            </w:r>
            <w:r w:rsidR="005E5C99">
              <w:rPr>
                <w:rFonts w:ascii="Times New Roman" w:hAnsi="Times New Roman"/>
                <w:sz w:val="20"/>
                <w:szCs w:val="20"/>
              </w:rPr>
              <w:t xml:space="preserve"> </w:t>
            </w:r>
            <w:r w:rsidRPr="00AB319A">
              <w:rPr>
                <w:rFonts w:ascii="Times New Roman" w:hAnsi="Times New Roman"/>
                <w:sz w:val="20"/>
                <w:szCs w:val="20"/>
              </w:rPr>
              <w:t>3</w:t>
            </w:r>
            <w:r w:rsidR="005E5C99">
              <w:rPr>
                <w:rFonts w:ascii="Times New Roman" w:hAnsi="Times New Roman"/>
                <w:sz w:val="20"/>
                <w:szCs w:val="20"/>
              </w:rPr>
              <w:t xml:space="preserve"> </w:t>
            </w:r>
            <w:r w:rsidRPr="00AB319A">
              <w:rPr>
                <w:rFonts w:ascii="Times New Roman" w:hAnsi="Times New Roman"/>
                <w:sz w:val="20"/>
                <w:szCs w:val="20"/>
              </w:rPr>
              <w:t>miesiące</w:t>
            </w:r>
            <w:r w:rsidR="005E5C99">
              <w:rPr>
                <w:rFonts w:ascii="Times New Roman" w:hAnsi="Times New Roman"/>
                <w:sz w:val="20"/>
                <w:szCs w:val="20"/>
              </w:rPr>
              <w:t xml:space="preserve"> </w:t>
            </w:r>
            <w:r w:rsidRPr="00AB319A">
              <w:rPr>
                <w:rFonts w:ascii="Times New Roman" w:hAnsi="Times New Roman"/>
                <w:sz w:val="20"/>
                <w:szCs w:val="20"/>
              </w:rPr>
              <w:t>oraz</w:t>
            </w:r>
            <w:r w:rsidR="005E5C99">
              <w:rPr>
                <w:rFonts w:ascii="Times New Roman" w:hAnsi="Times New Roman"/>
                <w:sz w:val="20"/>
                <w:szCs w:val="20"/>
              </w:rPr>
              <w:t xml:space="preserve"> </w:t>
            </w:r>
            <w:r w:rsidRPr="00AB319A">
              <w:rPr>
                <w:rFonts w:ascii="Times New Roman" w:hAnsi="Times New Roman"/>
                <w:sz w:val="20"/>
                <w:szCs w:val="20"/>
              </w:rPr>
              <w:t>na</w:t>
            </w:r>
            <w:r w:rsidR="005E5C99">
              <w:rPr>
                <w:rFonts w:ascii="Times New Roman" w:hAnsi="Times New Roman"/>
                <w:sz w:val="20"/>
                <w:szCs w:val="20"/>
              </w:rPr>
              <w:t xml:space="preserve"> </w:t>
            </w:r>
            <w:r w:rsidRPr="00AB319A">
              <w:rPr>
                <w:rFonts w:ascii="Times New Roman" w:hAnsi="Times New Roman"/>
                <w:sz w:val="20"/>
                <w:szCs w:val="20"/>
              </w:rPr>
              <w:t>zakończenie</w:t>
            </w:r>
            <w:r w:rsidR="005E5C99">
              <w:rPr>
                <w:rFonts w:ascii="Times New Roman" w:hAnsi="Times New Roman"/>
                <w:sz w:val="20"/>
                <w:szCs w:val="20"/>
              </w:rPr>
              <w:t xml:space="preserve"> </w:t>
            </w:r>
            <w:r w:rsidRPr="00AB319A">
              <w:rPr>
                <w:rFonts w:ascii="Times New Roman" w:hAnsi="Times New Roman"/>
                <w:sz w:val="20"/>
                <w:szCs w:val="20"/>
              </w:rPr>
              <w:t>leczenia;</w:t>
            </w:r>
          </w:p>
          <w:p w14:paraId="2DB987CB" w14:textId="5FBC8FAF" w:rsidR="006B10AF" w:rsidRPr="00AB319A" w:rsidRDefault="006B10AF" w:rsidP="006A70AF">
            <w:pPr>
              <w:widowControl w:val="0"/>
              <w:numPr>
                <w:ilvl w:val="3"/>
                <w:numId w:val="10"/>
              </w:numPr>
              <w:spacing w:after="60"/>
              <w:jc w:val="both"/>
              <w:rPr>
                <w:rFonts w:ascii="Times New Roman" w:hAnsi="Times New Roman"/>
                <w:sz w:val="20"/>
                <w:szCs w:val="20"/>
              </w:rPr>
            </w:pPr>
            <w:r w:rsidRPr="00AB319A">
              <w:rPr>
                <w:rFonts w:ascii="Times New Roman" w:hAnsi="Times New Roman"/>
                <w:sz w:val="20"/>
                <w:szCs w:val="20"/>
              </w:rPr>
              <w:t>przekazywanie</w:t>
            </w:r>
            <w:r w:rsidR="005E5C99">
              <w:rPr>
                <w:rFonts w:ascii="Times New Roman" w:hAnsi="Times New Roman"/>
                <w:sz w:val="20"/>
                <w:szCs w:val="20"/>
              </w:rPr>
              <w:t xml:space="preserve"> </w:t>
            </w:r>
            <w:r w:rsidRPr="00AB319A">
              <w:rPr>
                <w:rFonts w:ascii="Times New Roman" w:hAnsi="Times New Roman"/>
                <w:sz w:val="20"/>
                <w:szCs w:val="20"/>
              </w:rPr>
              <w:t>informacji</w:t>
            </w:r>
            <w:r w:rsidR="005E5C99">
              <w:rPr>
                <w:rFonts w:ascii="Times New Roman" w:hAnsi="Times New Roman"/>
                <w:sz w:val="20"/>
                <w:szCs w:val="20"/>
              </w:rPr>
              <w:t xml:space="preserve"> </w:t>
            </w:r>
            <w:r w:rsidRPr="00AB319A">
              <w:rPr>
                <w:rFonts w:ascii="Times New Roman" w:hAnsi="Times New Roman"/>
                <w:sz w:val="20"/>
                <w:szCs w:val="20"/>
              </w:rPr>
              <w:t>sprawozdawczo</w:t>
            </w:r>
            <w:r w:rsidR="005E5C99">
              <w:rPr>
                <w:rFonts w:ascii="Times New Roman" w:hAnsi="Times New Roman"/>
                <w:sz w:val="20"/>
                <w:szCs w:val="20"/>
              </w:rPr>
              <w:t xml:space="preserve"> </w:t>
            </w:r>
            <w:r w:rsidRPr="00AB319A">
              <w:rPr>
                <w:rFonts w:ascii="Times New Roman" w:hAnsi="Times New Roman"/>
                <w:sz w:val="20"/>
                <w:szCs w:val="20"/>
              </w:rPr>
              <w:t>-</w:t>
            </w:r>
            <w:r w:rsidR="005E5C99">
              <w:rPr>
                <w:rFonts w:ascii="Times New Roman" w:hAnsi="Times New Roman"/>
                <w:sz w:val="20"/>
                <w:szCs w:val="20"/>
              </w:rPr>
              <w:t xml:space="preserve"> </w:t>
            </w:r>
            <w:r w:rsidRPr="00AB319A">
              <w:rPr>
                <w:rFonts w:ascii="Times New Roman" w:hAnsi="Times New Roman"/>
                <w:sz w:val="20"/>
                <w:szCs w:val="20"/>
              </w:rPr>
              <w:lastRenderedPageBreak/>
              <w:t>rozliczeniowych</w:t>
            </w:r>
            <w:r w:rsidR="005E5C99">
              <w:rPr>
                <w:rFonts w:ascii="Times New Roman" w:hAnsi="Times New Roman"/>
                <w:sz w:val="20"/>
                <w:szCs w:val="20"/>
              </w:rPr>
              <w:t xml:space="preserve"> </w:t>
            </w:r>
            <w:r w:rsidRPr="00AB319A">
              <w:rPr>
                <w:rFonts w:ascii="Times New Roman" w:hAnsi="Times New Roman"/>
                <w:sz w:val="20"/>
                <w:szCs w:val="20"/>
              </w:rPr>
              <w:t>do</w:t>
            </w:r>
            <w:r w:rsidR="005E5C99">
              <w:rPr>
                <w:rFonts w:ascii="Times New Roman" w:hAnsi="Times New Roman"/>
                <w:sz w:val="20"/>
                <w:szCs w:val="20"/>
              </w:rPr>
              <w:t xml:space="preserve"> </w:t>
            </w:r>
            <w:r w:rsidRPr="00AB319A">
              <w:rPr>
                <w:rFonts w:ascii="Times New Roman" w:hAnsi="Times New Roman"/>
                <w:sz w:val="20"/>
                <w:szCs w:val="20"/>
              </w:rPr>
              <w:t>NFZ:</w:t>
            </w:r>
            <w:r w:rsidR="005E5C99">
              <w:rPr>
                <w:rFonts w:ascii="Times New Roman" w:hAnsi="Times New Roman"/>
                <w:sz w:val="20"/>
                <w:szCs w:val="20"/>
              </w:rPr>
              <w:t xml:space="preserve"> </w:t>
            </w:r>
            <w:r w:rsidRPr="00AB319A">
              <w:rPr>
                <w:rFonts w:ascii="Times New Roman" w:hAnsi="Times New Roman"/>
                <w:sz w:val="20"/>
                <w:szCs w:val="20"/>
              </w:rPr>
              <w:t>informacje</w:t>
            </w:r>
            <w:r w:rsidR="005E5C99">
              <w:rPr>
                <w:rFonts w:ascii="Times New Roman" w:hAnsi="Times New Roman"/>
                <w:sz w:val="20"/>
                <w:szCs w:val="20"/>
              </w:rPr>
              <w:t xml:space="preserve"> </w:t>
            </w:r>
            <w:r w:rsidRPr="00AB319A">
              <w:rPr>
                <w:rFonts w:ascii="Times New Roman" w:hAnsi="Times New Roman"/>
                <w:sz w:val="20"/>
                <w:szCs w:val="20"/>
              </w:rPr>
              <w:t>przekazuje</w:t>
            </w:r>
            <w:r w:rsidR="005E5C99">
              <w:rPr>
                <w:rFonts w:ascii="Times New Roman" w:hAnsi="Times New Roman"/>
                <w:sz w:val="20"/>
                <w:szCs w:val="20"/>
              </w:rPr>
              <w:t xml:space="preserve"> </w:t>
            </w:r>
            <w:r w:rsidRPr="00AB319A">
              <w:rPr>
                <w:rFonts w:ascii="Times New Roman" w:hAnsi="Times New Roman"/>
                <w:sz w:val="20"/>
                <w:szCs w:val="20"/>
              </w:rPr>
              <w:t>się</w:t>
            </w:r>
            <w:r w:rsidR="005E5C99">
              <w:rPr>
                <w:rFonts w:ascii="Times New Roman" w:hAnsi="Times New Roman"/>
                <w:sz w:val="20"/>
                <w:szCs w:val="20"/>
              </w:rPr>
              <w:t xml:space="preserve"> </w:t>
            </w:r>
            <w:r w:rsidRPr="00AB319A">
              <w:rPr>
                <w:rFonts w:ascii="Times New Roman" w:hAnsi="Times New Roman"/>
                <w:sz w:val="20"/>
                <w:szCs w:val="20"/>
              </w:rPr>
              <w:t>do</w:t>
            </w:r>
            <w:r w:rsidR="005E5C99">
              <w:rPr>
                <w:rFonts w:ascii="Times New Roman" w:hAnsi="Times New Roman"/>
                <w:sz w:val="20"/>
                <w:szCs w:val="20"/>
              </w:rPr>
              <w:t xml:space="preserve"> </w:t>
            </w:r>
            <w:r w:rsidRPr="00AB319A">
              <w:rPr>
                <w:rFonts w:ascii="Times New Roman" w:hAnsi="Times New Roman"/>
                <w:sz w:val="20"/>
                <w:szCs w:val="20"/>
              </w:rPr>
              <w:t>NFZ</w:t>
            </w:r>
            <w:r w:rsidR="005E5C99">
              <w:rPr>
                <w:rFonts w:ascii="Times New Roman" w:hAnsi="Times New Roman"/>
                <w:sz w:val="20"/>
                <w:szCs w:val="20"/>
              </w:rPr>
              <w:t xml:space="preserve"> </w:t>
            </w:r>
            <w:r w:rsidRPr="00AB319A">
              <w:rPr>
                <w:rFonts w:ascii="Times New Roman" w:hAnsi="Times New Roman"/>
                <w:sz w:val="20"/>
                <w:szCs w:val="20"/>
              </w:rPr>
              <w:t>w</w:t>
            </w:r>
            <w:r w:rsidR="005E5C99">
              <w:rPr>
                <w:rFonts w:ascii="Times New Roman" w:hAnsi="Times New Roman"/>
                <w:sz w:val="20"/>
                <w:szCs w:val="20"/>
              </w:rPr>
              <w:t xml:space="preserve"> </w:t>
            </w:r>
            <w:r w:rsidRPr="00AB319A">
              <w:rPr>
                <w:rFonts w:ascii="Times New Roman" w:hAnsi="Times New Roman"/>
                <w:sz w:val="20"/>
                <w:szCs w:val="20"/>
              </w:rPr>
              <w:t>formie</w:t>
            </w:r>
            <w:r w:rsidR="005E5C99">
              <w:rPr>
                <w:rFonts w:ascii="Times New Roman" w:hAnsi="Times New Roman"/>
                <w:sz w:val="20"/>
                <w:szCs w:val="20"/>
              </w:rPr>
              <w:t xml:space="preserve"> </w:t>
            </w:r>
            <w:r w:rsidRPr="00AB319A">
              <w:rPr>
                <w:rFonts w:ascii="Times New Roman" w:hAnsi="Times New Roman"/>
                <w:sz w:val="20"/>
                <w:szCs w:val="20"/>
              </w:rPr>
              <w:t>papierowej</w:t>
            </w:r>
            <w:r w:rsidR="005E5C99">
              <w:rPr>
                <w:rFonts w:ascii="Times New Roman" w:hAnsi="Times New Roman"/>
                <w:sz w:val="20"/>
                <w:szCs w:val="20"/>
              </w:rPr>
              <w:t xml:space="preserve"> </w:t>
            </w:r>
            <w:r w:rsidRPr="00AB319A">
              <w:rPr>
                <w:rFonts w:ascii="Times New Roman" w:hAnsi="Times New Roman"/>
                <w:sz w:val="20"/>
                <w:szCs w:val="20"/>
              </w:rPr>
              <w:t>lub</w:t>
            </w:r>
            <w:r w:rsidR="005E5C99">
              <w:rPr>
                <w:rFonts w:ascii="Times New Roman" w:hAnsi="Times New Roman"/>
                <w:sz w:val="20"/>
                <w:szCs w:val="20"/>
              </w:rPr>
              <w:t xml:space="preserve"> </w:t>
            </w:r>
            <w:r w:rsidRPr="00AB319A">
              <w:rPr>
                <w:rFonts w:ascii="Times New Roman" w:hAnsi="Times New Roman"/>
                <w:sz w:val="20"/>
                <w:szCs w:val="20"/>
              </w:rPr>
              <w:t>w</w:t>
            </w:r>
            <w:r w:rsidR="005E5C99">
              <w:rPr>
                <w:rFonts w:ascii="Times New Roman" w:hAnsi="Times New Roman"/>
                <w:sz w:val="20"/>
                <w:szCs w:val="20"/>
              </w:rPr>
              <w:t xml:space="preserve"> </w:t>
            </w:r>
            <w:r w:rsidRPr="00AB319A">
              <w:rPr>
                <w:rFonts w:ascii="Times New Roman" w:hAnsi="Times New Roman"/>
                <w:sz w:val="20"/>
                <w:szCs w:val="20"/>
              </w:rPr>
              <w:t>formie</w:t>
            </w:r>
            <w:r w:rsidR="005E5C99">
              <w:rPr>
                <w:rFonts w:ascii="Times New Roman" w:hAnsi="Times New Roman"/>
                <w:sz w:val="20"/>
                <w:szCs w:val="20"/>
              </w:rPr>
              <w:t xml:space="preserve"> </w:t>
            </w:r>
            <w:r w:rsidRPr="00AB319A">
              <w:rPr>
                <w:rFonts w:ascii="Times New Roman" w:hAnsi="Times New Roman"/>
                <w:sz w:val="20"/>
                <w:szCs w:val="20"/>
              </w:rPr>
              <w:t>elektronicznej,</w:t>
            </w:r>
            <w:r w:rsidR="005E5C99">
              <w:rPr>
                <w:rFonts w:ascii="Times New Roman" w:hAnsi="Times New Roman"/>
                <w:sz w:val="20"/>
                <w:szCs w:val="20"/>
              </w:rPr>
              <w:t xml:space="preserve"> </w:t>
            </w:r>
            <w:r w:rsidRPr="00AB319A">
              <w:rPr>
                <w:rFonts w:ascii="Times New Roman" w:hAnsi="Times New Roman"/>
                <w:sz w:val="20"/>
                <w:szCs w:val="20"/>
              </w:rPr>
              <w:t>zgodnie</w:t>
            </w:r>
            <w:r w:rsidR="005E5C99">
              <w:rPr>
                <w:rFonts w:ascii="Times New Roman" w:hAnsi="Times New Roman"/>
                <w:sz w:val="20"/>
                <w:szCs w:val="20"/>
              </w:rPr>
              <w:t xml:space="preserve"> </w:t>
            </w:r>
            <w:r w:rsidRPr="00AB319A">
              <w:rPr>
                <w:rFonts w:ascii="Times New Roman" w:hAnsi="Times New Roman"/>
                <w:sz w:val="20"/>
                <w:szCs w:val="20"/>
              </w:rPr>
              <w:t>z</w:t>
            </w:r>
            <w:r w:rsidR="005E5C99">
              <w:rPr>
                <w:rFonts w:ascii="Times New Roman" w:hAnsi="Times New Roman"/>
                <w:sz w:val="20"/>
                <w:szCs w:val="20"/>
              </w:rPr>
              <w:t xml:space="preserve"> </w:t>
            </w:r>
            <w:r w:rsidRPr="00AB319A">
              <w:rPr>
                <w:rFonts w:ascii="Times New Roman" w:hAnsi="Times New Roman"/>
                <w:sz w:val="20"/>
                <w:szCs w:val="20"/>
              </w:rPr>
              <w:t>wymaganiami</w:t>
            </w:r>
            <w:r w:rsidR="005E5C99">
              <w:rPr>
                <w:rFonts w:ascii="Times New Roman" w:hAnsi="Times New Roman"/>
                <w:sz w:val="20"/>
                <w:szCs w:val="20"/>
              </w:rPr>
              <w:t xml:space="preserve"> </w:t>
            </w:r>
            <w:r w:rsidRPr="00AB319A">
              <w:rPr>
                <w:rFonts w:ascii="Times New Roman" w:hAnsi="Times New Roman"/>
                <w:sz w:val="20"/>
                <w:szCs w:val="20"/>
              </w:rPr>
              <w:t>opublikowanymi</w:t>
            </w:r>
            <w:r w:rsidR="005E5C99">
              <w:rPr>
                <w:rFonts w:ascii="Times New Roman" w:hAnsi="Times New Roman"/>
                <w:sz w:val="20"/>
                <w:szCs w:val="20"/>
              </w:rPr>
              <w:t xml:space="preserve"> </w:t>
            </w:r>
            <w:r w:rsidRPr="00AB319A">
              <w:rPr>
                <w:rFonts w:ascii="Times New Roman" w:hAnsi="Times New Roman"/>
                <w:sz w:val="20"/>
                <w:szCs w:val="20"/>
              </w:rPr>
              <w:t>przez</w:t>
            </w:r>
            <w:r w:rsidR="005E5C99">
              <w:rPr>
                <w:rFonts w:ascii="Times New Roman" w:hAnsi="Times New Roman"/>
                <w:sz w:val="20"/>
                <w:szCs w:val="20"/>
              </w:rPr>
              <w:t xml:space="preserve"> </w:t>
            </w:r>
            <w:r w:rsidRPr="00AB319A">
              <w:rPr>
                <w:rFonts w:ascii="Times New Roman" w:hAnsi="Times New Roman"/>
                <w:sz w:val="20"/>
                <w:szCs w:val="20"/>
              </w:rPr>
              <w:t>Narodowy</w:t>
            </w:r>
            <w:r w:rsidR="005E5C99">
              <w:rPr>
                <w:rFonts w:ascii="Times New Roman" w:hAnsi="Times New Roman"/>
                <w:sz w:val="20"/>
                <w:szCs w:val="20"/>
              </w:rPr>
              <w:t xml:space="preserve"> </w:t>
            </w:r>
            <w:r w:rsidRPr="00AB319A">
              <w:rPr>
                <w:rFonts w:ascii="Times New Roman" w:hAnsi="Times New Roman"/>
                <w:sz w:val="20"/>
                <w:szCs w:val="20"/>
              </w:rPr>
              <w:t>Fundusz</w:t>
            </w:r>
            <w:r w:rsidR="005E5C99">
              <w:rPr>
                <w:rFonts w:ascii="Times New Roman" w:hAnsi="Times New Roman"/>
                <w:sz w:val="20"/>
                <w:szCs w:val="20"/>
              </w:rPr>
              <w:t xml:space="preserve"> </w:t>
            </w:r>
            <w:r w:rsidRPr="00AB319A">
              <w:rPr>
                <w:rFonts w:ascii="Times New Roman" w:hAnsi="Times New Roman"/>
                <w:sz w:val="20"/>
                <w:szCs w:val="20"/>
              </w:rPr>
              <w:t>Zdrowia.</w:t>
            </w:r>
          </w:p>
          <w:p w14:paraId="419B4472" w14:textId="77777777" w:rsidR="006B10AF" w:rsidRPr="00AB319A" w:rsidRDefault="006B10AF" w:rsidP="00041DA8">
            <w:pPr>
              <w:widowControl w:val="0"/>
              <w:spacing w:after="60"/>
              <w:ind w:left="397"/>
              <w:jc w:val="both"/>
              <w:rPr>
                <w:rFonts w:ascii="Times New Roman" w:hAnsi="Times New Roman"/>
                <w:sz w:val="20"/>
                <w:szCs w:val="20"/>
              </w:rPr>
            </w:pPr>
          </w:p>
        </w:tc>
      </w:tr>
    </w:tbl>
    <w:p w14:paraId="243DBD4E" w14:textId="77777777" w:rsidR="006B10AF" w:rsidRPr="000C36A9" w:rsidRDefault="006B10AF" w:rsidP="006A70AF">
      <w:pPr>
        <w:pStyle w:val="pismamz"/>
        <w:tabs>
          <w:tab w:val="left" w:pos="5400"/>
        </w:tabs>
        <w:spacing w:before="360"/>
      </w:pPr>
    </w:p>
    <w:sectPr w:rsidR="006B10AF" w:rsidRPr="000C36A9" w:rsidSect="00CF5F4D">
      <w:footerReference w:type="first" r:id="rId8"/>
      <w:pgSz w:w="16838" w:h="11906" w:orient="landscape" w:code="9"/>
      <w:pgMar w:top="1588" w:right="720" w:bottom="1418"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B1E7" w14:textId="77777777" w:rsidR="002568F6" w:rsidRDefault="002568F6">
      <w:pPr>
        <w:spacing w:after="0" w:line="240" w:lineRule="auto"/>
      </w:pPr>
      <w:r>
        <w:separator/>
      </w:r>
    </w:p>
  </w:endnote>
  <w:endnote w:type="continuationSeparator" w:id="0">
    <w:p w14:paraId="5CF6E9AA" w14:textId="77777777" w:rsidR="002568F6" w:rsidRDefault="00256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calaLancetPro">
    <w:altName w:val="MS Mincho"/>
    <w:panose1 w:val="00000000000000000000"/>
    <w:charset w:val="80"/>
    <w:family w:val="auto"/>
    <w:notTrueType/>
    <w:pitch w:val="default"/>
    <w:sig w:usb0="00000005" w:usb1="08070000" w:usb2="00000010" w:usb3="00000000" w:csb0="00020002" w:csb1="00000000"/>
  </w:font>
  <w:font w:name="Abel">
    <w:charset w:val="00"/>
    <w:family w:val="auto"/>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582D" w14:textId="30DE2FEE" w:rsidR="001F7188" w:rsidRDefault="001F7188" w:rsidP="001F7188">
    <w:pPr>
      <w:pStyle w:val="Stopka"/>
      <w:jc w:val="center"/>
    </w:pPr>
    <w:r w:rsidRPr="00237FAA">
      <w:rPr>
        <w:rFonts w:ascii="Abel" w:hAnsi="Abel"/>
        <w:noProof/>
        <w:color w:val="FFFFFF" w:themeColor="background1"/>
        <w:sz w:val="20"/>
        <w:szCs w:val="20"/>
      </w:rPr>
      <w:drawing>
        <wp:anchor distT="0" distB="0" distL="114300" distR="114300" simplePos="0" relativeHeight="251663360" behindDoc="1" locked="0" layoutInCell="1" allowOverlap="1" wp14:anchorId="0DFAFBC9" wp14:editId="7099FC2C">
          <wp:simplePos x="0" y="0"/>
          <wp:positionH relativeFrom="margin">
            <wp:posOffset>36830</wp:posOffset>
          </wp:positionH>
          <wp:positionV relativeFrom="page">
            <wp:posOffset>9571355</wp:posOffset>
          </wp:positionV>
          <wp:extent cx="5400040" cy="36195"/>
          <wp:effectExtent l="0" t="0" r="0" b="1905"/>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ka.wmf"/>
                  <pic:cNvPicPr/>
                </pic:nvPicPr>
                <pic:blipFill>
                  <a:blip r:embed="rId1">
                    <a:extLst>
                      <a:ext uri="{28A0092B-C50C-407E-A947-70E740481C1C}">
                        <a14:useLocalDpi xmlns:a14="http://schemas.microsoft.com/office/drawing/2010/main" val="0"/>
                      </a:ext>
                    </a:extLst>
                  </a:blip>
                  <a:stretch>
                    <a:fillRect/>
                  </a:stretch>
                </pic:blipFill>
                <pic:spPr>
                  <a:xfrm>
                    <a:off x="0" y="0"/>
                    <a:ext cx="5400040" cy="361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EB6A" w14:textId="77777777" w:rsidR="002568F6" w:rsidRDefault="002568F6">
      <w:pPr>
        <w:spacing w:after="0" w:line="240" w:lineRule="auto"/>
      </w:pPr>
      <w:r>
        <w:separator/>
      </w:r>
    </w:p>
  </w:footnote>
  <w:footnote w:type="continuationSeparator" w:id="0">
    <w:p w14:paraId="54FD892A" w14:textId="77777777" w:rsidR="002568F6" w:rsidRDefault="00256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4BC"/>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 w15:restartNumberingAfterBreak="0">
    <w:nsid w:val="18773013"/>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 w15:restartNumberingAfterBreak="0">
    <w:nsid w:val="1CD414CE"/>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 w15:restartNumberingAfterBreak="0">
    <w:nsid w:val="291D09C4"/>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 w15:restartNumberingAfterBreak="0">
    <w:nsid w:val="5BC72DB4"/>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 w15:restartNumberingAfterBreak="0">
    <w:nsid w:val="5CAF7195"/>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6" w15:restartNumberingAfterBreak="0">
    <w:nsid w:val="6D2C6FC1"/>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7" w15:restartNumberingAfterBreak="0">
    <w:nsid w:val="709730F5"/>
    <w:multiLevelType w:val="hybridMultilevel"/>
    <w:tmpl w:val="BF1654C4"/>
    <w:lvl w:ilvl="0" w:tplc="AE8E10BC">
      <w:start w:val="1"/>
      <w:numFmt w:val="decimal"/>
      <w:suff w:val="space"/>
      <w:lvlText w:val="%1."/>
      <w:lvlJc w:val="left"/>
      <w:pPr>
        <w:ind w:left="720" w:hanging="720"/>
      </w:pPr>
      <w:rPr>
        <w:rFonts w:hint="default"/>
      </w:rPr>
    </w:lvl>
    <w:lvl w:ilvl="1" w:tplc="496C2CBE" w:tentative="1">
      <w:start w:val="1"/>
      <w:numFmt w:val="lowerLetter"/>
      <w:lvlText w:val="%2."/>
      <w:lvlJc w:val="left"/>
      <w:pPr>
        <w:ind w:left="1440" w:hanging="360"/>
      </w:pPr>
    </w:lvl>
    <w:lvl w:ilvl="2" w:tplc="00565B60" w:tentative="1">
      <w:start w:val="1"/>
      <w:numFmt w:val="lowerRoman"/>
      <w:lvlText w:val="%3."/>
      <w:lvlJc w:val="right"/>
      <w:pPr>
        <w:ind w:left="2160" w:hanging="180"/>
      </w:pPr>
    </w:lvl>
    <w:lvl w:ilvl="3" w:tplc="F0941984" w:tentative="1">
      <w:start w:val="1"/>
      <w:numFmt w:val="decimal"/>
      <w:lvlText w:val="%4."/>
      <w:lvlJc w:val="left"/>
      <w:pPr>
        <w:ind w:left="2880" w:hanging="360"/>
      </w:pPr>
    </w:lvl>
    <w:lvl w:ilvl="4" w:tplc="5EDA4EC0" w:tentative="1">
      <w:start w:val="1"/>
      <w:numFmt w:val="lowerLetter"/>
      <w:lvlText w:val="%5."/>
      <w:lvlJc w:val="left"/>
      <w:pPr>
        <w:ind w:left="3600" w:hanging="360"/>
      </w:pPr>
    </w:lvl>
    <w:lvl w:ilvl="5" w:tplc="96CEF190" w:tentative="1">
      <w:start w:val="1"/>
      <w:numFmt w:val="lowerRoman"/>
      <w:lvlText w:val="%6."/>
      <w:lvlJc w:val="right"/>
      <w:pPr>
        <w:ind w:left="4320" w:hanging="180"/>
      </w:pPr>
    </w:lvl>
    <w:lvl w:ilvl="6" w:tplc="ABC2CE00" w:tentative="1">
      <w:start w:val="1"/>
      <w:numFmt w:val="decimal"/>
      <w:lvlText w:val="%7."/>
      <w:lvlJc w:val="left"/>
      <w:pPr>
        <w:ind w:left="5040" w:hanging="360"/>
      </w:pPr>
    </w:lvl>
    <w:lvl w:ilvl="7" w:tplc="7C622E30" w:tentative="1">
      <w:start w:val="1"/>
      <w:numFmt w:val="lowerLetter"/>
      <w:lvlText w:val="%8."/>
      <w:lvlJc w:val="left"/>
      <w:pPr>
        <w:ind w:left="5760" w:hanging="360"/>
      </w:pPr>
    </w:lvl>
    <w:lvl w:ilvl="8" w:tplc="3A1EF246" w:tentative="1">
      <w:start w:val="1"/>
      <w:numFmt w:val="lowerRoman"/>
      <w:lvlText w:val="%9."/>
      <w:lvlJc w:val="right"/>
      <w:pPr>
        <w:ind w:left="6480" w:hanging="180"/>
      </w:pPr>
    </w:lvl>
  </w:abstractNum>
  <w:abstractNum w:abstractNumId="8" w15:restartNumberingAfterBreak="0">
    <w:nsid w:val="71A472E8"/>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9" w15:restartNumberingAfterBreak="0">
    <w:nsid w:val="7D754B39"/>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num w:numId="1" w16cid:durableId="1510946679">
    <w:abstractNumId w:val="2"/>
  </w:num>
  <w:num w:numId="2" w16cid:durableId="982655623">
    <w:abstractNumId w:val="5"/>
  </w:num>
  <w:num w:numId="3" w16cid:durableId="2017922322">
    <w:abstractNumId w:val="6"/>
  </w:num>
  <w:num w:numId="4" w16cid:durableId="1262104221">
    <w:abstractNumId w:val="7"/>
  </w:num>
  <w:num w:numId="5" w16cid:durableId="213127687">
    <w:abstractNumId w:val="1"/>
  </w:num>
  <w:num w:numId="6" w16cid:durableId="1998608488">
    <w:abstractNumId w:val="9"/>
  </w:num>
  <w:num w:numId="7" w16cid:durableId="1384868886">
    <w:abstractNumId w:val="0"/>
  </w:num>
  <w:num w:numId="8" w16cid:durableId="988705816">
    <w:abstractNumId w:val="4"/>
  </w:num>
  <w:num w:numId="9" w16cid:durableId="1641567786">
    <w:abstractNumId w:val="3"/>
  </w:num>
  <w:num w:numId="10" w16cid:durableId="1044282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4C7"/>
    <w:rsid w:val="00003CC8"/>
    <w:rsid w:val="00041DA8"/>
    <w:rsid w:val="000629CF"/>
    <w:rsid w:val="000B6F3C"/>
    <w:rsid w:val="000C36A9"/>
    <w:rsid w:val="000E41F5"/>
    <w:rsid w:val="00197890"/>
    <w:rsid w:val="001F7188"/>
    <w:rsid w:val="002568F6"/>
    <w:rsid w:val="002C482D"/>
    <w:rsid w:val="00362C36"/>
    <w:rsid w:val="003D4F1C"/>
    <w:rsid w:val="0047380E"/>
    <w:rsid w:val="00486AC4"/>
    <w:rsid w:val="004C54C7"/>
    <w:rsid w:val="005E5C99"/>
    <w:rsid w:val="0066795A"/>
    <w:rsid w:val="006A70AF"/>
    <w:rsid w:val="006B10AF"/>
    <w:rsid w:val="006C3056"/>
    <w:rsid w:val="007C5485"/>
    <w:rsid w:val="00844D17"/>
    <w:rsid w:val="00914E1C"/>
    <w:rsid w:val="00AB319A"/>
    <w:rsid w:val="00AD70D0"/>
    <w:rsid w:val="00B12B4E"/>
    <w:rsid w:val="00BD7988"/>
    <w:rsid w:val="00C21A71"/>
    <w:rsid w:val="00C45ADF"/>
    <w:rsid w:val="00CA67A5"/>
    <w:rsid w:val="00CC3F69"/>
    <w:rsid w:val="00CC40F3"/>
    <w:rsid w:val="00CF5F4D"/>
    <w:rsid w:val="00D006A6"/>
    <w:rsid w:val="00D668FD"/>
    <w:rsid w:val="00DA0444"/>
    <w:rsid w:val="00DC1948"/>
    <w:rsid w:val="00DD3642"/>
    <w:rsid w:val="00DE1F52"/>
    <w:rsid w:val="00E82973"/>
    <w:rsid w:val="00E90C3F"/>
    <w:rsid w:val="00EC22AF"/>
    <w:rsid w:val="00F85CDE"/>
    <w:rsid w:val="00FE74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D6D24"/>
  <w15:docId w15:val="{EBAF993C-2C47-45CC-B5D3-4A6523A6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6F5AFC"/>
    <w:pPr>
      <w:spacing w:after="200" w:line="276" w:lineRule="auto"/>
    </w:pPr>
    <w:rPr>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27BE3"/>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827BE3"/>
    <w:rPr>
      <w:rFonts w:ascii="Tahoma" w:hAnsi="Tahoma" w:cs="Tahoma"/>
      <w:sz w:val="16"/>
      <w:szCs w:val="16"/>
    </w:rPr>
  </w:style>
  <w:style w:type="character" w:styleId="Tekstzastpczy">
    <w:name w:val="Placeholder Text"/>
    <w:uiPriority w:val="99"/>
    <w:semiHidden/>
    <w:rsid w:val="002C05F4"/>
    <w:rPr>
      <w:color w:val="808080"/>
    </w:rPr>
  </w:style>
  <w:style w:type="paragraph" w:customStyle="1" w:styleId="adresat">
    <w:name w:val="adresat"/>
    <w:basedOn w:val="Normalny"/>
    <w:link w:val="adresatZnak"/>
    <w:rsid w:val="00E441AC"/>
    <w:pPr>
      <w:spacing w:after="120" w:line="360" w:lineRule="auto"/>
    </w:pPr>
  </w:style>
  <w:style w:type="paragraph" w:customStyle="1" w:styleId="pismamz">
    <w:name w:val="pisma_mz"/>
    <w:basedOn w:val="Normalny"/>
    <w:link w:val="pismamzZnak"/>
    <w:qFormat/>
    <w:rsid w:val="003F4345"/>
    <w:pPr>
      <w:spacing w:after="0" w:line="360" w:lineRule="auto"/>
      <w:contextualSpacing/>
      <w:jc w:val="both"/>
    </w:pPr>
    <w:rPr>
      <w:rFonts w:ascii="Arial" w:hAnsi="Arial"/>
    </w:rPr>
  </w:style>
  <w:style w:type="character" w:customStyle="1" w:styleId="adresatZnak">
    <w:name w:val="adresat Znak"/>
    <w:basedOn w:val="Domylnaczcionkaakapitu"/>
    <w:link w:val="adresat"/>
    <w:rsid w:val="00E441AC"/>
  </w:style>
  <w:style w:type="character" w:customStyle="1" w:styleId="pismamzZnak">
    <w:name w:val="pisma_mz Znak"/>
    <w:link w:val="pismamz"/>
    <w:rsid w:val="003F4345"/>
    <w:rPr>
      <w:rFonts w:ascii="Arial" w:hAnsi="Arial"/>
    </w:rPr>
  </w:style>
  <w:style w:type="paragraph" w:styleId="Nagwek">
    <w:name w:val="header"/>
    <w:basedOn w:val="Normalny"/>
    <w:link w:val="NagwekZnak"/>
    <w:uiPriority w:val="99"/>
    <w:unhideWhenUsed/>
    <w:rsid w:val="0051793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17930"/>
  </w:style>
  <w:style w:type="paragraph" w:styleId="Stopka">
    <w:name w:val="footer"/>
    <w:basedOn w:val="Normalny"/>
    <w:link w:val="StopkaZnak"/>
    <w:uiPriority w:val="99"/>
    <w:unhideWhenUsed/>
    <w:rsid w:val="0051793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17930"/>
  </w:style>
  <w:style w:type="table" w:styleId="Tabela-Siatka">
    <w:name w:val="Table Grid"/>
    <w:basedOn w:val="Standardowy"/>
    <w:uiPriority w:val="59"/>
    <w:rsid w:val="00E67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E67601"/>
    <w:rPr>
      <w:color w:val="0563C1" w:themeColor="hyperlink"/>
      <w:u w:val="single"/>
    </w:rPr>
  </w:style>
  <w:style w:type="paragraph" w:styleId="Akapitzlist">
    <w:name w:val="List Paragraph"/>
    <w:basedOn w:val="Normalny"/>
    <w:uiPriority w:val="34"/>
    <w:qFormat/>
    <w:rsid w:val="006B10AF"/>
    <w:pPr>
      <w:ind w:left="720"/>
      <w:contextualSpacing/>
    </w:pPr>
    <w:rPr>
      <w:rFonts w:asciiTheme="minorHAnsi" w:eastAsiaTheme="minorHAnsi" w:hAnsiTheme="minorHAnsi" w:cstheme="minorBidi"/>
    </w:rPr>
  </w:style>
  <w:style w:type="paragraph" w:styleId="Tekstpodstawowy">
    <w:name w:val="Body Text"/>
    <w:aliases w:val="Body Text Char Char,Body Text Char Char Char Char,Body Text Char Char Char Char Char Char,Body Text Char1,Body Text Char1 Char Char,Body Text Char1 Char Char Char Char,Body Text Char1 Char Char Char Char Char Char"/>
    <w:basedOn w:val="Normalny"/>
    <w:link w:val="TekstpodstawowyZnak"/>
    <w:rsid w:val="006B10AF"/>
    <w:pPr>
      <w:spacing w:after="0" w:line="240" w:lineRule="auto"/>
      <w:jc w:val="both"/>
    </w:pPr>
    <w:rPr>
      <w:rFonts w:ascii="Times New Roman" w:eastAsia="Times New Roman" w:hAnsi="Times New Roman"/>
      <w:sz w:val="24"/>
      <w:szCs w:val="24"/>
      <w:lang w:val="en-US" w:eastAsia="pl-PL"/>
    </w:rPr>
  </w:style>
  <w:style w:type="character" w:customStyle="1" w:styleId="TekstpodstawowyZnak">
    <w:name w:val="Tekst podstawowy Znak"/>
    <w:aliases w:val="Body Text Char Char Znak,Body Text Char Char Char Char Znak,Body Text Char Char Char Char Char Char Znak,Body Text Char1 Znak,Body Text Char1 Char Char Znak,Body Text Char1 Char Char Char Char Znak"/>
    <w:basedOn w:val="Domylnaczcionkaakapitu"/>
    <w:link w:val="Tekstpodstawowy"/>
    <w:rsid w:val="006B10AF"/>
    <w:rPr>
      <w:rFonts w:ascii="Times New Roman" w:eastAsia="Times New Roman" w:hAnsi="Times New Roman"/>
      <w:sz w:val="24"/>
      <w:szCs w:val="24"/>
      <w:lang w:val="en-US"/>
    </w:rPr>
  </w:style>
  <w:style w:type="paragraph" w:customStyle="1" w:styleId="ColorfulList-Accent11">
    <w:name w:val="Colorful List - Accent 11"/>
    <w:basedOn w:val="Normalny"/>
    <w:uiPriority w:val="34"/>
    <w:qFormat/>
    <w:rsid w:val="006B10AF"/>
    <w:pPr>
      <w:spacing w:before="60" w:after="60" w:line="240" w:lineRule="auto"/>
      <w:ind w:left="720"/>
      <w:contextualSpacing/>
      <w:jc w:val="both"/>
    </w:pPr>
    <w:rPr>
      <w:lang w:val="en-US"/>
    </w:rPr>
  </w:style>
  <w:style w:type="paragraph" w:styleId="Poprawka">
    <w:name w:val="Revision"/>
    <w:hidden/>
    <w:uiPriority w:val="99"/>
    <w:semiHidden/>
    <w:rsid w:val="0066795A"/>
    <w:rPr>
      <w:sz w:val="22"/>
      <w:szCs w:val="22"/>
      <w:lang w:eastAsia="en-US"/>
    </w:rPr>
  </w:style>
  <w:style w:type="character" w:styleId="Odwoaniedokomentarza">
    <w:name w:val="annotation reference"/>
    <w:basedOn w:val="Domylnaczcionkaakapitu"/>
    <w:uiPriority w:val="99"/>
    <w:semiHidden/>
    <w:unhideWhenUsed/>
    <w:rsid w:val="0066795A"/>
    <w:rPr>
      <w:sz w:val="16"/>
      <w:szCs w:val="16"/>
    </w:rPr>
  </w:style>
  <w:style w:type="paragraph" w:styleId="Tekstkomentarza">
    <w:name w:val="annotation text"/>
    <w:basedOn w:val="Normalny"/>
    <w:link w:val="TekstkomentarzaZnak"/>
    <w:uiPriority w:val="99"/>
    <w:semiHidden/>
    <w:unhideWhenUsed/>
    <w:rsid w:val="0066795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795A"/>
    <w:rPr>
      <w:lang w:eastAsia="en-US"/>
    </w:rPr>
  </w:style>
  <w:style w:type="paragraph" w:styleId="Tematkomentarza">
    <w:name w:val="annotation subject"/>
    <w:basedOn w:val="Tekstkomentarza"/>
    <w:next w:val="Tekstkomentarza"/>
    <w:link w:val="TematkomentarzaZnak"/>
    <w:uiPriority w:val="99"/>
    <w:semiHidden/>
    <w:unhideWhenUsed/>
    <w:rsid w:val="0066795A"/>
    <w:rPr>
      <w:b/>
      <w:bCs/>
    </w:rPr>
  </w:style>
  <w:style w:type="character" w:customStyle="1" w:styleId="TematkomentarzaZnak">
    <w:name w:val="Temat komentarza Znak"/>
    <w:basedOn w:val="TekstkomentarzaZnak"/>
    <w:link w:val="Tematkomentarza"/>
    <w:uiPriority w:val="99"/>
    <w:semiHidden/>
    <w:rsid w:val="0066795A"/>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A3929-086E-4AF2-9C40-0B605B20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937</Words>
  <Characters>5627</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Barycki Sebastian</dc:creator>
  <cp:lastModifiedBy>Wilk Justyna</cp:lastModifiedBy>
  <cp:revision>4</cp:revision>
  <cp:lastPrinted>2014-08-04T19:00:00Z</cp:lastPrinted>
  <dcterms:created xsi:type="dcterms:W3CDTF">2024-01-26T12:05:00Z</dcterms:created>
  <dcterms:modified xsi:type="dcterms:W3CDTF">2024-02-01T18:38:00Z</dcterms:modified>
</cp:coreProperties>
</file>