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973DF" w14:textId="4BA8C0D4" w:rsidR="006501FD" w:rsidRDefault="00302098" w:rsidP="006501FD">
      <w:pPr>
        <w:tabs>
          <w:tab w:val="left" w:pos="5865"/>
        </w:tabs>
        <w:spacing w:after="0" w:line="240" w:lineRule="auto"/>
        <w:jc w:val="both"/>
        <w:rPr>
          <w:rFonts w:ascii="Times New Roman" w:eastAsia="Times New Roman" w:hAnsi="Times New Roman" w:cs="Times New Roman"/>
          <w:szCs w:val="20"/>
          <w:lang w:eastAsia="pl-PL"/>
        </w:rPr>
      </w:pPr>
      <w:r>
        <w:rPr>
          <w:rFonts w:ascii="Times New Roman" w:eastAsia="Times New Roman" w:hAnsi="Times New Roman" w:cs="Times New Roman"/>
          <w:szCs w:val="20"/>
          <w:lang w:eastAsia="pl-PL"/>
        </w:rPr>
        <w:t xml:space="preserve">Załącznik </w:t>
      </w:r>
      <w:r w:rsidR="00F729FE">
        <w:rPr>
          <w:rFonts w:ascii="Times New Roman" w:eastAsia="Times New Roman" w:hAnsi="Times New Roman" w:cs="Times New Roman"/>
          <w:szCs w:val="20"/>
          <w:lang w:eastAsia="pl-PL"/>
        </w:rPr>
        <w:t>B.99</w:t>
      </w:r>
      <w:r w:rsidR="006501FD" w:rsidRPr="006501FD">
        <w:rPr>
          <w:rFonts w:ascii="Times New Roman" w:eastAsia="Times New Roman" w:hAnsi="Times New Roman" w:cs="Times New Roman"/>
          <w:szCs w:val="20"/>
          <w:lang w:eastAsia="pl-PL"/>
        </w:rPr>
        <w:t>.</w:t>
      </w:r>
    </w:p>
    <w:p w14:paraId="76AF0434" w14:textId="77777777" w:rsidR="006501FD" w:rsidRPr="006501FD" w:rsidRDefault="006501FD" w:rsidP="006501FD">
      <w:pPr>
        <w:tabs>
          <w:tab w:val="left" w:pos="5865"/>
        </w:tabs>
        <w:spacing w:after="0" w:line="240" w:lineRule="auto"/>
        <w:jc w:val="both"/>
        <w:rPr>
          <w:rFonts w:ascii="Times New Roman" w:eastAsia="Times New Roman" w:hAnsi="Times New Roman" w:cs="Times New Roman"/>
          <w:b/>
          <w:lang w:eastAsia="pl-PL"/>
        </w:rPr>
      </w:pPr>
    </w:p>
    <w:p w14:paraId="3341490F" w14:textId="18706BF8" w:rsidR="009B6E4C" w:rsidRPr="009B6E4C" w:rsidRDefault="009B6E4C" w:rsidP="006501FD">
      <w:pPr>
        <w:tabs>
          <w:tab w:val="left" w:pos="5865"/>
        </w:tabs>
        <w:spacing w:after="240" w:line="240" w:lineRule="auto"/>
        <w:jc w:val="both"/>
        <w:rPr>
          <w:rFonts w:ascii="Times New Roman" w:eastAsia="Times New Roman" w:hAnsi="Times New Roman" w:cs="Times New Roman"/>
          <w:b/>
          <w:sz w:val="28"/>
          <w:szCs w:val="24"/>
          <w:lang w:eastAsia="pl-PL"/>
        </w:rPr>
      </w:pPr>
      <w:r w:rsidRPr="009B6E4C">
        <w:rPr>
          <w:rFonts w:ascii="Times New Roman" w:eastAsia="Times New Roman" w:hAnsi="Times New Roman" w:cs="Times New Roman"/>
          <w:b/>
          <w:sz w:val="28"/>
          <w:szCs w:val="24"/>
          <w:lang w:eastAsia="pl-PL"/>
        </w:rPr>
        <w:t>LECZENIE</w:t>
      </w:r>
      <w:r w:rsidR="00711AEC">
        <w:rPr>
          <w:rFonts w:ascii="Times New Roman" w:eastAsia="Times New Roman" w:hAnsi="Times New Roman" w:cs="Times New Roman"/>
          <w:b/>
          <w:sz w:val="28"/>
          <w:szCs w:val="24"/>
          <w:lang w:eastAsia="pl-PL"/>
        </w:rPr>
        <w:t xml:space="preserve"> </w:t>
      </w:r>
      <w:r w:rsidR="00F729FE" w:rsidRPr="00F729FE">
        <w:rPr>
          <w:rFonts w:ascii="Times New Roman" w:eastAsia="Times New Roman" w:hAnsi="Times New Roman" w:cs="Times New Roman"/>
          <w:b/>
          <w:sz w:val="28"/>
          <w:szCs w:val="24"/>
          <w:lang w:eastAsia="pl-PL"/>
        </w:rPr>
        <w:t>AKROMEGALII</w:t>
      </w:r>
      <w:r w:rsidR="00711AEC">
        <w:rPr>
          <w:rFonts w:ascii="Times New Roman" w:eastAsia="Times New Roman" w:hAnsi="Times New Roman" w:cs="Times New Roman"/>
          <w:b/>
          <w:sz w:val="28"/>
          <w:szCs w:val="24"/>
          <w:lang w:eastAsia="pl-PL"/>
        </w:rPr>
        <w:t xml:space="preserve"> </w:t>
      </w:r>
      <w:r w:rsidR="00F729FE" w:rsidRPr="00F729FE">
        <w:rPr>
          <w:rFonts w:ascii="Times New Roman" w:eastAsia="Times New Roman" w:hAnsi="Times New Roman" w:cs="Times New Roman"/>
          <w:b/>
          <w:sz w:val="28"/>
          <w:szCs w:val="24"/>
          <w:lang w:eastAsia="pl-PL"/>
        </w:rPr>
        <w:t>(ICD-10</w:t>
      </w:r>
      <w:r w:rsidR="00711AEC">
        <w:rPr>
          <w:rFonts w:ascii="Times New Roman" w:eastAsia="Times New Roman" w:hAnsi="Times New Roman" w:cs="Times New Roman"/>
          <w:b/>
          <w:sz w:val="28"/>
          <w:szCs w:val="24"/>
          <w:lang w:eastAsia="pl-PL"/>
        </w:rPr>
        <w:t xml:space="preserve"> </w:t>
      </w:r>
      <w:r w:rsidR="00F729FE" w:rsidRPr="00F729FE">
        <w:rPr>
          <w:rFonts w:ascii="Times New Roman" w:eastAsia="Times New Roman" w:hAnsi="Times New Roman" w:cs="Times New Roman"/>
          <w:b/>
          <w:sz w:val="28"/>
          <w:szCs w:val="24"/>
          <w:lang w:eastAsia="pl-PL"/>
        </w:rPr>
        <w:t>E22.0)</w:t>
      </w:r>
    </w:p>
    <w:tbl>
      <w:tblPr>
        <w:tblW w:w="5022" w:type="pct"/>
        <w:tblInd w:w="-8" w:type="dxa"/>
        <w:tblCellMar>
          <w:left w:w="70" w:type="dxa"/>
          <w:right w:w="70" w:type="dxa"/>
        </w:tblCellMar>
        <w:tblLook w:val="0000" w:firstRow="0" w:lastRow="0" w:firstColumn="0" w:lastColumn="0" w:noHBand="0" w:noVBand="0"/>
      </w:tblPr>
      <w:tblGrid>
        <w:gridCol w:w="5769"/>
        <w:gridCol w:w="4011"/>
        <w:gridCol w:w="5670"/>
      </w:tblGrid>
      <w:tr w:rsidR="00F729FE" w:rsidRPr="001116D2" w14:paraId="1520D22E" w14:textId="77777777" w:rsidTr="00E72CB6">
        <w:trPr>
          <w:trHeight w:val="567"/>
        </w:trPr>
        <w:tc>
          <w:tcPr>
            <w:tcW w:w="5000" w:type="pct"/>
            <w:gridSpan w:val="3"/>
            <w:tcBorders>
              <w:top w:val="single" w:sz="6" w:space="0" w:color="auto"/>
              <w:left w:val="single" w:sz="6" w:space="0" w:color="auto"/>
              <w:bottom w:val="nil"/>
              <w:right w:val="single" w:sz="6" w:space="0" w:color="auto"/>
            </w:tcBorders>
            <w:vAlign w:val="center"/>
          </w:tcPr>
          <w:p w14:paraId="6A9C9C30" w14:textId="2B135EF4" w:rsidR="00F729FE" w:rsidRPr="00FE4F27" w:rsidRDefault="00F729FE" w:rsidP="00E72CB6">
            <w:pPr>
              <w:widowControl w:val="0"/>
              <w:spacing w:after="0" w:line="240" w:lineRule="auto"/>
              <w:jc w:val="center"/>
              <w:rPr>
                <w:rFonts w:ascii="Times New Roman" w:eastAsia="Times New Roman" w:hAnsi="Times New Roman" w:cs="Times New Roman"/>
                <w:b/>
                <w:sz w:val="20"/>
                <w:szCs w:val="20"/>
                <w:lang w:eastAsia="pl-PL"/>
              </w:rPr>
            </w:pPr>
            <w:r w:rsidRPr="00FE4F27">
              <w:rPr>
                <w:rFonts w:ascii="Times New Roman" w:eastAsia="Times New Roman" w:hAnsi="Times New Roman" w:cs="Times New Roman"/>
                <w:b/>
                <w:sz w:val="20"/>
                <w:szCs w:val="20"/>
                <w:lang w:eastAsia="pl-PL"/>
              </w:rPr>
              <w:t>ZAKRES</w:t>
            </w:r>
            <w:r w:rsidR="00711AEC">
              <w:rPr>
                <w:rFonts w:ascii="Times New Roman" w:eastAsia="Times New Roman" w:hAnsi="Times New Roman" w:cs="Times New Roman"/>
                <w:b/>
                <w:sz w:val="20"/>
                <w:szCs w:val="20"/>
                <w:lang w:eastAsia="pl-PL"/>
              </w:rPr>
              <w:t xml:space="preserve"> </w:t>
            </w:r>
            <w:r w:rsidRPr="00FE4F27">
              <w:rPr>
                <w:rFonts w:ascii="Times New Roman" w:eastAsia="Times New Roman" w:hAnsi="Times New Roman" w:cs="Times New Roman"/>
                <w:b/>
                <w:sz w:val="20"/>
                <w:szCs w:val="20"/>
                <w:lang w:eastAsia="pl-PL"/>
              </w:rPr>
              <w:t>ŚWIADCZENIA</w:t>
            </w:r>
            <w:r w:rsidR="00711AEC">
              <w:rPr>
                <w:rFonts w:ascii="Times New Roman" w:eastAsia="Times New Roman" w:hAnsi="Times New Roman" w:cs="Times New Roman"/>
                <w:b/>
                <w:sz w:val="20"/>
                <w:szCs w:val="20"/>
                <w:lang w:eastAsia="pl-PL"/>
              </w:rPr>
              <w:t xml:space="preserve"> </w:t>
            </w:r>
            <w:r w:rsidRPr="00FE4F27">
              <w:rPr>
                <w:rFonts w:ascii="Times New Roman" w:eastAsia="Times New Roman" w:hAnsi="Times New Roman" w:cs="Times New Roman"/>
                <w:b/>
                <w:sz w:val="20"/>
                <w:szCs w:val="20"/>
                <w:lang w:eastAsia="pl-PL"/>
              </w:rPr>
              <w:t>GWARANTOWANEGO</w:t>
            </w:r>
          </w:p>
        </w:tc>
      </w:tr>
      <w:tr w:rsidR="00F729FE" w:rsidRPr="001116D2" w14:paraId="09B58623" w14:textId="77777777" w:rsidTr="00B72F8D">
        <w:trPr>
          <w:trHeight w:val="567"/>
        </w:trPr>
        <w:tc>
          <w:tcPr>
            <w:tcW w:w="1867" w:type="pct"/>
            <w:tcBorders>
              <w:top w:val="single" w:sz="6" w:space="0" w:color="auto"/>
              <w:left w:val="single" w:sz="6" w:space="0" w:color="auto"/>
              <w:bottom w:val="single" w:sz="6" w:space="0" w:color="auto"/>
              <w:right w:val="single" w:sz="6" w:space="0" w:color="auto"/>
            </w:tcBorders>
            <w:vAlign w:val="center"/>
          </w:tcPr>
          <w:p w14:paraId="272BE20A" w14:textId="77777777" w:rsidR="00F729FE" w:rsidRPr="00FE4F27" w:rsidRDefault="00F729FE" w:rsidP="00E72CB6">
            <w:pPr>
              <w:widowControl w:val="0"/>
              <w:spacing w:after="0" w:line="240" w:lineRule="auto"/>
              <w:jc w:val="center"/>
              <w:rPr>
                <w:rFonts w:ascii="Times New Roman" w:eastAsia="Times New Roman" w:hAnsi="Times New Roman" w:cs="Times New Roman"/>
                <w:b/>
                <w:sz w:val="20"/>
                <w:szCs w:val="20"/>
                <w:lang w:eastAsia="pl-PL"/>
              </w:rPr>
            </w:pPr>
            <w:r w:rsidRPr="00FE4F27">
              <w:rPr>
                <w:rFonts w:ascii="Times New Roman" w:eastAsia="Times New Roman" w:hAnsi="Times New Roman" w:cs="Times New Roman"/>
                <w:b/>
                <w:sz w:val="20"/>
                <w:szCs w:val="20"/>
                <w:lang w:eastAsia="pl-PL"/>
              </w:rPr>
              <w:t>ŚWIADCZENIOBIORCY</w:t>
            </w:r>
          </w:p>
        </w:tc>
        <w:tc>
          <w:tcPr>
            <w:tcW w:w="1298" w:type="pct"/>
            <w:tcBorders>
              <w:top w:val="single" w:sz="6" w:space="0" w:color="auto"/>
              <w:left w:val="single" w:sz="6" w:space="0" w:color="auto"/>
              <w:bottom w:val="single" w:sz="6" w:space="0" w:color="auto"/>
              <w:right w:val="single" w:sz="6" w:space="0" w:color="auto"/>
            </w:tcBorders>
            <w:vAlign w:val="center"/>
          </w:tcPr>
          <w:p w14:paraId="598B5D5E" w14:textId="2DF1B74E" w:rsidR="00F729FE" w:rsidRPr="00FE4F27" w:rsidRDefault="00F729FE" w:rsidP="00E72CB6">
            <w:pPr>
              <w:widowControl w:val="0"/>
              <w:spacing w:after="0" w:line="240" w:lineRule="auto"/>
              <w:jc w:val="center"/>
              <w:rPr>
                <w:rFonts w:ascii="Times New Roman" w:eastAsia="Times New Roman" w:hAnsi="Times New Roman" w:cs="Times New Roman"/>
                <w:b/>
                <w:sz w:val="20"/>
                <w:szCs w:val="20"/>
                <w:lang w:eastAsia="pl-PL"/>
              </w:rPr>
            </w:pPr>
            <w:r w:rsidRPr="00FE4F27">
              <w:rPr>
                <w:rFonts w:ascii="Times New Roman" w:eastAsia="Times New Roman" w:hAnsi="Times New Roman" w:cs="Times New Roman"/>
                <w:b/>
                <w:sz w:val="20"/>
                <w:szCs w:val="20"/>
                <w:lang w:eastAsia="pl-PL"/>
              </w:rPr>
              <w:t>SCHEMAT</w:t>
            </w:r>
            <w:r w:rsidR="00711AEC">
              <w:rPr>
                <w:rFonts w:ascii="Times New Roman" w:eastAsia="Times New Roman" w:hAnsi="Times New Roman" w:cs="Times New Roman"/>
                <w:b/>
                <w:sz w:val="20"/>
                <w:szCs w:val="20"/>
                <w:lang w:eastAsia="pl-PL"/>
              </w:rPr>
              <w:t xml:space="preserve"> </w:t>
            </w:r>
            <w:r w:rsidRPr="00FE4F27">
              <w:rPr>
                <w:rFonts w:ascii="Times New Roman" w:eastAsia="Times New Roman" w:hAnsi="Times New Roman" w:cs="Times New Roman"/>
                <w:b/>
                <w:sz w:val="20"/>
                <w:szCs w:val="20"/>
                <w:lang w:eastAsia="pl-PL"/>
              </w:rPr>
              <w:t>DAWKOWANIA</w:t>
            </w:r>
            <w:r w:rsidR="00711AEC">
              <w:rPr>
                <w:rFonts w:ascii="Times New Roman" w:eastAsia="Times New Roman" w:hAnsi="Times New Roman" w:cs="Times New Roman"/>
                <w:b/>
                <w:sz w:val="20"/>
                <w:szCs w:val="20"/>
                <w:lang w:eastAsia="pl-PL"/>
              </w:rPr>
              <w:t xml:space="preserve"> </w:t>
            </w:r>
            <w:r w:rsidRPr="00FE4F27">
              <w:rPr>
                <w:rFonts w:ascii="Times New Roman" w:eastAsia="Times New Roman" w:hAnsi="Times New Roman" w:cs="Times New Roman"/>
                <w:b/>
                <w:sz w:val="20"/>
                <w:szCs w:val="20"/>
                <w:lang w:eastAsia="pl-PL"/>
              </w:rPr>
              <w:t>LEKÓW</w:t>
            </w:r>
            <w:r w:rsidR="00711AEC">
              <w:rPr>
                <w:rFonts w:ascii="Times New Roman" w:eastAsia="Times New Roman" w:hAnsi="Times New Roman" w:cs="Times New Roman"/>
                <w:b/>
                <w:sz w:val="20"/>
                <w:szCs w:val="20"/>
                <w:lang w:eastAsia="pl-PL"/>
              </w:rPr>
              <w:t xml:space="preserve"> </w:t>
            </w:r>
            <w:r w:rsidR="00B72F8D">
              <w:rPr>
                <w:rFonts w:ascii="Times New Roman" w:eastAsia="Times New Roman" w:hAnsi="Times New Roman" w:cs="Times New Roman"/>
                <w:b/>
                <w:sz w:val="20"/>
                <w:szCs w:val="20"/>
                <w:lang w:eastAsia="pl-PL"/>
              </w:rPr>
              <w:br/>
            </w:r>
            <w:r w:rsidR="00E72CB6">
              <w:rPr>
                <w:rFonts w:ascii="Times New Roman" w:eastAsia="Times New Roman" w:hAnsi="Times New Roman" w:cs="Times New Roman"/>
                <w:b/>
                <w:sz w:val="20"/>
                <w:szCs w:val="20"/>
                <w:lang w:eastAsia="pl-PL"/>
              </w:rPr>
              <w:t>W</w:t>
            </w:r>
            <w:r w:rsidR="00711AEC">
              <w:rPr>
                <w:rFonts w:ascii="Times New Roman" w:eastAsia="Times New Roman" w:hAnsi="Times New Roman" w:cs="Times New Roman"/>
                <w:b/>
                <w:sz w:val="20"/>
                <w:szCs w:val="20"/>
                <w:lang w:eastAsia="pl-PL"/>
              </w:rPr>
              <w:t xml:space="preserve"> </w:t>
            </w:r>
            <w:r w:rsidRPr="00FE4F27">
              <w:rPr>
                <w:rFonts w:ascii="Times New Roman" w:eastAsia="Times New Roman" w:hAnsi="Times New Roman" w:cs="Times New Roman"/>
                <w:b/>
                <w:sz w:val="20"/>
                <w:szCs w:val="20"/>
                <w:lang w:eastAsia="pl-PL"/>
              </w:rPr>
              <w:t>PROGRAMIE</w:t>
            </w:r>
          </w:p>
        </w:tc>
        <w:tc>
          <w:tcPr>
            <w:tcW w:w="1835" w:type="pct"/>
            <w:tcBorders>
              <w:top w:val="single" w:sz="6" w:space="0" w:color="auto"/>
              <w:left w:val="single" w:sz="6" w:space="0" w:color="auto"/>
              <w:bottom w:val="single" w:sz="6" w:space="0" w:color="auto"/>
              <w:right w:val="single" w:sz="6" w:space="0" w:color="auto"/>
            </w:tcBorders>
            <w:vAlign w:val="center"/>
          </w:tcPr>
          <w:p w14:paraId="5289C0C7" w14:textId="450F1504" w:rsidR="00F729FE" w:rsidRPr="00FE4F27" w:rsidRDefault="00F729FE" w:rsidP="00E72CB6">
            <w:pPr>
              <w:widowControl w:val="0"/>
              <w:spacing w:after="0" w:line="240" w:lineRule="auto"/>
              <w:jc w:val="center"/>
              <w:rPr>
                <w:rFonts w:ascii="Times New Roman" w:eastAsia="Times New Roman" w:hAnsi="Times New Roman" w:cs="Times New Roman"/>
                <w:b/>
                <w:sz w:val="20"/>
                <w:szCs w:val="20"/>
                <w:lang w:eastAsia="pl-PL"/>
              </w:rPr>
            </w:pPr>
            <w:r w:rsidRPr="00FE4F27">
              <w:rPr>
                <w:rFonts w:ascii="Times New Roman" w:eastAsia="Times New Roman" w:hAnsi="Times New Roman" w:cs="Times New Roman"/>
                <w:b/>
                <w:sz w:val="20"/>
                <w:szCs w:val="20"/>
                <w:lang w:eastAsia="pl-PL"/>
              </w:rPr>
              <w:t>BADANIA</w:t>
            </w:r>
            <w:r w:rsidR="00711AEC">
              <w:rPr>
                <w:rFonts w:ascii="Times New Roman" w:eastAsia="Times New Roman" w:hAnsi="Times New Roman" w:cs="Times New Roman"/>
                <w:b/>
                <w:sz w:val="20"/>
                <w:szCs w:val="20"/>
                <w:lang w:eastAsia="pl-PL"/>
              </w:rPr>
              <w:t xml:space="preserve"> </w:t>
            </w:r>
            <w:r w:rsidRPr="00FE4F27">
              <w:rPr>
                <w:rFonts w:ascii="Times New Roman" w:eastAsia="Times New Roman" w:hAnsi="Times New Roman" w:cs="Times New Roman"/>
                <w:b/>
                <w:sz w:val="20"/>
                <w:szCs w:val="20"/>
                <w:lang w:eastAsia="pl-PL"/>
              </w:rPr>
              <w:t>DIAGNOSTYCZNE</w:t>
            </w:r>
            <w:r w:rsidR="00711AEC">
              <w:rPr>
                <w:rFonts w:ascii="Times New Roman" w:eastAsia="Times New Roman" w:hAnsi="Times New Roman" w:cs="Times New Roman"/>
                <w:b/>
                <w:sz w:val="20"/>
                <w:szCs w:val="20"/>
                <w:lang w:eastAsia="pl-PL"/>
              </w:rPr>
              <w:t xml:space="preserve"> </w:t>
            </w:r>
            <w:r w:rsidRPr="00FE4F27">
              <w:rPr>
                <w:rFonts w:ascii="Times New Roman" w:eastAsia="Times New Roman" w:hAnsi="Times New Roman" w:cs="Times New Roman"/>
                <w:b/>
                <w:sz w:val="20"/>
                <w:szCs w:val="20"/>
                <w:lang w:eastAsia="pl-PL"/>
              </w:rPr>
              <w:t>WYKONYWANE</w:t>
            </w:r>
            <w:r w:rsidR="00711AEC">
              <w:rPr>
                <w:rFonts w:ascii="Times New Roman" w:eastAsia="Times New Roman" w:hAnsi="Times New Roman" w:cs="Times New Roman"/>
                <w:b/>
                <w:sz w:val="20"/>
                <w:szCs w:val="20"/>
                <w:lang w:eastAsia="pl-PL"/>
              </w:rPr>
              <w:t xml:space="preserve"> </w:t>
            </w:r>
            <w:r w:rsidR="00B72F8D">
              <w:rPr>
                <w:rFonts w:ascii="Times New Roman" w:eastAsia="Times New Roman" w:hAnsi="Times New Roman" w:cs="Times New Roman"/>
                <w:b/>
                <w:sz w:val="20"/>
                <w:szCs w:val="20"/>
                <w:lang w:eastAsia="pl-PL"/>
              </w:rPr>
              <w:br/>
            </w:r>
            <w:r w:rsidR="00E72CB6">
              <w:rPr>
                <w:rFonts w:ascii="Times New Roman" w:eastAsia="Times New Roman" w:hAnsi="Times New Roman" w:cs="Times New Roman"/>
                <w:b/>
                <w:sz w:val="20"/>
                <w:szCs w:val="20"/>
                <w:lang w:eastAsia="pl-PL"/>
              </w:rPr>
              <w:t>W</w:t>
            </w:r>
            <w:r w:rsidR="00711AEC">
              <w:rPr>
                <w:rFonts w:ascii="Times New Roman" w:eastAsia="Times New Roman" w:hAnsi="Times New Roman" w:cs="Times New Roman"/>
                <w:b/>
                <w:sz w:val="20"/>
                <w:szCs w:val="20"/>
                <w:lang w:eastAsia="pl-PL"/>
              </w:rPr>
              <w:t xml:space="preserve"> </w:t>
            </w:r>
            <w:r w:rsidRPr="00FE4F27">
              <w:rPr>
                <w:rFonts w:ascii="Times New Roman" w:eastAsia="Times New Roman" w:hAnsi="Times New Roman" w:cs="Times New Roman"/>
                <w:b/>
                <w:sz w:val="20"/>
                <w:szCs w:val="20"/>
                <w:lang w:eastAsia="pl-PL"/>
              </w:rPr>
              <w:t>RAMACH</w:t>
            </w:r>
            <w:r w:rsidR="00711AEC">
              <w:rPr>
                <w:rFonts w:ascii="Times New Roman" w:eastAsia="Times New Roman" w:hAnsi="Times New Roman" w:cs="Times New Roman"/>
                <w:b/>
                <w:sz w:val="20"/>
                <w:szCs w:val="20"/>
                <w:lang w:eastAsia="pl-PL"/>
              </w:rPr>
              <w:t xml:space="preserve"> </w:t>
            </w:r>
            <w:r w:rsidRPr="00FE4F27">
              <w:rPr>
                <w:rFonts w:ascii="Times New Roman" w:eastAsia="Times New Roman" w:hAnsi="Times New Roman" w:cs="Times New Roman"/>
                <w:b/>
                <w:sz w:val="20"/>
                <w:szCs w:val="20"/>
                <w:lang w:eastAsia="pl-PL"/>
              </w:rPr>
              <w:t>PROGRAMU</w:t>
            </w:r>
          </w:p>
        </w:tc>
      </w:tr>
      <w:tr w:rsidR="00F729FE" w:rsidRPr="001116D2" w14:paraId="137D8CD6" w14:textId="77777777" w:rsidTr="00B72F8D">
        <w:trPr>
          <w:trHeight w:val="20"/>
        </w:trPr>
        <w:tc>
          <w:tcPr>
            <w:tcW w:w="1867" w:type="pct"/>
            <w:tcBorders>
              <w:top w:val="single" w:sz="6" w:space="0" w:color="auto"/>
              <w:left w:val="single" w:sz="6" w:space="0" w:color="auto"/>
              <w:bottom w:val="single" w:sz="6" w:space="0" w:color="auto"/>
              <w:right w:val="single" w:sz="6" w:space="0" w:color="auto"/>
            </w:tcBorders>
          </w:tcPr>
          <w:p w14:paraId="13E79926" w14:textId="76BE17E3" w:rsidR="002A6DAF" w:rsidRPr="00FD48F5" w:rsidRDefault="002A6DAF" w:rsidP="00B72F8D">
            <w:pPr>
              <w:pStyle w:val="Standard"/>
              <w:numPr>
                <w:ilvl w:val="0"/>
                <w:numId w:val="1"/>
              </w:numPr>
              <w:spacing w:before="120" w:after="60" w:line="276" w:lineRule="auto"/>
              <w:jc w:val="both"/>
              <w:rPr>
                <w:rFonts w:cs="Times New Roman"/>
                <w:b/>
                <w:bCs/>
                <w:sz w:val="20"/>
                <w:szCs w:val="20"/>
              </w:rPr>
            </w:pPr>
            <w:r w:rsidRPr="00FD48F5">
              <w:rPr>
                <w:rFonts w:cs="Times New Roman"/>
                <w:b/>
                <w:bCs/>
                <w:sz w:val="20"/>
                <w:szCs w:val="20"/>
              </w:rPr>
              <w:t>Leczenie</w:t>
            </w:r>
            <w:r w:rsidR="00711AEC">
              <w:rPr>
                <w:rFonts w:cs="Times New Roman"/>
                <w:b/>
                <w:bCs/>
                <w:sz w:val="20"/>
                <w:szCs w:val="20"/>
              </w:rPr>
              <w:t xml:space="preserve"> </w:t>
            </w:r>
            <w:proofErr w:type="spellStart"/>
            <w:r w:rsidRPr="00FD48F5">
              <w:rPr>
                <w:rFonts w:cs="Times New Roman"/>
                <w:b/>
                <w:bCs/>
                <w:sz w:val="20"/>
                <w:szCs w:val="20"/>
              </w:rPr>
              <w:t>pasyreotydem</w:t>
            </w:r>
            <w:proofErr w:type="spellEnd"/>
          </w:p>
          <w:p w14:paraId="36EB15A1" w14:textId="2E679364" w:rsidR="00F729FE" w:rsidRPr="00FD48F5" w:rsidRDefault="00F729FE" w:rsidP="00B72F8D">
            <w:pPr>
              <w:pStyle w:val="Standard"/>
              <w:numPr>
                <w:ilvl w:val="1"/>
                <w:numId w:val="1"/>
              </w:numPr>
              <w:spacing w:after="60" w:line="276" w:lineRule="auto"/>
              <w:jc w:val="both"/>
              <w:rPr>
                <w:rFonts w:cs="Times New Roman"/>
                <w:b/>
                <w:sz w:val="20"/>
                <w:szCs w:val="20"/>
              </w:rPr>
            </w:pPr>
            <w:r w:rsidRPr="00FD48F5">
              <w:rPr>
                <w:rFonts w:cs="Times New Roman"/>
                <w:b/>
                <w:sz w:val="20"/>
                <w:szCs w:val="20"/>
              </w:rPr>
              <w:t>Kryteria</w:t>
            </w:r>
            <w:r w:rsidR="00711AEC">
              <w:rPr>
                <w:rFonts w:cs="Times New Roman"/>
                <w:b/>
                <w:sz w:val="20"/>
                <w:szCs w:val="20"/>
              </w:rPr>
              <w:t xml:space="preserve"> </w:t>
            </w:r>
            <w:r w:rsidRPr="00FD48F5">
              <w:rPr>
                <w:rFonts w:cs="Times New Roman"/>
                <w:b/>
                <w:sz w:val="20"/>
                <w:szCs w:val="20"/>
              </w:rPr>
              <w:t>kwalifikacji</w:t>
            </w:r>
          </w:p>
          <w:p w14:paraId="73A99E9F" w14:textId="3453EF89" w:rsidR="00F729FE" w:rsidRPr="00FD48F5" w:rsidRDefault="00F729FE" w:rsidP="00B72F8D">
            <w:pPr>
              <w:pStyle w:val="Standard"/>
              <w:numPr>
                <w:ilvl w:val="2"/>
                <w:numId w:val="1"/>
              </w:numPr>
              <w:spacing w:after="60" w:line="276" w:lineRule="auto"/>
              <w:jc w:val="both"/>
              <w:rPr>
                <w:rFonts w:cs="Times New Roman"/>
                <w:sz w:val="20"/>
                <w:szCs w:val="20"/>
              </w:rPr>
            </w:pPr>
            <w:r w:rsidRPr="00FD48F5">
              <w:rPr>
                <w:rFonts w:cs="Times New Roman"/>
                <w:sz w:val="20"/>
                <w:szCs w:val="20"/>
              </w:rPr>
              <w:t>wiek</w:t>
            </w:r>
            <w:r w:rsidR="00711AEC">
              <w:rPr>
                <w:rFonts w:cs="Times New Roman"/>
                <w:sz w:val="20"/>
                <w:szCs w:val="20"/>
              </w:rPr>
              <w:t xml:space="preserve"> </w:t>
            </w:r>
            <w:r w:rsidR="00543ED8" w:rsidRPr="00FD48F5">
              <w:rPr>
                <w:rFonts w:cs="Times New Roman"/>
                <w:sz w:val="20"/>
                <w:szCs w:val="20"/>
              </w:rPr>
              <w:t>powyżej</w:t>
            </w:r>
            <w:r w:rsidR="00711AEC">
              <w:rPr>
                <w:rFonts w:cs="Times New Roman"/>
                <w:sz w:val="20"/>
                <w:szCs w:val="20"/>
              </w:rPr>
              <w:t xml:space="preserve"> </w:t>
            </w:r>
            <w:r w:rsidR="00543ED8" w:rsidRPr="00FD48F5">
              <w:rPr>
                <w:rFonts w:cs="Times New Roman"/>
                <w:sz w:val="20"/>
                <w:szCs w:val="20"/>
              </w:rPr>
              <w:t>18</w:t>
            </w:r>
            <w:r w:rsidR="00711AEC">
              <w:rPr>
                <w:rFonts w:cs="Times New Roman"/>
                <w:sz w:val="20"/>
                <w:szCs w:val="20"/>
              </w:rPr>
              <w:t xml:space="preserve"> </w:t>
            </w:r>
            <w:r w:rsidR="002A6DAF" w:rsidRPr="00FD48F5">
              <w:rPr>
                <w:rFonts w:cs="Times New Roman"/>
                <w:sz w:val="20"/>
                <w:szCs w:val="20"/>
              </w:rPr>
              <w:t>roku</w:t>
            </w:r>
            <w:r w:rsidR="00711AEC">
              <w:rPr>
                <w:rFonts w:cs="Times New Roman"/>
                <w:sz w:val="20"/>
                <w:szCs w:val="20"/>
              </w:rPr>
              <w:t xml:space="preserve"> </w:t>
            </w:r>
            <w:r w:rsidR="002A6DAF" w:rsidRPr="00FD48F5">
              <w:rPr>
                <w:rFonts w:cs="Times New Roman"/>
                <w:sz w:val="20"/>
                <w:szCs w:val="20"/>
              </w:rPr>
              <w:t>życia</w:t>
            </w:r>
            <w:r w:rsidRPr="00FD48F5">
              <w:rPr>
                <w:rFonts w:cs="Times New Roman"/>
                <w:sz w:val="20"/>
                <w:szCs w:val="20"/>
              </w:rPr>
              <w:t>;</w:t>
            </w:r>
          </w:p>
          <w:p w14:paraId="4D37317F" w14:textId="4EE503F5" w:rsidR="00F729FE" w:rsidRPr="00FD48F5" w:rsidRDefault="00F729FE" w:rsidP="00B72F8D">
            <w:pPr>
              <w:pStyle w:val="Standard"/>
              <w:numPr>
                <w:ilvl w:val="2"/>
                <w:numId w:val="1"/>
              </w:numPr>
              <w:spacing w:after="60" w:line="276" w:lineRule="auto"/>
              <w:jc w:val="both"/>
              <w:rPr>
                <w:rFonts w:cs="Times New Roman"/>
                <w:sz w:val="20"/>
                <w:szCs w:val="20"/>
              </w:rPr>
            </w:pPr>
            <w:r w:rsidRPr="00FD48F5">
              <w:rPr>
                <w:rFonts w:cs="Times New Roman"/>
                <w:sz w:val="20"/>
                <w:szCs w:val="20"/>
              </w:rPr>
              <w:t>akromegalia</w:t>
            </w:r>
            <w:r w:rsidR="00711AEC">
              <w:rPr>
                <w:rFonts w:cs="Times New Roman"/>
                <w:sz w:val="20"/>
                <w:szCs w:val="20"/>
              </w:rPr>
              <w:t xml:space="preserve"> </w:t>
            </w:r>
            <w:r w:rsidRPr="00FD48F5">
              <w:rPr>
                <w:rFonts w:cs="Times New Roman"/>
                <w:sz w:val="20"/>
                <w:szCs w:val="20"/>
              </w:rPr>
              <w:t>rozpoznana</w:t>
            </w:r>
            <w:r w:rsidR="00711AEC">
              <w:rPr>
                <w:rFonts w:cs="Times New Roman"/>
                <w:sz w:val="20"/>
                <w:szCs w:val="20"/>
              </w:rPr>
              <w:t xml:space="preserve"> </w:t>
            </w:r>
            <w:r w:rsidRPr="00FD48F5">
              <w:rPr>
                <w:rFonts w:cs="Times New Roman"/>
                <w:sz w:val="20"/>
                <w:szCs w:val="20"/>
              </w:rPr>
              <w:t>na</w:t>
            </w:r>
            <w:r w:rsidR="00711AEC">
              <w:rPr>
                <w:rFonts w:cs="Times New Roman"/>
                <w:sz w:val="20"/>
                <w:szCs w:val="20"/>
              </w:rPr>
              <w:t xml:space="preserve"> </w:t>
            </w:r>
            <w:r w:rsidRPr="00FD48F5">
              <w:rPr>
                <w:rFonts w:cs="Times New Roman"/>
                <w:sz w:val="20"/>
                <w:szCs w:val="20"/>
              </w:rPr>
              <w:t>podstawie</w:t>
            </w:r>
            <w:r w:rsidR="00711AEC">
              <w:rPr>
                <w:rFonts w:cs="Times New Roman"/>
                <w:sz w:val="20"/>
                <w:szCs w:val="20"/>
              </w:rPr>
              <w:t xml:space="preserve"> </w:t>
            </w:r>
            <w:r w:rsidRPr="00FD48F5">
              <w:rPr>
                <w:rFonts w:cs="Times New Roman"/>
                <w:sz w:val="20"/>
                <w:szCs w:val="20"/>
              </w:rPr>
              <w:t>powszechnie</w:t>
            </w:r>
            <w:r w:rsidR="00711AEC">
              <w:rPr>
                <w:rFonts w:cs="Times New Roman"/>
                <w:sz w:val="20"/>
                <w:szCs w:val="20"/>
              </w:rPr>
              <w:t xml:space="preserve"> </w:t>
            </w:r>
            <w:r w:rsidRPr="00FD48F5">
              <w:rPr>
                <w:rFonts w:cs="Times New Roman"/>
                <w:sz w:val="20"/>
                <w:szCs w:val="20"/>
              </w:rPr>
              <w:t>przyjętych</w:t>
            </w:r>
            <w:r w:rsidR="00711AEC">
              <w:rPr>
                <w:rFonts w:cs="Times New Roman"/>
                <w:sz w:val="20"/>
                <w:szCs w:val="20"/>
              </w:rPr>
              <w:t xml:space="preserve"> </w:t>
            </w:r>
            <w:r w:rsidRPr="00FD48F5">
              <w:rPr>
                <w:rFonts w:cs="Times New Roman"/>
                <w:sz w:val="20"/>
                <w:szCs w:val="20"/>
              </w:rPr>
              <w:t>kryteriów</w:t>
            </w:r>
            <w:r w:rsidR="00711AEC">
              <w:rPr>
                <w:rFonts w:cs="Times New Roman"/>
                <w:sz w:val="20"/>
                <w:szCs w:val="20"/>
              </w:rPr>
              <w:t xml:space="preserve"> </w:t>
            </w:r>
            <w:r w:rsidRPr="00FD48F5">
              <w:rPr>
                <w:rFonts w:cs="Times New Roman"/>
                <w:sz w:val="20"/>
                <w:szCs w:val="20"/>
              </w:rPr>
              <w:t>klinicznych</w:t>
            </w:r>
            <w:r w:rsidR="00711AEC">
              <w:rPr>
                <w:rFonts w:cs="Times New Roman"/>
                <w:sz w:val="20"/>
                <w:szCs w:val="20"/>
              </w:rPr>
              <w:t xml:space="preserve"> </w:t>
            </w:r>
            <w:r w:rsidRPr="00FD48F5">
              <w:rPr>
                <w:rFonts w:cs="Times New Roman"/>
                <w:sz w:val="20"/>
                <w:szCs w:val="20"/>
              </w:rPr>
              <w:t>i</w:t>
            </w:r>
            <w:r w:rsidR="00711AEC">
              <w:rPr>
                <w:rFonts w:cs="Times New Roman"/>
                <w:sz w:val="20"/>
                <w:szCs w:val="20"/>
              </w:rPr>
              <w:t xml:space="preserve"> </w:t>
            </w:r>
            <w:r w:rsidRPr="00FD48F5">
              <w:rPr>
                <w:rFonts w:cs="Times New Roman"/>
                <w:sz w:val="20"/>
                <w:szCs w:val="20"/>
              </w:rPr>
              <w:t>biochemicznych</w:t>
            </w:r>
            <w:r w:rsidR="00711AEC">
              <w:rPr>
                <w:rFonts w:cs="Times New Roman"/>
                <w:sz w:val="20"/>
                <w:szCs w:val="20"/>
              </w:rPr>
              <w:t xml:space="preserve"> </w:t>
            </w:r>
            <w:r w:rsidR="007B6CB2" w:rsidRPr="00FD48F5">
              <w:rPr>
                <w:rFonts w:cs="Times New Roman"/>
                <w:sz w:val="20"/>
                <w:szCs w:val="20"/>
              </w:rPr>
              <w:t>(stężenie</w:t>
            </w:r>
            <w:r w:rsidR="00711AEC">
              <w:rPr>
                <w:rFonts w:cs="Times New Roman"/>
                <w:sz w:val="20"/>
                <w:szCs w:val="20"/>
              </w:rPr>
              <w:t xml:space="preserve"> </w:t>
            </w:r>
            <w:r w:rsidR="007B6CB2" w:rsidRPr="00FD48F5">
              <w:rPr>
                <w:rFonts w:cs="Times New Roman"/>
                <w:sz w:val="20"/>
                <w:szCs w:val="20"/>
              </w:rPr>
              <w:t>insulinopodobnego</w:t>
            </w:r>
            <w:r w:rsidR="00711AEC">
              <w:rPr>
                <w:rFonts w:cs="Times New Roman"/>
                <w:sz w:val="20"/>
                <w:szCs w:val="20"/>
              </w:rPr>
              <w:t xml:space="preserve"> </w:t>
            </w:r>
            <w:r w:rsidR="007B6CB2" w:rsidRPr="00FD48F5">
              <w:rPr>
                <w:rFonts w:cs="Times New Roman"/>
                <w:sz w:val="20"/>
                <w:szCs w:val="20"/>
              </w:rPr>
              <w:t>czynnika</w:t>
            </w:r>
            <w:r w:rsidR="00711AEC">
              <w:rPr>
                <w:rFonts w:cs="Times New Roman"/>
                <w:sz w:val="20"/>
                <w:szCs w:val="20"/>
              </w:rPr>
              <w:t xml:space="preserve"> </w:t>
            </w:r>
            <w:r w:rsidR="007B6CB2" w:rsidRPr="00FD48F5">
              <w:rPr>
                <w:rFonts w:cs="Times New Roman"/>
                <w:sz w:val="20"/>
                <w:szCs w:val="20"/>
              </w:rPr>
              <w:t>wzrostu-1</w:t>
            </w:r>
            <w:r w:rsidR="00711AEC">
              <w:rPr>
                <w:rFonts w:cs="Times New Roman"/>
                <w:sz w:val="20"/>
                <w:szCs w:val="20"/>
              </w:rPr>
              <w:t xml:space="preserve"> </w:t>
            </w:r>
            <w:r w:rsidR="007B6CB2" w:rsidRPr="00FD48F5">
              <w:rPr>
                <w:rFonts w:cs="Times New Roman"/>
                <w:sz w:val="20"/>
                <w:szCs w:val="20"/>
              </w:rPr>
              <w:t>IGF-1</w:t>
            </w:r>
            <w:r w:rsidR="00711AEC">
              <w:rPr>
                <w:rFonts w:cs="Times New Roman"/>
                <w:sz w:val="20"/>
                <w:szCs w:val="20"/>
              </w:rPr>
              <w:t xml:space="preserve"> </w:t>
            </w:r>
            <w:r w:rsidR="007B6CB2" w:rsidRPr="00FD48F5">
              <w:rPr>
                <w:rFonts w:cs="Times New Roman"/>
                <w:sz w:val="20"/>
                <w:szCs w:val="20"/>
              </w:rPr>
              <w:t>powyżej</w:t>
            </w:r>
            <w:r w:rsidR="00711AEC">
              <w:rPr>
                <w:rFonts w:cs="Times New Roman"/>
                <w:sz w:val="20"/>
                <w:szCs w:val="20"/>
              </w:rPr>
              <w:t xml:space="preserve"> </w:t>
            </w:r>
            <w:r w:rsidR="007B6CB2" w:rsidRPr="00FD48F5">
              <w:rPr>
                <w:rFonts w:cs="Times New Roman"/>
                <w:sz w:val="20"/>
                <w:szCs w:val="20"/>
              </w:rPr>
              <w:t>górnej</w:t>
            </w:r>
            <w:r w:rsidR="00711AEC">
              <w:rPr>
                <w:rFonts w:cs="Times New Roman"/>
                <w:sz w:val="20"/>
                <w:szCs w:val="20"/>
              </w:rPr>
              <w:t xml:space="preserve"> </w:t>
            </w:r>
            <w:r w:rsidR="007B6CB2" w:rsidRPr="00FD48F5">
              <w:rPr>
                <w:rFonts w:cs="Times New Roman"/>
                <w:sz w:val="20"/>
                <w:szCs w:val="20"/>
              </w:rPr>
              <w:t>granicy</w:t>
            </w:r>
            <w:r w:rsidR="00711AEC">
              <w:rPr>
                <w:rFonts w:cs="Times New Roman"/>
                <w:sz w:val="20"/>
                <w:szCs w:val="20"/>
              </w:rPr>
              <w:t xml:space="preserve"> </w:t>
            </w:r>
            <w:r w:rsidR="007B6CB2" w:rsidRPr="00FD48F5">
              <w:rPr>
                <w:rFonts w:cs="Times New Roman"/>
                <w:sz w:val="20"/>
                <w:szCs w:val="20"/>
              </w:rPr>
              <w:t>normy</w:t>
            </w:r>
            <w:r w:rsidR="00711AEC">
              <w:rPr>
                <w:rFonts w:cs="Times New Roman"/>
                <w:sz w:val="20"/>
                <w:szCs w:val="20"/>
              </w:rPr>
              <w:t xml:space="preserve"> </w:t>
            </w:r>
            <w:r w:rsidR="007B6CB2" w:rsidRPr="00FD48F5">
              <w:rPr>
                <w:rFonts w:cs="Times New Roman"/>
                <w:sz w:val="20"/>
                <w:szCs w:val="20"/>
              </w:rPr>
              <w:t>dla</w:t>
            </w:r>
            <w:r w:rsidR="00711AEC">
              <w:rPr>
                <w:rFonts w:cs="Times New Roman"/>
                <w:sz w:val="20"/>
                <w:szCs w:val="20"/>
              </w:rPr>
              <w:t xml:space="preserve"> </w:t>
            </w:r>
            <w:r w:rsidR="007B6CB2" w:rsidRPr="00FD48F5">
              <w:rPr>
                <w:rFonts w:cs="Times New Roman"/>
                <w:sz w:val="20"/>
                <w:szCs w:val="20"/>
              </w:rPr>
              <w:t>płci</w:t>
            </w:r>
            <w:r w:rsidR="00711AEC">
              <w:rPr>
                <w:rFonts w:cs="Times New Roman"/>
                <w:sz w:val="20"/>
                <w:szCs w:val="20"/>
              </w:rPr>
              <w:t xml:space="preserve"> </w:t>
            </w:r>
            <w:r w:rsidR="007B6CB2" w:rsidRPr="00FD48F5">
              <w:rPr>
                <w:rFonts w:cs="Times New Roman"/>
                <w:sz w:val="20"/>
                <w:szCs w:val="20"/>
              </w:rPr>
              <w:t>i</w:t>
            </w:r>
            <w:r w:rsidR="00711AEC">
              <w:rPr>
                <w:rFonts w:cs="Times New Roman"/>
                <w:sz w:val="20"/>
                <w:szCs w:val="20"/>
              </w:rPr>
              <w:t xml:space="preserve"> </w:t>
            </w:r>
            <w:r w:rsidR="007B6CB2" w:rsidRPr="00FD48F5">
              <w:rPr>
                <w:rFonts w:cs="Times New Roman"/>
                <w:sz w:val="20"/>
                <w:szCs w:val="20"/>
              </w:rPr>
              <w:t>wieku</w:t>
            </w:r>
            <w:r w:rsidR="00711AEC">
              <w:rPr>
                <w:rFonts w:cs="Times New Roman"/>
                <w:sz w:val="20"/>
                <w:szCs w:val="20"/>
              </w:rPr>
              <w:t xml:space="preserve"> </w:t>
            </w:r>
            <w:r w:rsidR="007B6CB2" w:rsidRPr="00FD48F5">
              <w:rPr>
                <w:rFonts w:cs="Times New Roman"/>
                <w:sz w:val="20"/>
                <w:szCs w:val="20"/>
              </w:rPr>
              <w:t>oraz</w:t>
            </w:r>
            <w:r w:rsidR="00711AEC">
              <w:rPr>
                <w:rFonts w:cs="Times New Roman"/>
                <w:sz w:val="20"/>
                <w:szCs w:val="20"/>
              </w:rPr>
              <w:t xml:space="preserve"> </w:t>
            </w:r>
            <w:r w:rsidR="007B6CB2" w:rsidRPr="00FD48F5">
              <w:rPr>
                <w:rFonts w:cs="Times New Roman"/>
                <w:sz w:val="20"/>
                <w:szCs w:val="20"/>
              </w:rPr>
              <w:t>brak</w:t>
            </w:r>
            <w:r w:rsidR="00711AEC">
              <w:rPr>
                <w:rFonts w:cs="Times New Roman"/>
                <w:sz w:val="20"/>
                <w:szCs w:val="20"/>
              </w:rPr>
              <w:t xml:space="preserve"> </w:t>
            </w:r>
            <w:r w:rsidR="007B6CB2" w:rsidRPr="00FD48F5">
              <w:rPr>
                <w:rFonts w:cs="Times New Roman"/>
                <w:sz w:val="20"/>
                <w:szCs w:val="20"/>
              </w:rPr>
              <w:t>zahamowania</w:t>
            </w:r>
            <w:r w:rsidR="00711AEC">
              <w:rPr>
                <w:rFonts w:cs="Times New Roman"/>
                <w:sz w:val="20"/>
                <w:szCs w:val="20"/>
              </w:rPr>
              <w:t xml:space="preserve"> </w:t>
            </w:r>
            <w:r w:rsidR="007B6CB2" w:rsidRPr="00FD48F5">
              <w:rPr>
                <w:rFonts w:cs="Times New Roman"/>
                <w:sz w:val="20"/>
                <w:szCs w:val="20"/>
              </w:rPr>
              <w:t>wydzielania</w:t>
            </w:r>
            <w:r w:rsidR="00711AEC">
              <w:rPr>
                <w:rFonts w:cs="Times New Roman"/>
                <w:sz w:val="20"/>
                <w:szCs w:val="20"/>
              </w:rPr>
              <w:t xml:space="preserve"> </w:t>
            </w:r>
            <w:r w:rsidR="007B6CB2" w:rsidRPr="00FD48F5">
              <w:rPr>
                <w:rFonts w:cs="Times New Roman"/>
                <w:sz w:val="20"/>
                <w:szCs w:val="20"/>
              </w:rPr>
              <w:t>hormonu</w:t>
            </w:r>
            <w:r w:rsidR="00711AEC">
              <w:rPr>
                <w:rFonts w:cs="Times New Roman"/>
                <w:sz w:val="20"/>
                <w:szCs w:val="20"/>
              </w:rPr>
              <w:t xml:space="preserve"> </w:t>
            </w:r>
            <w:r w:rsidR="007B6CB2" w:rsidRPr="00FD48F5">
              <w:rPr>
                <w:rFonts w:cs="Times New Roman"/>
                <w:sz w:val="20"/>
                <w:szCs w:val="20"/>
              </w:rPr>
              <w:t>wzrostu</w:t>
            </w:r>
            <w:r w:rsidR="00711AEC">
              <w:rPr>
                <w:rFonts w:cs="Times New Roman"/>
                <w:sz w:val="20"/>
                <w:szCs w:val="20"/>
              </w:rPr>
              <w:t xml:space="preserve"> </w:t>
            </w:r>
            <w:r w:rsidR="007B6CB2" w:rsidRPr="00FD48F5">
              <w:rPr>
                <w:rFonts w:cs="Times New Roman"/>
                <w:sz w:val="20"/>
                <w:szCs w:val="20"/>
              </w:rPr>
              <w:t>GH</w:t>
            </w:r>
            <w:r w:rsidR="00711AEC">
              <w:rPr>
                <w:rFonts w:cs="Times New Roman"/>
                <w:sz w:val="20"/>
                <w:szCs w:val="20"/>
              </w:rPr>
              <w:t xml:space="preserve"> </w:t>
            </w:r>
            <w:r w:rsidR="007B6CB2" w:rsidRPr="00FD48F5">
              <w:rPr>
                <w:rFonts w:cs="Times New Roman"/>
                <w:sz w:val="20"/>
                <w:szCs w:val="20"/>
              </w:rPr>
              <w:t>poniżej</w:t>
            </w:r>
            <w:r w:rsidR="00711AEC">
              <w:rPr>
                <w:rFonts w:cs="Times New Roman"/>
                <w:sz w:val="20"/>
                <w:szCs w:val="20"/>
              </w:rPr>
              <w:t xml:space="preserve"> </w:t>
            </w:r>
            <w:r w:rsidR="007B6CB2" w:rsidRPr="00FD48F5">
              <w:rPr>
                <w:rFonts w:cs="Times New Roman"/>
                <w:sz w:val="20"/>
                <w:szCs w:val="20"/>
              </w:rPr>
              <w:t>1,0</w:t>
            </w:r>
            <w:r w:rsidR="00711AEC">
              <w:rPr>
                <w:rFonts w:cs="Times New Roman"/>
                <w:sz w:val="20"/>
                <w:szCs w:val="20"/>
              </w:rPr>
              <w:t xml:space="preserve"> </w:t>
            </w:r>
            <w:proofErr w:type="spellStart"/>
            <w:r w:rsidR="007B6CB2" w:rsidRPr="00FD48F5">
              <w:rPr>
                <w:rFonts w:cs="Times New Roman"/>
                <w:sz w:val="20"/>
                <w:szCs w:val="20"/>
              </w:rPr>
              <w:t>μg</w:t>
            </w:r>
            <w:proofErr w:type="spellEnd"/>
            <w:r w:rsidR="007B6CB2" w:rsidRPr="00FD48F5">
              <w:rPr>
                <w:rFonts w:cs="Times New Roman"/>
                <w:sz w:val="20"/>
                <w:szCs w:val="20"/>
              </w:rPr>
              <w:t>/l</w:t>
            </w:r>
            <w:r w:rsidR="00711AEC">
              <w:rPr>
                <w:rFonts w:cs="Times New Roman"/>
                <w:sz w:val="20"/>
                <w:szCs w:val="20"/>
              </w:rPr>
              <w:t xml:space="preserve"> </w:t>
            </w:r>
            <w:r w:rsidR="007B6CB2" w:rsidRPr="00FD48F5">
              <w:rPr>
                <w:rFonts w:cs="Times New Roman"/>
                <w:sz w:val="20"/>
                <w:szCs w:val="20"/>
              </w:rPr>
              <w:t>(</w:t>
            </w:r>
            <w:proofErr w:type="spellStart"/>
            <w:r w:rsidR="007B6CB2" w:rsidRPr="00FD48F5">
              <w:rPr>
                <w:rFonts w:cs="Times New Roman"/>
                <w:sz w:val="20"/>
                <w:szCs w:val="20"/>
              </w:rPr>
              <w:t>ng</w:t>
            </w:r>
            <w:proofErr w:type="spellEnd"/>
            <w:r w:rsidR="007B6CB2" w:rsidRPr="00FD48F5">
              <w:rPr>
                <w:rFonts w:cs="Times New Roman"/>
                <w:sz w:val="20"/>
                <w:szCs w:val="20"/>
              </w:rPr>
              <w:t>/ml)</w:t>
            </w:r>
            <w:r w:rsidR="00711AEC">
              <w:rPr>
                <w:rFonts w:cs="Times New Roman"/>
                <w:sz w:val="20"/>
                <w:szCs w:val="20"/>
              </w:rPr>
              <w:t xml:space="preserve"> </w:t>
            </w:r>
            <w:r w:rsidR="007B6CB2" w:rsidRPr="00FD48F5">
              <w:rPr>
                <w:rFonts w:cs="Times New Roman"/>
                <w:sz w:val="20"/>
                <w:szCs w:val="20"/>
              </w:rPr>
              <w:t>w</w:t>
            </w:r>
            <w:r w:rsidR="00711AEC">
              <w:rPr>
                <w:rFonts w:cs="Times New Roman"/>
                <w:sz w:val="20"/>
                <w:szCs w:val="20"/>
              </w:rPr>
              <w:t xml:space="preserve"> </w:t>
            </w:r>
            <w:r w:rsidR="007B6CB2" w:rsidRPr="00FD48F5">
              <w:rPr>
                <w:rFonts w:cs="Times New Roman"/>
                <w:sz w:val="20"/>
                <w:szCs w:val="20"/>
              </w:rPr>
              <w:t>doustnym</w:t>
            </w:r>
            <w:r w:rsidR="00711AEC">
              <w:rPr>
                <w:rFonts w:cs="Times New Roman"/>
                <w:sz w:val="20"/>
                <w:szCs w:val="20"/>
              </w:rPr>
              <w:t xml:space="preserve"> </w:t>
            </w:r>
            <w:r w:rsidR="007B6CB2" w:rsidRPr="00FD48F5">
              <w:rPr>
                <w:rFonts w:cs="Times New Roman"/>
                <w:sz w:val="20"/>
                <w:szCs w:val="20"/>
              </w:rPr>
              <w:t>teście</w:t>
            </w:r>
            <w:r w:rsidR="00711AEC">
              <w:rPr>
                <w:rFonts w:cs="Times New Roman"/>
                <w:sz w:val="20"/>
                <w:szCs w:val="20"/>
              </w:rPr>
              <w:t xml:space="preserve"> </w:t>
            </w:r>
            <w:r w:rsidR="007B6CB2" w:rsidRPr="00FD48F5">
              <w:rPr>
                <w:rFonts w:cs="Times New Roman"/>
                <w:sz w:val="20"/>
                <w:szCs w:val="20"/>
              </w:rPr>
              <w:t>obciążenia</w:t>
            </w:r>
            <w:r w:rsidR="00711AEC">
              <w:rPr>
                <w:rFonts w:cs="Times New Roman"/>
                <w:sz w:val="20"/>
                <w:szCs w:val="20"/>
              </w:rPr>
              <w:t xml:space="preserve"> </w:t>
            </w:r>
            <w:r w:rsidR="007B6CB2" w:rsidRPr="00FD48F5">
              <w:rPr>
                <w:rFonts w:cs="Times New Roman"/>
                <w:sz w:val="20"/>
                <w:szCs w:val="20"/>
              </w:rPr>
              <w:t>glukozą</w:t>
            </w:r>
            <w:r w:rsidR="00711AEC">
              <w:rPr>
                <w:rFonts w:cs="Times New Roman"/>
                <w:sz w:val="20"/>
                <w:szCs w:val="20"/>
              </w:rPr>
              <w:t xml:space="preserve"> </w:t>
            </w:r>
            <w:r w:rsidR="007B6CB2" w:rsidRPr="00FD48F5">
              <w:rPr>
                <w:rFonts w:cs="Times New Roman"/>
                <w:sz w:val="20"/>
                <w:szCs w:val="20"/>
              </w:rPr>
              <w:t>(ang.</w:t>
            </w:r>
            <w:r w:rsidR="00711AEC">
              <w:rPr>
                <w:rFonts w:cs="Times New Roman"/>
                <w:sz w:val="20"/>
                <w:szCs w:val="20"/>
              </w:rPr>
              <w:t xml:space="preserve"> </w:t>
            </w:r>
            <w:proofErr w:type="spellStart"/>
            <w:r w:rsidR="007B6CB2" w:rsidRPr="00FD48F5">
              <w:rPr>
                <w:rFonts w:cs="Times New Roman"/>
                <w:sz w:val="20"/>
                <w:szCs w:val="20"/>
              </w:rPr>
              <w:t>oral</w:t>
            </w:r>
            <w:proofErr w:type="spellEnd"/>
            <w:r w:rsidR="00711AEC">
              <w:rPr>
                <w:rFonts w:cs="Times New Roman"/>
                <w:sz w:val="20"/>
                <w:szCs w:val="20"/>
              </w:rPr>
              <w:t xml:space="preserve"> </w:t>
            </w:r>
            <w:proofErr w:type="spellStart"/>
            <w:r w:rsidR="007B6CB2" w:rsidRPr="00FD48F5">
              <w:rPr>
                <w:rFonts w:cs="Times New Roman"/>
                <w:sz w:val="20"/>
                <w:szCs w:val="20"/>
              </w:rPr>
              <w:t>glucose</w:t>
            </w:r>
            <w:proofErr w:type="spellEnd"/>
            <w:r w:rsidR="00711AEC">
              <w:rPr>
                <w:rFonts w:cs="Times New Roman"/>
                <w:sz w:val="20"/>
                <w:szCs w:val="20"/>
              </w:rPr>
              <w:t xml:space="preserve"> </w:t>
            </w:r>
            <w:proofErr w:type="spellStart"/>
            <w:r w:rsidR="007B6CB2" w:rsidRPr="00FD48F5">
              <w:rPr>
                <w:rFonts w:cs="Times New Roman"/>
                <w:sz w:val="20"/>
                <w:szCs w:val="20"/>
              </w:rPr>
              <w:t>tolerance</w:t>
            </w:r>
            <w:proofErr w:type="spellEnd"/>
            <w:r w:rsidR="00711AEC">
              <w:rPr>
                <w:rFonts w:cs="Times New Roman"/>
                <w:sz w:val="20"/>
                <w:szCs w:val="20"/>
              </w:rPr>
              <w:t xml:space="preserve"> </w:t>
            </w:r>
            <w:r w:rsidR="007B6CB2" w:rsidRPr="00FD48F5">
              <w:rPr>
                <w:rFonts w:cs="Times New Roman"/>
                <w:sz w:val="20"/>
                <w:szCs w:val="20"/>
              </w:rPr>
              <w:t>test,</w:t>
            </w:r>
            <w:r w:rsidR="00711AEC">
              <w:rPr>
                <w:rFonts w:cs="Times New Roman"/>
                <w:sz w:val="20"/>
                <w:szCs w:val="20"/>
              </w:rPr>
              <w:t xml:space="preserve"> </w:t>
            </w:r>
            <w:r w:rsidR="007B6CB2" w:rsidRPr="00FD48F5">
              <w:rPr>
                <w:rFonts w:cs="Times New Roman"/>
                <w:sz w:val="20"/>
                <w:szCs w:val="20"/>
              </w:rPr>
              <w:t>OGTT);</w:t>
            </w:r>
          </w:p>
          <w:p w14:paraId="5972B92A" w14:textId="15E52E44" w:rsidR="00F729FE" w:rsidRPr="00FD48F5" w:rsidRDefault="002A6DAF" w:rsidP="00B72F8D">
            <w:pPr>
              <w:pStyle w:val="Standard"/>
              <w:numPr>
                <w:ilvl w:val="2"/>
                <w:numId w:val="1"/>
              </w:numPr>
              <w:spacing w:after="60" w:line="276" w:lineRule="auto"/>
              <w:jc w:val="both"/>
              <w:rPr>
                <w:rFonts w:eastAsia="Times New Roman" w:cs="Times New Roman"/>
                <w:sz w:val="20"/>
                <w:szCs w:val="20"/>
              </w:rPr>
            </w:pPr>
            <w:r w:rsidRPr="00FD48F5">
              <w:rPr>
                <w:rFonts w:cs="Times New Roman"/>
                <w:sz w:val="20"/>
                <w:szCs w:val="20"/>
              </w:rPr>
              <w:t>niewystarczające</w:t>
            </w:r>
            <w:r w:rsidR="00711AEC">
              <w:rPr>
                <w:rFonts w:cs="Times New Roman"/>
                <w:sz w:val="20"/>
                <w:szCs w:val="20"/>
              </w:rPr>
              <w:t xml:space="preserve"> </w:t>
            </w:r>
            <w:r w:rsidRPr="00FD48F5">
              <w:rPr>
                <w:rFonts w:cs="Times New Roman"/>
                <w:sz w:val="20"/>
                <w:szCs w:val="20"/>
              </w:rPr>
              <w:t>leczenie</w:t>
            </w:r>
            <w:r w:rsidR="00711AEC">
              <w:rPr>
                <w:rFonts w:cs="Times New Roman"/>
                <w:sz w:val="20"/>
                <w:szCs w:val="20"/>
              </w:rPr>
              <w:t xml:space="preserve"> </w:t>
            </w:r>
            <w:r w:rsidR="00F729FE" w:rsidRPr="00FD48F5">
              <w:rPr>
                <w:rFonts w:cs="Times New Roman"/>
                <w:sz w:val="20"/>
                <w:szCs w:val="20"/>
              </w:rPr>
              <w:t>operacyjne</w:t>
            </w:r>
            <w:r w:rsidR="00711AEC">
              <w:rPr>
                <w:rFonts w:cs="Times New Roman"/>
                <w:sz w:val="20"/>
                <w:szCs w:val="20"/>
              </w:rPr>
              <w:t xml:space="preserve"> </w:t>
            </w:r>
            <w:r w:rsidR="00F729FE" w:rsidRPr="00FD48F5">
              <w:rPr>
                <w:rFonts w:cs="Times New Roman"/>
                <w:sz w:val="20"/>
                <w:szCs w:val="20"/>
              </w:rPr>
              <w:t>(zabieg</w:t>
            </w:r>
            <w:r w:rsidR="00711AEC">
              <w:rPr>
                <w:rFonts w:cs="Times New Roman"/>
                <w:sz w:val="20"/>
                <w:szCs w:val="20"/>
              </w:rPr>
              <w:t xml:space="preserve"> </w:t>
            </w:r>
            <w:r w:rsidR="00F729FE" w:rsidRPr="00FD48F5">
              <w:rPr>
                <w:rFonts w:cs="Times New Roman"/>
                <w:sz w:val="20"/>
                <w:szCs w:val="20"/>
              </w:rPr>
              <w:t>neurochirurgiczny</w:t>
            </w:r>
            <w:r w:rsidR="00711AEC">
              <w:rPr>
                <w:rFonts w:cs="Times New Roman"/>
                <w:sz w:val="20"/>
                <w:szCs w:val="20"/>
              </w:rPr>
              <w:t xml:space="preserve"> </w:t>
            </w:r>
            <w:r w:rsidR="00F729FE" w:rsidRPr="00FD48F5">
              <w:rPr>
                <w:rFonts w:cs="Times New Roman"/>
                <w:sz w:val="20"/>
                <w:szCs w:val="20"/>
              </w:rPr>
              <w:t>usunięcia</w:t>
            </w:r>
            <w:r w:rsidR="00711AEC">
              <w:rPr>
                <w:rFonts w:cs="Times New Roman"/>
                <w:sz w:val="20"/>
                <w:szCs w:val="20"/>
              </w:rPr>
              <w:t xml:space="preserve"> </w:t>
            </w:r>
            <w:r w:rsidR="00F729FE" w:rsidRPr="00FD48F5">
              <w:rPr>
                <w:rFonts w:cs="Times New Roman"/>
                <w:sz w:val="20"/>
                <w:szCs w:val="20"/>
              </w:rPr>
              <w:t>guza</w:t>
            </w:r>
            <w:r w:rsidR="00711AEC">
              <w:rPr>
                <w:rFonts w:eastAsia="Times New Roman" w:cs="Times New Roman"/>
                <w:sz w:val="20"/>
                <w:szCs w:val="20"/>
              </w:rPr>
              <w:t xml:space="preserve"> </w:t>
            </w:r>
            <w:proofErr w:type="spellStart"/>
            <w:r w:rsidR="00F729FE" w:rsidRPr="00FD48F5">
              <w:rPr>
                <w:rFonts w:eastAsia="Times New Roman" w:cs="Times New Roman"/>
                <w:sz w:val="20"/>
                <w:szCs w:val="20"/>
              </w:rPr>
              <w:t>somatotropowego</w:t>
            </w:r>
            <w:proofErr w:type="spellEnd"/>
            <w:r w:rsidR="00711AEC">
              <w:rPr>
                <w:rFonts w:eastAsia="Times New Roman" w:cs="Times New Roman"/>
                <w:sz w:val="20"/>
                <w:szCs w:val="20"/>
              </w:rPr>
              <w:t xml:space="preserve"> </w:t>
            </w:r>
            <w:r w:rsidR="00F729FE" w:rsidRPr="00FD48F5">
              <w:rPr>
                <w:rFonts w:eastAsia="Times New Roman" w:cs="Times New Roman"/>
                <w:sz w:val="20"/>
                <w:szCs w:val="20"/>
              </w:rPr>
              <w:t>przysadki)</w:t>
            </w:r>
            <w:r w:rsidRPr="00FD48F5">
              <w:rPr>
                <w:rFonts w:eastAsia="Times New Roman" w:cs="Times New Roman"/>
                <w:sz w:val="20"/>
                <w:szCs w:val="20"/>
              </w:rPr>
              <w:t>,</w:t>
            </w:r>
            <w:r w:rsidR="00711AEC">
              <w:rPr>
                <w:rFonts w:eastAsia="Times New Roman" w:cs="Times New Roman"/>
                <w:sz w:val="20"/>
                <w:szCs w:val="20"/>
              </w:rPr>
              <w:t xml:space="preserve"> </w:t>
            </w:r>
            <w:r w:rsidRPr="00FD48F5">
              <w:rPr>
                <w:rFonts w:eastAsia="Times New Roman" w:cs="Times New Roman"/>
                <w:sz w:val="20"/>
                <w:szCs w:val="20"/>
              </w:rPr>
              <w:t>które</w:t>
            </w:r>
            <w:r w:rsidR="00711AEC">
              <w:rPr>
                <w:rFonts w:eastAsia="Times New Roman" w:cs="Times New Roman"/>
                <w:sz w:val="20"/>
                <w:szCs w:val="20"/>
              </w:rPr>
              <w:t xml:space="preserve"> </w:t>
            </w:r>
            <w:r w:rsidR="00F729FE" w:rsidRPr="00FD48F5">
              <w:rPr>
                <w:rFonts w:eastAsia="Times New Roman" w:cs="Times New Roman"/>
                <w:sz w:val="20"/>
                <w:szCs w:val="20"/>
              </w:rPr>
              <w:t>nie</w:t>
            </w:r>
            <w:r w:rsidR="00711AEC">
              <w:rPr>
                <w:rFonts w:eastAsia="Times New Roman" w:cs="Times New Roman"/>
                <w:sz w:val="20"/>
                <w:szCs w:val="20"/>
              </w:rPr>
              <w:t xml:space="preserve"> </w:t>
            </w:r>
            <w:r w:rsidR="00F729FE" w:rsidRPr="00FD48F5">
              <w:rPr>
                <w:rFonts w:eastAsia="Times New Roman" w:cs="Times New Roman"/>
                <w:sz w:val="20"/>
                <w:szCs w:val="20"/>
              </w:rPr>
              <w:t>doprowadziło</w:t>
            </w:r>
            <w:r w:rsidR="00711AEC">
              <w:rPr>
                <w:rFonts w:eastAsia="Times New Roman" w:cs="Times New Roman"/>
                <w:sz w:val="20"/>
                <w:szCs w:val="20"/>
              </w:rPr>
              <w:t xml:space="preserve"> </w:t>
            </w:r>
            <w:r w:rsidR="00F729FE" w:rsidRPr="00FD48F5">
              <w:rPr>
                <w:rFonts w:eastAsia="Times New Roman" w:cs="Times New Roman"/>
                <w:sz w:val="20"/>
                <w:szCs w:val="20"/>
              </w:rPr>
              <w:t>do</w:t>
            </w:r>
            <w:r w:rsidR="00711AEC">
              <w:rPr>
                <w:rFonts w:eastAsia="Times New Roman" w:cs="Times New Roman"/>
                <w:sz w:val="20"/>
                <w:szCs w:val="20"/>
              </w:rPr>
              <w:t xml:space="preserve"> </w:t>
            </w:r>
            <w:r w:rsidR="00F729FE" w:rsidRPr="00FD48F5">
              <w:rPr>
                <w:rFonts w:eastAsia="Times New Roman" w:cs="Times New Roman"/>
                <w:sz w:val="20"/>
                <w:szCs w:val="20"/>
              </w:rPr>
              <w:t>normalizacji</w:t>
            </w:r>
            <w:r w:rsidR="00711AEC">
              <w:rPr>
                <w:rFonts w:eastAsia="Times New Roman" w:cs="Times New Roman"/>
                <w:sz w:val="20"/>
                <w:szCs w:val="20"/>
              </w:rPr>
              <w:t xml:space="preserve"> </w:t>
            </w:r>
            <w:r w:rsidR="00F729FE" w:rsidRPr="00FD48F5">
              <w:rPr>
                <w:rFonts w:eastAsia="Times New Roman" w:cs="Times New Roman"/>
                <w:sz w:val="20"/>
                <w:szCs w:val="20"/>
              </w:rPr>
              <w:t>stężenia</w:t>
            </w:r>
            <w:r w:rsidR="00711AEC">
              <w:rPr>
                <w:rFonts w:eastAsia="Times New Roman" w:cs="Times New Roman"/>
                <w:sz w:val="20"/>
                <w:szCs w:val="20"/>
              </w:rPr>
              <w:t xml:space="preserve"> </w:t>
            </w:r>
            <w:r w:rsidR="00F729FE" w:rsidRPr="00FD48F5">
              <w:rPr>
                <w:rFonts w:eastAsia="Times New Roman" w:cs="Times New Roman"/>
                <w:sz w:val="20"/>
                <w:szCs w:val="20"/>
              </w:rPr>
              <w:t>GH</w:t>
            </w:r>
            <w:r w:rsidR="00711AEC">
              <w:rPr>
                <w:rFonts w:eastAsia="Times New Roman" w:cs="Times New Roman"/>
                <w:sz w:val="20"/>
                <w:szCs w:val="20"/>
              </w:rPr>
              <w:t xml:space="preserve"> </w:t>
            </w:r>
            <w:r w:rsidR="00F729FE" w:rsidRPr="00FD48F5">
              <w:rPr>
                <w:rFonts w:eastAsia="Times New Roman" w:cs="Times New Roman"/>
                <w:sz w:val="20"/>
                <w:szCs w:val="20"/>
              </w:rPr>
              <w:t>(w</w:t>
            </w:r>
            <w:r w:rsidR="00711AEC">
              <w:rPr>
                <w:rFonts w:eastAsia="Times New Roman" w:cs="Times New Roman"/>
                <w:sz w:val="20"/>
                <w:szCs w:val="20"/>
              </w:rPr>
              <w:t xml:space="preserve"> </w:t>
            </w:r>
            <w:r w:rsidR="00F729FE" w:rsidRPr="00FD48F5">
              <w:rPr>
                <w:rFonts w:eastAsia="Times New Roman" w:cs="Times New Roman"/>
                <w:sz w:val="20"/>
                <w:szCs w:val="20"/>
              </w:rPr>
              <w:t>doustnym</w:t>
            </w:r>
            <w:r w:rsidR="00711AEC">
              <w:rPr>
                <w:rFonts w:eastAsia="Times New Roman" w:cs="Times New Roman"/>
                <w:sz w:val="20"/>
                <w:szCs w:val="20"/>
              </w:rPr>
              <w:t xml:space="preserve"> </w:t>
            </w:r>
            <w:r w:rsidR="00F729FE" w:rsidRPr="00FD48F5">
              <w:rPr>
                <w:rFonts w:eastAsia="Times New Roman" w:cs="Times New Roman"/>
                <w:sz w:val="20"/>
                <w:szCs w:val="20"/>
              </w:rPr>
              <w:t>teście</w:t>
            </w:r>
            <w:r w:rsidR="00711AEC">
              <w:rPr>
                <w:rFonts w:eastAsia="Times New Roman" w:cs="Times New Roman"/>
                <w:sz w:val="20"/>
                <w:szCs w:val="20"/>
              </w:rPr>
              <w:t xml:space="preserve"> </w:t>
            </w:r>
            <w:r w:rsidR="00F729FE" w:rsidRPr="00FD48F5">
              <w:rPr>
                <w:rFonts w:eastAsia="Times New Roman" w:cs="Times New Roman"/>
                <w:sz w:val="20"/>
                <w:szCs w:val="20"/>
              </w:rPr>
              <w:t>obciążenia</w:t>
            </w:r>
            <w:r w:rsidR="00711AEC">
              <w:rPr>
                <w:rFonts w:eastAsia="Times New Roman" w:cs="Times New Roman"/>
                <w:sz w:val="20"/>
                <w:szCs w:val="20"/>
              </w:rPr>
              <w:t xml:space="preserve"> </w:t>
            </w:r>
            <w:r w:rsidR="00F729FE" w:rsidRPr="00FD48F5">
              <w:rPr>
                <w:rFonts w:eastAsia="Times New Roman" w:cs="Times New Roman"/>
                <w:sz w:val="20"/>
                <w:szCs w:val="20"/>
              </w:rPr>
              <w:t>glukozą</w:t>
            </w:r>
            <w:r w:rsidR="00711AEC">
              <w:rPr>
                <w:rFonts w:eastAsia="Times New Roman" w:cs="Times New Roman"/>
                <w:sz w:val="20"/>
                <w:szCs w:val="20"/>
              </w:rPr>
              <w:t xml:space="preserve"> </w:t>
            </w:r>
            <w:r w:rsidR="00F729FE" w:rsidRPr="00FD48F5">
              <w:rPr>
                <w:rFonts w:eastAsia="Times New Roman" w:cs="Times New Roman"/>
                <w:sz w:val="20"/>
                <w:szCs w:val="20"/>
              </w:rPr>
              <w:t>OGTT</w:t>
            </w:r>
            <w:r w:rsidR="00711AEC">
              <w:rPr>
                <w:rFonts w:eastAsia="Times New Roman" w:cs="Times New Roman"/>
                <w:sz w:val="20"/>
                <w:szCs w:val="20"/>
              </w:rPr>
              <w:t xml:space="preserve"> </w:t>
            </w:r>
            <w:r w:rsidR="00F729FE" w:rsidRPr="00FD48F5">
              <w:rPr>
                <w:rFonts w:eastAsia="Times New Roman" w:cs="Times New Roman"/>
                <w:sz w:val="20"/>
                <w:szCs w:val="20"/>
              </w:rPr>
              <w:t>lub</w:t>
            </w:r>
            <w:r w:rsidR="00711AEC">
              <w:rPr>
                <w:rFonts w:eastAsia="Times New Roman" w:cs="Times New Roman"/>
                <w:sz w:val="20"/>
                <w:szCs w:val="20"/>
              </w:rPr>
              <w:t xml:space="preserve"> </w:t>
            </w:r>
            <w:r w:rsidR="00F729FE" w:rsidRPr="00FD48F5">
              <w:rPr>
                <w:rFonts w:eastAsia="Times New Roman" w:cs="Times New Roman"/>
                <w:sz w:val="20"/>
                <w:szCs w:val="20"/>
              </w:rPr>
              <w:t>w</w:t>
            </w:r>
            <w:r w:rsidR="00711AEC">
              <w:rPr>
                <w:rFonts w:eastAsia="Times New Roman" w:cs="Times New Roman"/>
                <w:sz w:val="20"/>
                <w:szCs w:val="20"/>
              </w:rPr>
              <w:t xml:space="preserve"> </w:t>
            </w:r>
            <w:r w:rsidR="00F729FE" w:rsidRPr="00FD48F5">
              <w:rPr>
                <w:rFonts w:eastAsia="Times New Roman" w:cs="Times New Roman"/>
                <w:sz w:val="20"/>
                <w:szCs w:val="20"/>
              </w:rPr>
              <w:t>profilu</w:t>
            </w:r>
            <w:r w:rsidR="00711AEC">
              <w:rPr>
                <w:rFonts w:eastAsia="Times New Roman" w:cs="Times New Roman"/>
                <w:sz w:val="20"/>
                <w:szCs w:val="20"/>
              </w:rPr>
              <w:t xml:space="preserve"> </w:t>
            </w:r>
            <w:r w:rsidR="00F729FE" w:rsidRPr="00FD48F5">
              <w:rPr>
                <w:rFonts w:eastAsia="Times New Roman" w:cs="Times New Roman"/>
                <w:sz w:val="20"/>
                <w:szCs w:val="20"/>
              </w:rPr>
              <w:t>GH)</w:t>
            </w:r>
            <w:r w:rsidR="00711AEC">
              <w:rPr>
                <w:rFonts w:eastAsia="Times New Roman" w:cs="Times New Roman"/>
                <w:sz w:val="20"/>
                <w:szCs w:val="20"/>
              </w:rPr>
              <w:t xml:space="preserve"> </w:t>
            </w:r>
            <w:r w:rsidR="00F729FE" w:rsidRPr="00FD48F5">
              <w:rPr>
                <w:rFonts w:eastAsia="Times New Roman" w:cs="Times New Roman"/>
                <w:sz w:val="20"/>
                <w:szCs w:val="20"/>
              </w:rPr>
              <w:t>oraz</w:t>
            </w:r>
            <w:r w:rsidR="00711AEC">
              <w:rPr>
                <w:rFonts w:eastAsia="Times New Roman" w:cs="Times New Roman"/>
                <w:sz w:val="20"/>
                <w:szCs w:val="20"/>
              </w:rPr>
              <w:t xml:space="preserve"> </w:t>
            </w:r>
            <w:r w:rsidR="00F729FE" w:rsidRPr="00FD48F5">
              <w:rPr>
                <w:rFonts w:eastAsia="Times New Roman" w:cs="Times New Roman"/>
                <w:sz w:val="20"/>
                <w:szCs w:val="20"/>
              </w:rPr>
              <w:t>stężenia</w:t>
            </w:r>
            <w:r w:rsidR="00711AEC">
              <w:rPr>
                <w:rFonts w:eastAsia="Times New Roman" w:cs="Times New Roman"/>
                <w:sz w:val="20"/>
                <w:szCs w:val="20"/>
              </w:rPr>
              <w:t xml:space="preserve"> </w:t>
            </w:r>
            <w:r w:rsidR="00F729FE" w:rsidRPr="00FD48F5">
              <w:rPr>
                <w:rFonts w:eastAsia="Times New Roman" w:cs="Times New Roman"/>
                <w:sz w:val="20"/>
                <w:szCs w:val="20"/>
              </w:rPr>
              <w:t>IGF-1</w:t>
            </w:r>
            <w:r w:rsidR="00711AEC">
              <w:rPr>
                <w:rFonts w:eastAsia="Times New Roman" w:cs="Times New Roman"/>
                <w:sz w:val="20"/>
                <w:szCs w:val="20"/>
              </w:rPr>
              <w:t xml:space="preserve"> </w:t>
            </w:r>
            <w:r w:rsidR="00F729FE" w:rsidRPr="00FD48F5">
              <w:rPr>
                <w:rFonts w:eastAsia="Times New Roman" w:cs="Times New Roman"/>
                <w:sz w:val="20"/>
                <w:szCs w:val="20"/>
              </w:rPr>
              <w:t>prawidłowego</w:t>
            </w:r>
            <w:r w:rsidR="00711AEC">
              <w:rPr>
                <w:rFonts w:eastAsia="Times New Roman" w:cs="Times New Roman"/>
                <w:sz w:val="20"/>
                <w:szCs w:val="20"/>
              </w:rPr>
              <w:t xml:space="preserve"> </w:t>
            </w:r>
            <w:r w:rsidR="00F729FE" w:rsidRPr="00FD48F5">
              <w:rPr>
                <w:rFonts w:eastAsia="Times New Roman" w:cs="Times New Roman"/>
                <w:sz w:val="20"/>
                <w:szCs w:val="20"/>
              </w:rPr>
              <w:t>dla</w:t>
            </w:r>
            <w:r w:rsidR="00711AEC">
              <w:rPr>
                <w:rFonts w:eastAsia="Times New Roman" w:cs="Times New Roman"/>
                <w:sz w:val="20"/>
                <w:szCs w:val="20"/>
              </w:rPr>
              <w:t xml:space="preserve"> </w:t>
            </w:r>
            <w:r w:rsidR="00F729FE" w:rsidRPr="00FD48F5">
              <w:rPr>
                <w:rFonts w:eastAsia="Times New Roman" w:cs="Times New Roman"/>
                <w:sz w:val="20"/>
                <w:szCs w:val="20"/>
              </w:rPr>
              <w:t>płci</w:t>
            </w:r>
            <w:r w:rsidR="00711AEC">
              <w:rPr>
                <w:rFonts w:eastAsia="Times New Roman" w:cs="Times New Roman"/>
                <w:sz w:val="20"/>
                <w:szCs w:val="20"/>
              </w:rPr>
              <w:t xml:space="preserve"> </w:t>
            </w:r>
            <w:r w:rsidR="00F729FE" w:rsidRPr="00FD48F5">
              <w:rPr>
                <w:rFonts w:eastAsia="Times New Roman" w:cs="Times New Roman"/>
                <w:sz w:val="20"/>
                <w:szCs w:val="20"/>
              </w:rPr>
              <w:t>i</w:t>
            </w:r>
            <w:r w:rsidR="00711AEC">
              <w:rPr>
                <w:rFonts w:eastAsia="Times New Roman" w:cs="Times New Roman"/>
                <w:sz w:val="20"/>
                <w:szCs w:val="20"/>
              </w:rPr>
              <w:t xml:space="preserve"> </w:t>
            </w:r>
            <w:r w:rsidR="00F729FE" w:rsidRPr="00FD48F5">
              <w:rPr>
                <w:rFonts w:eastAsia="Times New Roman" w:cs="Times New Roman"/>
                <w:sz w:val="20"/>
                <w:szCs w:val="20"/>
              </w:rPr>
              <w:t>wieku</w:t>
            </w:r>
            <w:r w:rsidRPr="00FD48F5">
              <w:rPr>
                <w:rFonts w:eastAsia="Times New Roman" w:cs="Times New Roman"/>
                <w:sz w:val="20"/>
                <w:szCs w:val="20"/>
              </w:rPr>
              <w:t>,</w:t>
            </w:r>
            <w:r w:rsidR="00711AEC">
              <w:rPr>
                <w:rFonts w:eastAsia="Times New Roman" w:cs="Times New Roman"/>
                <w:sz w:val="20"/>
                <w:szCs w:val="20"/>
              </w:rPr>
              <w:t xml:space="preserve"> </w:t>
            </w:r>
            <w:r w:rsidRPr="00FD48F5">
              <w:rPr>
                <w:rFonts w:eastAsia="Times New Roman" w:cs="Times New Roman"/>
                <w:sz w:val="20"/>
                <w:szCs w:val="20"/>
              </w:rPr>
              <w:t>i</w:t>
            </w:r>
            <w:r w:rsidR="00711AEC">
              <w:rPr>
                <w:rFonts w:eastAsia="Times New Roman" w:cs="Times New Roman"/>
                <w:sz w:val="20"/>
                <w:szCs w:val="20"/>
              </w:rPr>
              <w:t xml:space="preserve"> </w:t>
            </w:r>
            <w:r w:rsidRPr="00FD48F5">
              <w:rPr>
                <w:rFonts w:eastAsia="Times New Roman" w:cs="Times New Roman"/>
                <w:sz w:val="20"/>
                <w:szCs w:val="20"/>
              </w:rPr>
              <w:t>nie</w:t>
            </w:r>
            <w:r w:rsidR="00711AEC">
              <w:rPr>
                <w:rFonts w:eastAsia="Times New Roman" w:cs="Times New Roman"/>
                <w:sz w:val="20"/>
                <w:szCs w:val="20"/>
              </w:rPr>
              <w:t xml:space="preserve"> </w:t>
            </w:r>
            <w:r w:rsidRPr="00FD48F5">
              <w:rPr>
                <w:rFonts w:eastAsia="Times New Roman" w:cs="Times New Roman"/>
                <w:sz w:val="20"/>
                <w:szCs w:val="20"/>
              </w:rPr>
              <w:t>osiągnięcie</w:t>
            </w:r>
            <w:r w:rsidR="00711AEC">
              <w:rPr>
                <w:rFonts w:eastAsia="Times New Roman" w:cs="Times New Roman"/>
                <w:sz w:val="20"/>
                <w:szCs w:val="20"/>
              </w:rPr>
              <w:t xml:space="preserve"> </w:t>
            </w:r>
            <w:r w:rsidR="00F729FE" w:rsidRPr="00FD48F5">
              <w:rPr>
                <w:rFonts w:eastAsia="Times New Roman" w:cs="Times New Roman"/>
                <w:sz w:val="20"/>
                <w:szCs w:val="20"/>
              </w:rPr>
              <w:t>biochemicznej</w:t>
            </w:r>
            <w:r w:rsidR="00711AEC">
              <w:rPr>
                <w:rFonts w:eastAsia="Times New Roman" w:cs="Times New Roman"/>
                <w:sz w:val="20"/>
                <w:szCs w:val="20"/>
              </w:rPr>
              <w:t xml:space="preserve"> </w:t>
            </w:r>
            <w:r w:rsidR="00F729FE" w:rsidRPr="00FD48F5">
              <w:rPr>
                <w:rFonts w:eastAsia="Times New Roman" w:cs="Times New Roman"/>
                <w:sz w:val="20"/>
                <w:szCs w:val="20"/>
              </w:rPr>
              <w:t>kontroli</w:t>
            </w:r>
            <w:r w:rsidR="00711AEC">
              <w:rPr>
                <w:rFonts w:eastAsia="Times New Roman" w:cs="Times New Roman"/>
                <w:sz w:val="20"/>
                <w:szCs w:val="20"/>
              </w:rPr>
              <w:t xml:space="preserve"> </w:t>
            </w:r>
            <w:r w:rsidR="00F729FE" w:rsidRPr="00FD48F5">
              <w:rPr>
                <w:rFonts w:eastAsia="Times New Roman" w:cs="Times New Roman"/>
                <w:sz w:val="20"/>
                <w:szCs w:val="20"/>
              </w:rPr>
              <w:t>akromegalii</w:t>
            </w:r>
            <w:r w:rsidR="00711AEC">
              <w:rPr>
                <w:rFonts w:eastAsia="Times New Roman" w:cs="Times New Roman"/>
                <w:sz w:val="20"/>
                <w:szCs w:val="20"/>
              </w:rPr>
              <w:t xml:space="preserve"> </w:t>
            </w:r>
            <w:r w:rsidR="00F729FE" w:rsidRPr="00FD48F5">
              <w:rPr>
                <w:rFonts w:eastAsia="Times New Roman" w:cs="Times New Roman"/>
                <w:sz w:val="20"/>
                <w:szCs w:val="20"/>
              </w:rPr>
              <w:t>po</w:t>
            </w:r>
            <w:r w:rsidR="00711AEC">
              <w:rPr>
                <w:rFonts w:eastAsia="Times New Roman" w:cs="Times New Roman"/>
                <w:sz w:val="20"/>
                <w:szCs w:val="20"/>
              </w:rPr>
              <w:t xml:space="preserve"> </w:t>
            </w:r>
            <w:r w:rsidR="00F729FE" w:rsidRPr="00FD48F5">
              <w:rPr>
                <w:rFonts w:eastAsia="Times New Roman" w:cs="Times New Roman"/>
                <w:sz w:val="20"/>
                <w:szCs w:val="20"/>
              </w:rPr>
              <w:t>przynajmniej</w:t>
            </w:r>
            <w:r w:rsidR="00711AEC">
              <w:rPr>
                <w:rFonts w:eastAsia="Times New Roman" w:cs="Times New Roman"/>
                <w:sz w:val="20"/>
                <w:szCs w:val="20"/>
              </w:rPr>
              <w:t xml:space="preserve"> </w:t>
            </w:r>
            <w:r w:rsidR="00F729FE" w:rsidRPr="00FD48F5">
              <w:rPr>
                <w:rFonts w:eastAsia="Times New Roman" w:cs="Times New Roman"/>
                <w:sz w:val="20"/>
                <w:szCs w:val="20"/>
              </w:rPr>
              <w:t>6-cio</w:t>
            </w:r>
            <w:r w:rsidR="00711AEC">
              <w:rPr>
                <w:rFonts w:eastAsia="Times New Roman" w:cs="Times New Roman"/>
                <w:sz w:val="20"/>
                <w:szCs w:val="20"/>
              </w:rPr>
              <w:t xml:space="preserve"> </w:t>
            </w:r>
            <w:r w:rsidR="00F729FE" w:rsidRPr="00FD48F5">
              <w:rPr>
                <w:rFonts w:eastAsia="Times New Roman" w:cs="Times New Roman"/>
                <w:sz w:val="20"/>
                <w:szCs w:val="20"/>
              </w:rPr>
              <w:t>miesięcznym</w:t>
            </w:r>
            <w:r w:rsidR="00711AEC">
              <w:rPr>
                <w:rFonts w:eastAsia="Times New Roman" w:cs="Times New Roman"/>
                <w:sz w:val="20"/>
                <w:szCs w:val="20"/>
              </w:rPr>
              <w:t xml:space="preserve"> </w:t>
            </w:r>
            <w:r w:rsidR="00F729FE" w:rsidRPr="00FD48F5">
              <w:rPr>
                <w:rFonts w:eastAsia="Times New Roman" w:cs="Times New Roman"/>
                <w:sz w:val="20"/>
                <w:szCs w:val="20"/>
              </w:rPr>
              <w:t>okresie</w:t>
            </w:r>
            <w:r w:rsidR="00711AEC">
              <w:rPr>
                <w:rFonts w:eastAsia="Times New Roman" w:cs="Times New Roman"/>
                <w:sz w:val="20"/>
                <w:szCs w:val="20"/>
              </w:rPr>
              <w:t xml:space="preserve"> </w:t>
            </w:r>
            <w:r w:rsidR="00F729FE" w:rsidRPr="00FD48F5">
              <w:rPr>
                <w:rFonts w:eastAsia="Times New Roman" w:cs="Times New Roman"/>
                <w:sz w:val="20"/>
                <w:szCs w:val="20"/>
              </w:rPr>
              <w:t>leczenia</w:t>
            </w:r>
            <w:r w:rsidR="00711AEC">
              <w:rPr>
                <w:rFonts w:eastAsia="Times New Roman" w:cs="Times New Roman"/>
                <w:sz w:val="20"/>
                <w:szCs w:val="20"/>
              </w:rPr>
              <w:t xml:space="preserve"> </w:t>
            </w:r>
            <w:r w:rsidR="00F729FE" w:rsidRPr="00FD48F5">
              <w:rPr>
                <w:rFonts w:eastAsia="Times New Roman" w:cs="Times New Roman"/>
                <w:sz w:val="20"/>
                <w:szCs w:val="20"/>
              </w:rPr>
              <w:t>uzupełniającego</w:t>
            </w:r>
            <w:r w:rsidR="00711AEC">
              <w:rPr>
                <w:rFonts w:eastAsia="Times New Roman" w:cs="Times New Roman"/>
                <w:sz w:val="20"/>
                <w:szCs w:val="20"/>
              </w:rPr>
              <w:t xml:space="preserve"> </w:t>
            </w:r>
            <w:r w:rsidR="00F729FE" w:rsidRPr="00FD48F5">
              <w:rPr>
                <w:rFonts w:eastAsia="Times New Roman" w:cs="Times New Roman"/>
                <w:sz w:val="20"/>
                <w:szCs w:val="20"/>
              </w:rPr>
              <w:t>analogami</w:t>
            </w:r>
            <w:r w:rsidR="00711AEC">
              <w:rPr>
                <w:rFonts w:eastAsia="Times New Roman" w:cs="Times New Roman"/>
                <w:sz w:val="20"/>
                <w:szCs w:val="20"/>
              </w:rPr>
              <w:t xml:space="preserve"> </w:t>
            </w:r>
            <w:proofErr w:type="spellStart"/>
            <w:r w:rsidR="00F729FE" w:rsidRPr="00FD48F5">
              <w:rPr>
                <w:rFonts w:eastAsia="Times New Roman" w:cs="Times New Roman"/>
                <w:sz w:val="20"/>
                <w:szCs w:val="20"/>
              </w:rPr>
              <w:t>somatostatyny</w:t>
            </w:r>
            <w:proofErr w:type="spellEnd"/>
            <w:r w:rsidR="00711AEC">
              <w:rPr>
                <w:rFonts w:eastAsia="Times New Roman" w:cs="Times New Roman"/>
                <w:sz w:val="20"/>
                <w:szCs w:val="20"/>
              </w:rPr>
              <w:t xml:space="preserve"> </w:t>
            </w:r>
            <w:r w:rsidR="00F729FE" w:rsidRPr="00FD48F5">
              <w:rPr>
                <w:rFonts w:eastAsia="Times New Roman" w:cs="Times New Roman"/>
                <w:sz w:val="20"/>
                <w:szCs w:val="20"/>
              </w:rPr>
              <w:t>o</w:t>
            </w:r>
            <w:r w:rsidR="00711AEC">
              <w:rPr>
                <w:rFonts w:eastAsia="Times New Roman" w:cs="Times New Roman"/>
                <w:sz w:val="20"/>
                <w:szCs w:val="20"/>
              </w:rPr>
              <w:t xml:space="preserve"> </w:t>
            </w:r>
            <w:r w:rsidR="00F729FE" w:rsidRPr="00FD48F5">
              <w:rPr>
                <w:rFonts w:eastAsia="Times New Roman" w:cs="Times New Roman"/>
                <w:sz w:val="20"/>
                <w:szCs w:val="20"/>
              </w:rPr>
              <w:t>przedłużonym</w:t>
            </w:r>
            <w:r w:rsidR="00711AEC">
              <w:rPr>
                <w:rFonts w:eastAsia="Times New Roman" w:cs="Times New Roman"/>
                <w:sz w:val="20"/>
                <w:szCs w:val="20"/>
              </w:rPr>
              <w:t xml:space="preserve"> </w:t>
            </w:r>
            <w:r w:rsidR="00F729FE" w:rsidRPr="00FD48F5">
              <w:rPr>
                <w:rFonts w:eastAsia="Times New Roman" w:cs="Times New Roman"/>
                <w:sz w:val="20"/>
                <w:szCs w:val="20"/>
              </w:rPr>
              <w:t>działaniu</w:t>
            </w:r>
            <w:r w:rsidR="00711AEC">
              <w:rPr>
                <w:rFonts w:eastAsia="Times New Roman" w:cs="Times New Roman"/>
                <w:sz w:val="20"/>
                <w:szCs w:val="20"/>
              </w:rPr>
              <w:t xml:space="preserve"> </w:t>
            </w:r>
            <w:r w:rsidR="00F729FE" w:rsidRPr="00FD48F5">
              <w:rPr>
                <w:rFonts w:eastAsia="Times New Roman" w:cs="Times New Roman"/>
                <w:sz w:val="20"/>
                <w:szCs w:val="20"/>
              </w:rPr>
              <w:t>tj.</w:t>
            </w:r>
            <w:r w:rsidR="00711AEC">
              <w:rPr>
                <w:rFonts w:eastAsia="Times New Roman" w:cs="Times New Roman"/>
                <w:sz w:val="20"/>
                <w:szCs w:val="20"/>
              </w:rPr>
              <w:t xml:space="preserve"> </w:t>
            </w:r>
            <w:proofErr w:type="spellStart"/>
            <w:r w:rsidR="00F729FE" w:rsidRPr="00FD48F5">
              <w:rPr>
                <w:rFonts w:eastAsia="Times New Roman" w:cs="Times New Roman"/>
                <w:sz w:val="20"/>
                <w:szCs w:val="20"/>
              </w:rPr>
              <w:t>oktreotydem</w:t>
            </w:r>
            <w:proofErr w:type="spellEnd"/>
            <w:r w:rsidR="00711AEC">
              <w:rPr>
                <w:rFonts w:eastAsia="Times New Roman" w:cs="Times New Roman"/>
                <w:sz w:val="20"/>
                <w:szCs w:val="20"/>
              </w:rPr>
              <w:t xml:space="preserve"> </w:t>
            </w:r>
            <w:r w:rsidR="00F729FE" w:rsidRPr="00FD48F5">
              <w:rPr>
                <w:rFonts w:eastAsia="Times New Roman" w:cs="Times New Roman"/>
                <w:sz w:val="20"/>
                <w:szCs w:val="20"/>
              </w:rPr>
              <w:t>w</w:t>
            </w:r>
            <w:r w:rsidR="00711AEC">
              <w:rPr>
                <w:rFonts w:eastAsia="Times New Roman" w:cs="Times New Roman"/>
                <w:sz w:val="20"/>
                <w:szCs w:val="20"/>
              </w:rPr>
              <w:t xml:space="preserve"> </w:t>
            </w:r>
            <w:r w:rsidR="00F729FE" w:rsidRPr="00FD48F5">
              <w:rPr>
                <w:rFonts w:eastAsia="Times New Roman" w:cs="Times New Roman"/>
                <w:sz w:val="20"/>
                <w:szCs w:val="20"/>
              </w:rPr>
              <w:t>dawce</w:t>
            </w:r>
            <w:r w:rsidR="00711AEC">
              <w:rPr>
                <w:rFonts w:eastAsia="Times New Roman" w:cs="Times New Roman"/>
                <w:sz w:val="20"/>
                <w:szCs w:val="20"/>
              </w:rPr>
              <w:t xml:space="preserve"> </w:t>
            </w:r>
            <w:r w:rsidR="00F729FE" w:rsidRPr="00FD48F5">
              <w:rPr>
                <w:rFonts w:eastAsia="Times New Roman" w:cs="Times New Roman"/>
                <w:sz w:val="20"/>
                <w:szCs w:val="20"/>
              </w:rPr>
              <w:t>≥30</w:t>
            </w:r>
            <w:r w:rsidR="00711AEC">
              <w:rPr>
                <w:rFonts w:eastAsia="Times New Roman" w:cs="Times New Roman"/>
                <w:sz w:val="20"/>
                <w:szCs w:val="20"/>
              </w:rPr>
              <w:t xml:space="preserve"> </w:t>
            </w:r>
            <w:r w:rsidR="00F729FE" w:rsidRPr="00FD48F5">
              <w:rPr>
                <w:rFonts w:eastAsia="Times New Roman" w:cs="Times New Roman"/>
                <w:sz w:val="20"/>
                <w:szCs w:val="20"/>
              </w:rPr>
              <w:t>mg</w:t>
            </w:r>
            <w:r w:rsidR="00711AEC">
              <w:rPr>
                <w:rFonts w:eastAsia="Times New Roman" w:cs="Times New Roman"/>
                <w:sz w:val="20"/>
                <w:szCs w:val="20"/>
              </w:rPr>
              <w:t xml:space="preserve"> </w:t>
            </w:r>
            <w:r w:rsidR="00F729FE" w:rsidRPr="00FD48F5">
              <w:rPr>
                <w:rFonts w:eastAsia="Times New Roman" w:cs="Times New Roman"/>
                <w:sz w:val="20"/>
                <w:szCs w:val="20"/>
              </w:rPr>
              <w:t>lub</w:t>
            </w:r>
            <w:r w:rsidR="00711AEC">
              <w:rPr>
                <w:rFonts w:eastAsia="Times New Roman" w:cs="Times New Roman"/>
                <w:sz w:val="20"/>
                <w:szCs w:val="20"/>
              </w:rPr>
              <w:t xml:space="preserve"> </w:t>
            </w:r>
            <w:proofErr w:type="spellStart"/>
            <w:r w:rsidR="00F729FE" w:rsidRPr="00FD48F5">
              <w:rPr>
                <w:rFonts w:eastAsia="Times New Roman" w:cs="Times New Roman"/>
                <w:sz w:val="20"/>
                <w:szCs w:val="20"/>
              </w:rPr>
              <w:t>lanreotydem</w:t>
            </w:r>
            <w:proofErr w:type="spellEnd"/>
            <w:r w:rsidR="00711AEC">
              <w:rPr>
                <w:rFonts w:eastAsia="Times New Roman" w:cs="Times New Roman"/>
                <w:sz w:val="20"/>
                <w:szCs w:val="20"/>
              </w:rPr>
              <w:t xml:space="preserve"> </w:t>
            </w:r>
            <w:r w:rsidR="00F729FE" w:rsidRPr="00FD48F5">
              <w:rPr>
                <w:rFonts w:eastAsia="Times New Roman" w:cs="Times New Roman"/>
                <w:sz w:val="20"/>
                <w:szCs w:val="20"/>
              </w:rPr>
              <w:t>w</w:t>
            </w:r>
            <w:r w:rsidR="00711AEC">
              <w:rPr>
                <w:rFonts w:eastAsia="Times New Roman" w:cs="Times New Roman"/>
                <w:sz w:val="20"/>
                <w:szCs w:val="20"/>
              </w:rPr>
              <w:t xml:space="preserve"> </w:t>
            </w:r>
            <w:r w:rsidR="00F729FE" w:rsidRPr="00FD48F5">
              <w:rPr>
                <w:rFonts w:eastAsia="Times New Roman" w:cs="Times New Roman"/>
                <w:sz w:val="20"/>
                <w:szCs w:val="20"/>
              </w:rPr>
              <w:t>dawce</w:t>
            </w:r>
            <w:r w:rsidR="00711AEC">
              <w:rPr>
                <w:rFonts w:eastAsia="Times New Roman" w:cs="Times New Roman"/>
                <w:sz w:val="20"/>
                <w:szCs w:val="20"/>
              </w:rPr>
              <w:t xml:space="preserve"> </w:t>
            </w:r>
            <w:r w:rsidR="00F729FE" w:rsidRPr="00FD48F5">
              <w:rPr>
                <w:rFonts w:eastAsia="Times New Roman" w:cs="Times New Roman"/>
                <w:sz w:val="20"/>
                <w:szCs w:val="20"/>
              </w:rPr>
              <w:t>120</w:t>
            </w:r>
            <w:r w:rsidR="00711AEC">
              <w:rPr>
                <w:rFonts w:eastAsia="Times New Roman" w:cs="Times New Roman"/>
                <w:sz w:val="20"/>
                <w:szCs w:val="20"/>
              </w:rPr>
              <w:t xml:space="preserve"> </w:t>
            </w:r>
            <w:r w:rsidR="00F729FE" w:rsidRPr="00FD48F5">
              <w:rPr>
                <w:rFonts w:eastAsia="Times New Roman" w:cs="Times New Roman"/>
                <w:sz w:val="20"/>
                <w:szCs w:val="20"/>
              </w:rPr>
              <w:t>mg,</w:t>
            </w:r>
            <w:r w:rsidR="00711AEC">
              <w:rPr>
                <w:rFonts w:eastAsia="Times New Roman" w:cs="Times New Roman"/>
                <w:sz w:val="20"/>
                <w:szCs w:val="20"/>
              </w:rPr>
              <w:t xml:space="preserve"> </w:t>
            </w:r>
            <w:r w:rsidR="00F729FE" w:rsidRPr="00FD48F5">
              <w:rPr>
                <w:rFonts w:eastAsia="Times New Roman" w:cs="Times New Roman"/>
                <w:sz w:val="20"/>
                <w:szCs w:val="20"/>
              </w:rPr>
              <w:t>podawanymi</w:t>
            </w:r>
            <w:r w:rsidR="00711AEC">
              <w:rPr>
                <w:rFonts w:eastAsia="Times New Roman" w:cs="Times New Roman"/>
                <w:sz w:val="20"/>
                <w:szCs w:val="20"/>
              </w:rPr>
              <w:t xml:space="preserve"> </w:t>
            </w:r>
            <w:r w:rsidR="00F729FE" w:rsidRPr="00FD48F5">
              <w:rPr>
                <w:rFonts w:eastAsia="Times New Roman" w:cs="Times New Roman"/>
                <w:sz w:val="20"/>
                <w:szCs w:val="20"/>
              </w:rPr>
              <w:t>co</w:t>
            </w:r>
            <w:r w:rsidR="00711AEC">
              <w:rPr>
                <w:rFonts w:eastAsia="Times New Roman" w:cs="Times New Roman"/>
                <w:sz w:val="20"/>
                <w:szCs w:val="20"/>
              </w:rPr>
              <w:t xml:space="preserve"> </w:t>
            </w:r>
            <w:r w:rsidR="00F729FE" w:rsidRPr="00FD48F5">
              <w:rPr>
                <w:rFonts w:eastAsia="Times New Roman" w:cs="Times New Roman"/>
                <w:sz w:val="20"/>
                <w:szCs w:val="20"/>
              </w:rPr>
              <w:t>28</w:t>
            </w:r>
            <w:r w:rsidR="00711AEC">
              <w:rPr>
                <w:rFonts w:eastAsia="Times New Roman" w:cs="Times New Roman"/>
                <w:sz w:val="20"/>
                <w:szCs w:val="20"/>
              </w:rPr>
              <w:t xml:space="preserve"> </w:t>
            </w:r>
            <w:r w:rsidR="00F729FE" w:rsidRPr="00FD48F5">
              <w:rPr>
                <w:rFonts w:eastAsia="Times New Roman" w:cs="Times New Roman"/>
                <w:sz w:val="20"/>
                <w:szCs w:val="20"/>
              </w:rPr>
              <w:t>dni;</w:t>
            </w:r>
          </w:p>
          <w:p w14:paraId="21366CE8" w14:textId="13A2DB40" w:rsidR="00F729FE" w:rsidRPr="00FD48F5" w:rsidRDefault="00543ED8" w:rsidP="00B72F8D">
            <w:pPr>
              <w:numPr>
                <w:ilvl w:val="2"/>
                <w:numId w:val="1"/>
              </w:numPr>
              <w:spacing w:after="60"/>
              <w:ind w:right="85"/>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dyskwalifikacja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w:t>
            </w:r>
            <w:r w:rsidR="00711AEC">
              <w:rPr>
                <w:rFonts w:ascii="Times New Roman" w:eastAsia="Times New Roman" w:hAnsi="Times New Roman" w:cs="Times New Roman"/>
                <w:sz w:val="20"/>
                <w:szCs w:val="20"/>
              </w:rPr>
              <w:t xml:space="preserve"> </w:t>
            </w:r>
            <w:r w:rsidR="00F729FE" w:rsidRPr="00FD48F5">
              <w:rPr>
                <w:rFonts w:ascii="Times New Roman" w:eastAsia="Times New Roman" w:hAnsi="Times New Roman" w:cs="Times New Roman"/>
                <w:sz w:val="20"/>
                <w:szCs w:val="20"/>
              </w:rPr>
              <w:t>ponownego</w:t>
            </w:r>
            <w:r w:rsidR="00711AEC">
              <w:rPr>
                <w:rFonts w:ascii="Times New Roman" w:eastAsia="Times New Roman" w:hAnsi="Times New Roman" w:cs="Times New Roman"/>
                <w:sz w:val="20"/>
                <w:szCs w:val="20"/>
              </w:rPr>
              <w:t xml:space="preserve"> </w:t>
            </w:r>
            <w:r w:rsidR="00F729FE" w:rsidRPr="00FD48F5">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r w:rsidR="00F729FE" w:rsidRPr="00FD48F5">
              <w:rPr>
                <w:rFonts w:ascii="Times New Roman" w:eastAsia="Times New Roman" w:hAnsi="Times New Roman" w:cs="Times New Roman"/>
                <w:sz w:val="20"/>
                <w:szCs w:val="20"/>
              </w:rPr>
              <w:t>operacyjnego</w:t>
            </w:r>
            <w:r w:rsidR="00711AEC">
              <w:rPr>
                <w:rFonts w:ascii="Times New Roman" w:eastAsia="Times New Roman" w:hAnsi="Times New Roman" w:cs="Times New Roman"/>
                <w:sz w:val="20"/>
                <w:szCs w:val="20"/>
              </w:rPr>
              <w:t xml:space="preserve"> </w:t>
            </w:r>
            <w:r w:rsidR="00F729FE" w:rsidRPr="00FD48F5">
              <w:rPr>
                <w:rFonts w:ascii="Times New Roman" w:eastAsia="Times New Roman" w:hAnsi="Times New Roman" w:cs="Times New Roman"/>
                <w:sz w:val="20"/>
                <w:szCs w:val="20"/>
              </w:rPr>
              <w:t>(ponowna</w:t>
            </w:r>
            <w:r w:rsidR="00711AEC">
              <w:rPr>
                <w:rFonts w:ascii="Times New Roman" w:eastAsia="Times New Roman" w:hAnsi="Times New Roman" w:cs="Times New Roman"/>
                <w:sz w:val="20"/>
                <w:szCs w:val="20"/>
              </w:rPr>
              <w:t xml:space="preserve"> </w:t>
            </w:r>
            <w:r w:rsidR="00F729FE" w:rsidRPr="00FD48F5">
              <w:rPr>
                <w:rFonts w:ascii="Times New Roman" w:eastAsia="Times New Roman" w:hAnsi="Times New Roman" w:cs="Times New Roman"/>
                <w:sz w:val="20"/>
                <w:szCs w:val="20"/>
              </w:rPr>
              <w:t>operacja</w:t>
            </w:r>
            <w:r w:rsidR="00711AEC">
              <w:rPr>
                <w:rFonts w:ascii="Times New Roman" w:eastAsia="Times New Roman" w:hAnsi="Times New Roman" w:cs="Times New Roman"/>
                <w:sz w:val="20"/>
                <w:szCs w:val="20"/>
              </w:rPr>
              <w:t xml:space="preserve"> </w:t>
            </w:r>
            <w:r w:rsidR="00F729FE"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00F729FE" w:rsidRPr="00FD48F5">
              <w:rPr>
                <w:rFonts w:ascii="Times New Roman" w:eastAsia="Times New Roman" w:hAnsi="Times New Roman" w:cs="Times New Roman"/>
                <w:sz w:val="20"/>
                <w:szCs w:val="20"/>
              </w:rPr>
              <w:t>opinii</w:t>
            </w:r>
            <w:r w:rsidR="00711AEC">
              <w:rPr>
                <w:rFonts w:ascii="Times New Roman" w:eastAsia="Times New Roman" w:hAnsi="Times New Roman" w:cs="Times New Roman"/>
                <w:sz w:val="20"/>
                <w:szCs w:val="20"/>
              </w:rPr>
              <w:t xml:space="preserve"> </w:t>
            </w:r>
            <w:r w:rsidR="00F729FE" w:rsidRPr="00FD48F5">
              <w:rPr>
                <w:rFonts w:ascii="Times New Roman" w:eastAsia="Times New Roman" w:hAnsi="Times New Roman" w:cs="Times New Roman"/>
                <w:sz w:val="20"/>
                <w:szCs w:val="20"/>
              </w:rPr>
              <w:t>specjalisty</w:t>
            </w:r>
            <w:r w:rsidR="00711AEC">
              <w:rPr>
                <w:rFonts w:ascii="Times New Roman" w:eastAsia="Times New Roman" w:hAnsi="Times New Roman" w:cs="Times New Roman"/>
                <w:sz w:val="20"/>
                <w:szCs w:val="20"/>
              </w:rPr>
              <w:t xml:space="preserve"> </w:t>
            </w:r>
            <w:r w:rsidR="00F729FE" w:rsidRPr="00FD48F5">
              <w:rPr>
                <w:rFonts w:ascii="Times New Roman" w:eastAsia="Times New Roman" w:hAnsi="Times New Roman" w:cs="Times New Roman"/>
                <w:sz w:val="20"/>
                <w:szCs w:val="20"/>
              </w:rPr>
              <w:t>neurochirurga</w:t>
            </w:r>
            <w:r w:rsidR="00711AEC">
              <w:rPr>
                <w:rFonts w:ascii="Times New Roman" w:eastAsia="Times New Roman" w:hAnsi="Times New Roman" w:cs="Times New Roman"/>
                <w:sz w:val="20"/>
                <w:szCs w:val="20"/>
              </w:rPr>
              <w:t xml:space="preserve"> </w:t>
            </w:r>
            <w:r w:rsidR="00F729FE" w:rsidRPr="00FD48F5">
              <w:rPr>
                <w:rFonts w:ascii="Times New Roman" w:eastAsia="Times New Roman" w:hAnsi="Times New Roman" w:cs="Times New Roman"/>
                <w:sz w:val="20"/>
                <w:szCs w:val="20"/>
              </w:rPr>
              <w:t>nie</w:t>
            </w:r>
            <w:r w:rsidR="00711AEC">
              <w:rPr>
                <w:rFonts w:ascii="Times New Roman" w:eastAsia="Times New Roman" w:hAnsi="Times New Roman" w:cs="Times New Roman"/>
                <w:sz w:val="20"/>
                <w:szCs w:val="20"/>
              </w:rPr>
              <w:t xml:space="preserve"> </w:t>
            </w:r>
            <w:r w:rsidR="00F729FE" w:rsidRPr="00FD48F5">
              <w:rPr>
                <w:rFonts w:ascii="Times New Roman" w:eastAsia="Times New Roman" w:hAnsi="Times New Roman" w:cs="Times New Roman"/>
                <w:sz w:val="20"/>
                <w:szCs w:val="20"/>
              </w:rPr>
              <w:t>poprawi</w:t>
            </w:r>
            <w:r w:rsidR="00711AEC">
              <w:rPr>
                <w:rFonts w:ascii="Times New Roman" w:eastAsia="Times New Roman" w:hAnsi="Times New Roman" w:cs="Times New Roman"/>
                <w:sz w:val="20"/>
                <w:szCs w:val="20"/>
              </w:rPr>
              <w:t xml:space="preserve"> </w:t>
            </w:r>
            <w:r w:rsidR="00F729FE" w:rsidRPr="00FD48F5">
              <w:rPr>
                <w:rFonts w:ascii="Times New Roman" w:eastAsia="Times New Roman" w:hAnsi="Times New Roman" w:cs="Times New Roman"/>
                <w:sz w:val="20"/>
                <w:szCs w:val="20"/>
              </w:rPr>
              <w:t>kontroli</w:t>
            </w:r>
            <w:r w:rsidR="00711AEC">
              <w:rPr>
                <w:rFonts w:ascii="Times New Roman" w:eastAsia="Times New Roman" w:hAnsi="Times New Roman" w:cs="Times New Roman"/>
                <w:sz w:val="20"/>
                <w:szCs w:val="20"/>
              </w:rPr>
              <w:t xml:space="preserve"> </w:t>
            </w:r>
            <w:r w:rsidR="00F729FE" w:rsidRPr="00FD48F5">
              <w:rPr>
                <w:rFonts w:ascii="Times New Roman" w:eastAsia="Times New Roman" w:hAnsi="Times New Roman" w:cs="Times New Roman"/>
                <w:sz w:val="20"/>
                <w:szCs w:val="20"/>
              </w:rPr>
              <w:t>choroby</w:t>
            </w:r>
            <w:r w:rsidR="00711AEC">
              <w:rPr>
                <w:rFonts w:ascii="Times New Roman" w:eastAsia="Times New Roman" w:hAnsi="Times New Roman" w:cs="Times New Roman"/>
                <w:sz w:val="20"/>
                <w:szCs w:val="20"/>
              </w:rPr>
              <w:t xml:space="preserve"> </w:t>
            </w:r>
            <w:r w:rsidR="00F729FE"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00F729FE" w:rsidRPr="00FD48F5">
              <w:rPr>
                <w:rFonts w:ascii="Times New Roman" w:eastAsia="Times New Roman" w:hAnsi="Times New Roman" w:cs="Times New Roman"/>
                <w:sz w:val="20"/>
                <w:szCs w:val="20"/>
              </w:rPr>
              <w:t>leczenie</w:t>
            </w:r>
            <w:r w:rsidR="00711AEC">
              <w:rPr>
                <w:rFonts w:ascii="Times New Roman" w:eastAsia="Times New Roman" w:hAnsi="Times New Roman" w:cs="Times New Roman"/>
                <w:sz w:val="20"/>
                <w:szCs w:val="20"/>
              </w:rPr>
              <w:t xml:space="preserve"> </w:t>
            </w:r>
            <w:r w:rsidR="00F729FE" w:rsidRPr="00FD48F5">
              <w:rPr>
                <w:rFonts w:ascii="Times New Roman" w:eastAsia="Times New Roman" w:hAnsi="Times New Roman" w:cs="Times New Roman"/>
                <w:sz w:val="20"/>
                <w:szCs w:val="20"/>
              </w:rPr>
              <w:t>chirurgiczne</w:t>
            </w:r>
            <w:r w:rsidR="00711AEC">
              <w:rPr>
                <w:rFonts w:ascii="Times New Roman" w:eastAsia="Times New Roman" w:hAnsi="Times New Roman" w:cs="Times New Roman"/>
                <w:sz w:val="20"/>
                <w:szCs w:val="20"/>
              </w:rPr>
              <w:t xml:space="preserve"> </w:t>
            </w:r>
            <w:r w:rsidR="00F729FE" w:rsidRPr="00FD48F5">
              <w:rPr>
                <w:rFonts w:ascii="Times New Roman" w:eastAsia="Times New Roman" w:hAnsi="Times New Roman" w:cs="Times New Roman"/>
                <w:sz w:val="20"/>
                <w:szCs w:val="20"/>
              </w:rPr>
              <w:t>nie</w:t>
            </w:r>
            <w:r w:rsidR="00711AEC">
              <w:rPr>
                <w:rFonts w:ascii="Times New Roman" w:eastAsia="Times New Roman" w:hAnsi="Times New Roman" w:cs="Times New Roman"/>
                <w:sz w:val="20"/>
                <w:szCs w:val="20"/>
              </w:rPr>
              <w:t xml:space="preserve"> </w:t>
            </w:r>
            <w:r w:rsidR="00F729FE" w:rsidRPr="00FD48F5">
              <w:rPr>
                <w:rFonts w:ascii="Times New Roman" w:eastAsia="Times New Roman" w:hAnsi="Times New Roman" w:cs="Times New Roman"/>
                <w:sz w:val="20"/>
                <w:szCs w:val="20"/>
              </w:rPr>
              <w:t>jest</w:t>
            </w:r>
            <w:r w:rsidR="00711AEC">
              <w:rPr>
                <w:rFonts w:ascii="Times New Roman" w:eastAsia="Times New Roman" w:hAnsi="Times New Roman" w:cs="Times New Roman"/>
                <w:sz w:val="20"/>
                <w:szCs w:val="20"/>
              </w:rPr>
              <w:t xml:space="preserve"> </w:t>
            </w:r>
            <w:r w:rsidR="00F729FE" w:rsidRPr="00FD48F5">
              <w:rPr>
                <w:rFonts w:ascii="Times New Roman" w:eastAsia="Times New Roman" w:hAnsi="Times New Roman" w:cs="Times New Roman"/>
                <w:sz w:val="20"/>
                <w:szCs w:val="20"/>
              </w:rPr>
              <w:t>możliwe);</w:t>
            </w:r>
          </w:p>
          <w:p w14:paraId="3FFCC24B" w14:textId="3F289CFD" w:rsidR="00F729FE" w:rsidRPr="00FD48F5" w:rsidRDefault="00F729FE" w:rsidP="00B72F8D">
            <w:pPr>
              <w:numPr>
                <w:ilvl w:val="2"/>
                <w:numId w:val="1"/>
              </w:numPr>
              <w:spacing w:after="60"/>
              <w:ind w:right="85"/>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lastRenderedPageBreak/>
              <w:t>pacjenci,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którzy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byli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dotychczas</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operowani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mogą</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być</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kwalifikowani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pasyreotydem</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wyłącznie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sytuacji,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gdy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chirurgiczne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jest</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możliwe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uzyskano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kontroli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biochemicznej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choroby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przynajmniej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6-cio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miesięcznym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okresie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analogami</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somatostatyny</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przedłużonym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działaniu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tj.</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oktreotydem</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dawce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≥30</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mg</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lanreotydem</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daw</w:t>
            </w:r>
            <w:r w:rsidR="00543ED8" w:rsidRPr="00FD48F5">
              <w:rPr>
                <w:rFonts w:ascii="Times New Roman" w:eastAsia="Times New Roman" w:hAnsi="Times New Roman" w:cs="Times New Roman"/>
                <w:sz w:val="20"/>
                <w:szCs w:val="20"/>
              </w:rPr>
              <w:t>ce</w:t>
            </w:r>
            <w:r w:rsidR="00711AEC">
              <w:rPr>
                <w:rFonts w:ascii="Times New Roman" w:eastAsia="Times New Roman" w:hAnsi="Times New Roman" w:cs="Times New Roman"/>
                <w:sz w:val="20"/>
                <w:szCs w:val="20"/>
              </w:rPr>
              <w:t xml:space="preserve"> </w:t>
            </w:r>
            <w:r w:rsidR="00543ED8" w:rsidRPr="00FD48F5">
              <w:rPr>
                <w:rFonts w:ascii="Times New Roman" w:eastAsia="Times New Roman" w:hAnsi="Times New Roman" w:cs="Times New Roman"/>
                <w:sz w:val="20"/>
                <w:szCs w:val="20"/>
              </w:rPr>
              <w:t>120</w:t>
            </w:r>
            <w:r w:rsidR="00711AEC">
              <w:rPr>
                <w:rFonts w:ascii="Times New Roman" w:eastAsia="Times New Roman" w:hAnsi="Times New Roman" w:cs="Times New Roman"/>
                <w:sz w:val="20"/>
                <w:szCs w:val="20"/>
              </w:rPr>
              <w:t xml:space="preserve"> </w:t>
            </w:r>
            <w:r w:rsidR="00543ED8" w:rsidRPr="00FD48F5">
              <w:rPr>
                <w:rFonts w:ascii="Times New Roman" w:eastAsia="Times New Roman" w:hAnsi="Times New Roman" w:cs="Times New Roman"/>
                <w:sz w:val="20"/>
                <w:szCs w:val="20"/>
              </w:rPr>
              <w:t>mg,</w:t>
            </w:r>
            <w:r w:rsidR="00711AEC">
              <w:rPr>
                <w:rFonts w:ascii="Times New Roman" w:eastAsia="Times New Roman" w:hAnsi="Times New Roman" w:cs="Times New Roman"/>
                <w:sz w:val="20"/>
                <w:szCs w:val="20"/>
              </w:rPr>
              <w:t xml:space="preserve"> </w:t>
            </w:r>
            <w:r w:rsidR="00543ED8" w:rsidRPr="00FD48F5">
              <w:rPr>
                <w:rFonts w:ascii="Times New Roman" w:eastAsia="Times New Roman" w:hAnsi="Times New Roman" w:cs="Times New Roman"/>
                <w:sz w:val="20"/>
                <w:szCs w:val="20"/>
              </w:rPr>
              <w:t>podawanymi</w:t>
            </w:r>
            <w:r w:rsidR="00711AEC">
              <w:rPr>
                <w:rFonts w:ascii="Times New Roman" w:eastAsia="Times New Roman" w:hAnsi="Times New Roman" w:cs="Times New Roman"/>
                <w:sz w:val="20"/>
                <w:szCs w:val="20"/>
              </w:rPr>
              <w:t xml:space="preserve"> </w:t>
            </w:r>
            <w:r w:rsidR="00543ED8" w:rsidRPr="00FD48F5">
              <w:rPr>
                <w:rFonts w:ascii="Times New Roman" w:eastAsia="Times New Roman" w:hAnsi="Times New Roman" w:cs="Times New Roman"/>
                <w:sz w:val="20"/>
                <w:szCs w:val="20"/>
              </w:rPr>
              <w:t>co</w:t>
            </w:r>
            <w:r w:rsidR="00711AEC">
              <w:rPr>
                <w:rFonts w:ascii="Times New Roman" w:eastAsia="Times New Roman" w:hAnsi="Times New Roman" w:cs="Times New Roman"/>
                <w:sz w:val="20"/>
                <w:szCs w:val="20"/>
              </w:rPr>
              <w:t xml:space="preserve"> </w:t>
            </w:r>
            <w:r w:rsidR="00543ED8" w:rsidRPr="00FD48F5">
              <w:rPr>
                <w:rFonts w:ascii="Times New Roman" w:eastAsia="Times New Roman" w:hAnsi="Times New Roman" w:cs="Times New Roman"/>
                <w:sz w:val="20"/>
                <w:szCs w:val="20"/>
              </w:rPr>
              <w:t>28</w:t>
            </w:r>
            <w:r w:rsidR="00711AEC">
              <w:rPr>
                <w:rFonts w:ascii="Times New Roman" w:eastAsia="Times New Roman" w:hAnsi="Times New Roman" w:cs="Times New Roman"/>
                <w:sz w:val="20"/>
                <w:szCs w:val="20"/>
              </w:rPr>
              <w:t xml:space="preserve"> </w:t>
            </w:r>
            <w:r w:rsidR="00543ED8" w:rsidRPr="00FD48F5">
              <w:rPr>
                <w:rFonts w:ascii="Times New Roman" w:eastAsia="Times New Roman" w:hAnsi="Times New Roman" w:cs="Times New Roman"/>
                <w:sz w:val="20"/>
                <w:szCs w:val="20"/>
              </w:rPr>
              <w:t>dni.</w:t>
            </w:r>
          </w:p>
          <w:p w14:paraId="5EB6920F" w14:textId="4448D60C" w:rsidR="00F729FE" w:rsidRPr="00B72F8D" w:rsidRDefault="00543ED8" w:rsidP="00B72F8D">
            <w:pPr>
              <w:spacing w:after="60"/>
              <w:ind w:right="85"/>
              <w:jc w:val="both"/>
              <w:rPr>
                <w:rFonts w:ascii="Times New Roman" w:eastAsia="Times New Roman" w:hAnsi="Times New Roman" w:cs="Times New Roman"/>
                <w:sz w:val="20"/>
                <w:szCs w:val="20"/>
              </w:rPr>
            </w:pPr>
            <w:r w:rsidRPr="00B72F8D">
              <w:rPr>
                <w:rFonts w:ascii="Times New Roman" w:eastAsia="Times New Roman" w:hAnsi="Times New Roman" w:cs="Times New Roman"/>
                <w:sz w:val="20"/>
                <w:szCs w:val="20"/>
              </w:rPr>
              <w:t>K</w:t>
            </w:r>
            <w:r w:rsidR="00F729FE" w:rsidRPr="00B72F8D">
              <w:rPr>
                <w:rFonts w:ascii="Times New Roman" w:eastAsia="Times New Roman" w:hAnsi="Times New Roman" w:cs="Times New Roman"/>
                <w:sz w:val="20"/>
                <w:szCs w:val="20"/>
              </w:rPr>
              <w:t>walifikacja</w:t>
            </w:r>
            <w:r w:rsidR="00711AEC">
              <w:rPr>
                <w:rFonts w:ascii="Times New Roman" w:eastAsia="Times New Roman" w:hAnsi="Times New Roman" w:cs="Times New Roman"/>
                <w:sz w:val="20"/>
                <w:szCs w:val="20"/>
              </w:rPr>
              <w:t xml:space="preserve"> </w:t>
            </w:r>
            <w:r w:rsidR="00F729FE" w:rsidRPr="00B72F8D">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00F729FE" w:rsidRPr="00B72F8D">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proofErr w:type="spellStart"/>
            <w:r w:rsidR="00F729FE" w:rsidRPr="00B72F8D">
              <w:rPr>
                <w:rFonts w:ascii="Times New Roman" w:eastAsia="Times New Roman" w:hAnsi="Times New Roman" w:cs="Times New Roman"/>
                <w:sz w:val="20"/>
                <w:szCs w:val="20"/>
              </w:rPr>
              <w:t>pasyreotydem</w:t>
            </w:r>
            <w:proofErr w:type="spellEnd"/>
            <w:r w:rsidR="00711AEC">
              <w:rPr>
                <w:rFonts w:ascii="Times New Roman" w:eastAsia="Times New Roman" w:hAnsi="Times New Roman" w:cs="Times New Roman"/>
                <w:sz w:val="20"/>
                <w:szCs w:val="20"/>
              </w:rPr>
              <w:t xml:space="preserve"> </w:t>
            </w:r>
            <w:r w:rsidR="00F729FE" w:rsidRPr="00B72F8D">
              <w:rPr>
                <w:rFonts w:ascii="Times New Roman" w:eastAsia="Times New Roman" w:hAnsi="Times New Roman" w:cs="Times New Roman"/>
                <w:sz w:val="20"/>
                <w:szCs w:val="20"/>
              </w:rPr>
              <w:t>wymaga</w:t>
            </w:r>
            <w:r w:rsidR="00711AEC">
              <w:rPr>
                <w:rFonts w:ascii="Times New Roman" w:eastAsia="Times New Roman" w:hAnsi="Times New Roman" w:cs="Times New Roman"/>
                <w:sz w:val="20"/>
                <w:szCs w:val="20"/>
              </w:rPr>
              <w:t xml:space="preserve"> </w:t>
            </w:r>
            <w:r w:rsidR="00F729FE" w:rsidRPr="00B72F8D">
              <w:rPr>
                <w:rFonts w:ascii="Times New Roman" w:eastAsia="Times New Roman" w:hAnsi="Times New Roman" w:cs="Times New Roman"/>
                <w:sz w:val="20"/>
                <w:szCs w:val="20"/>
              </w:rPr>
              <w:t>spełnienia</w:t>
            </w:r>
            <w:r w:rsidR="00711AEC">
              <w:rPr>
                <w:rFonts w:ascii="Times New Roman" w:eastAsia="Times New Roman" w:hAnsi="Times New Roman" w:cs="Times New Roman"/>
                <w:sz w:val="20"/>
                <w:szCs w:val="20"/>
              </w:rPr>
              <w:t xml:space="preserve"> </w:t>
            </w:r>
            <w:r w:rsidR="00F729FE" w:rsidRPr="00B72F8D">
              <w:rPr>
                <w:rFonts w:ascii="Times New Roman" w:eastAsia="Times New Roman" w:hAnsi="Times New Roman" w:cs="Times New Roman"/>
                <w:sz w:val="20"/>
                <w:szCs w:val="20"/>
              </w:rPr>
              <w:t>warunków</w:t>
            </w:r>
            <w:r w:rsidR="00711AEC">
              <w:rPr>
                <w:rFonts w:ascii="Times New Roman" w:eastAsia="Times New Roman" w:hAnsi="Times New Roman" w:cs="Times New Roman"/>
                <w:sz w:val="20"/>
                <w:szCs w:val="20"/>
              </w:rPr>
              <w:t xml:space="preserve"> </w:t>
            </w:r>
            <w:r w:rsidR="00F729FE" w:rsidRPr="00B72F8D">
              <w:rPr>
                <w:rFonts w:ascii="Times New Roman" w:eastAsia="Times New Roman" w:hAnsi="Times New Roman" w:cs="Times New Roman"/>
                <w:sz w:val="20"/>
                <w:szCs w:val="20"/>
              </w:rPr>
              <w:t>1,</w:t>
            </w:r>
            <w:r w:rsidR="00711AEC">
              <w:rPr>
                <w:rFonts w:ascii="Times New Roman" w:eastAsia="Times New Roman" w:hAnsi="Times New Roman" w:cs="Times New Roman"/>
                <w:sz w:val="20"/>
                <w:szCs w:val="20"/>
              </w:rPr>
              <w:t xml:space="preserve"> </w:t>
            </w:r>
            <w:r w:rsidR="00F729FE" w:rsidRPr="00B72F8D">
              <w:rPr>
                <w:rFonts w:ascii="Times New Roman" w:eastAsia="Times New Roman" w:hAnsi="Times New Roman" w:cs="Times New Roman"/>
                <w:sz w:val="20"/>
                <w:szCs w:val="20"/>
              </w:rPr>
              <w:t>2,</w:t>
            </w:r>
            <w:r w:rsidR="00711AEC">
              <w:rPr>
                <w:rFonts w:ascii="Times New Roman" w:eastAsia="Times New Roman" w:hAnsi="Times New Roman" w:cs="Times New Roman"/>
                <w:sz w:val="20"/>
                <w:szCs w:val="20"/>
              </w:rPr>
              <w:t xml:space="preserve"> </w:t>
            </w:r>
            <w:r w:rsidR="00F729FE" w:rsidRPr="00B72F8D">
              <w:rPr>
                <w:rFonts w:ascii="Times New Roman" w:eastAsia="Times New Roman" w:hAnsi="Times New Roman" w:cs="Times New Roman"/>
                <w:sz w:val="20"/>
                <w:szCs w:val="20"/>
              </w:rPr>
              <w:t>3,</w:t>
            </w:r>
            <w:r w:rsidR="00711AEC">
              <w:rPr>
                <w:rFonts w:ascii="Times New Roman" w:eastAsia="Times New Roman" w:hAnsi="Times New Roman" w:cs="Times New Roman"/>
                <w:sz w:val="20"/>
                <w:szCs w:val="20"/>
              </w:rPr>
              <w:t xml:space="preserve"> </w:t>
            </w:r>
            <w:r w:rsidR="00F729FE" w:rsidRPr="00B72F8D">
              <w:rPr>
                <w:rFonts w:ascii="Times New Roman" w:eastAsia="Times New Roman" w:hAnsi="Times New Roman" w:cs="Times New Roman"/>
                <w:sz w:val="20"/>
                <w:szCs w:val="20"/>
              </w:rPr>
              <w:t>4</w:t>
            </w:r>
            <w:r w:rsidR="00711AEC">
              <w:rPr>
                <w:rFonts w:ascii="Times New Roman" w:eastAsia="Times New Roman" w:hAnsi="Times New Roman" w:cs="Times New Roman"/>
                <w:sz w:val="20"/>
                <w:szCs w:val="20"/>
              </w:rPr>
              <w:t xml:space="preserve"> </w:t>
            </w:r>
            <w:r w:rsidR="00F729FE" w:rsidRPr="00B72F8D">
              <w:rPr>
                <w:rFonts w:ascii="Times New Roman" w:eastAsia="Times New Roman" w:hAnsi="Times New Roman" w:cs="Times New Roman"/>
                <w:sz w:val="20"/>
                <w:szCs w:val="20"/>
              </w:rPr>
              <w:t>łącznie</w:t>
            </w:r>
            <w:r w:rsidR="00711AEC">
              <w:rPr>
                <w:rFonts w:ascii="Times New Roman" w:eastAsia="Times New Roman" w:hAnsi="Times New Roman" w:cs="Times New Roman"/>
                <w:sz w:val="20"/>
                <w:szCs w:val="20"/>
              </w:rPr>
              <w:t xml:space="preserve"> </w:t>
            </w:r>
            <w:r w:rsidR="00F729FE" w:rsidRPr="00B72F8D">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00F729FE" w:rsidRPr="00B72F8D">
              <w:rPr>
                <w:rFonts w:ascii="Times New Roman" w:eastAsia="Times New Roman" w:hAnsi="Times New Roman" w:cs="Times New Roman"/>
                <w:sz w:val="20"/>
                <w:szCs w:val="20"/>
              </w:rPr>
              <w:t>1,</w:t>
            </w:r>
            <w:r w:rsidR="00711AEC">
              <w:rPr>
                <w:rFonts w:ascii="Times New Roman" w:eastAsia="Times New Roman" w:hAnsi="Times New Roman" w:cs="Times New Roman"/>
                <w:sz w:val="20"/>
                <w:szCs w:val="20"/>
              </w:rPr>
              <w:t xml:space="preserve"> </w:t>
            </w:r>
            <w:r w:rsidR="00F729FE" w:rsidRPr="00B72F8D">
              <w:rPr>
                <w:rFonts w:ascii="Times New Roman" w:eastAsia="Times New Roman" w:hAnsi="Times New Roman" w:cs="Times New Roman"/>
                <w:sz w:val="20"/>
                <w:szCs w:val="20"/>
              </w:rPr>
              <w:t>2,</w:t>
            </w:r>
            <w:r w:rsidR="00711AEC">
              <w:rPr>
                <w:rFonts w:ascii="Times New Roman" w:eastAsia="Times New Roman" w:hAnsi="Times New Roman" w:cs="Times New Roman"/>
                <w:sz w:val="20"/>
                <w:szCs w:val="20"/>
              </w:rPr>
              <w:t xml:space="preserve"> </w:t>
            </w:r>
            <w:r w:rsidR="00F729FE" w:rsidRPr="00B72F8D">
              <w:rPr>
                <w:rFonts w:ascii="Times New Roman" w:eastAsia="Times New Roman" w:hAnsi="Times New Roman" w:cs="Times New Roman"/>
                <w:sz w:val="20"/>
                <w:szCs w:val="20"/>
              </w:rPr>
              <w:t>5</w:t>
            </w:r>
            <w:r w:rsidR="00711AEC">
              <w:rPr>
                <w:rFonts w:ascii="Times New Roman" w:eastAsia="Times New Roman" w:hAnsi="Times New Roman" w:cs="Times New Roman"/>
                <w:sz w:val="20"/>
                <w:szCs w:val="20"/>
              </w:rPr>
              <w:t xml:space="preserve"> </w:t>
            </w:r>
            <w:r w:rsidR="00F729FE" w:rsidRPr="00B72F8D">
              <w:rPr>
                <w:rFonts w:ascii="Times New Roman" w:eastAsia="Times New Roman" w:hAnsi="Times New Roman" w:cs="Times New Roman"/>
                <w:sz w:val="20"/>
                <w:szCs w:val="20"/>
              </w:rPr>
              <w:t>łącznie.</w:t>
            </w:r>
          </w:p>
          <w:p w14:paraId="1D0E28FC" w14:textId="2C2093DD" w:rsidR="009A655D" w:rsidRPr="00B72F8D" w:rsidRDefault="006E3227" w:rsidP="00B72F8D">
            <w:pPr>
              <w:spacing w:after="60"/>
              <w:ind w:right="85"/>
              <w:jc w:val="both"/>
              <w:rPr>
                <w:rFonts w:ascii="Times New Roman" w:eastAsia="Times New Roman" w:hAnsi="Times New Roman" w:cs="Times New Roman"/>
                <w:sz w:val="20"/>
                <w:szCs w:val="20"/>
              </w:rPr>
            </w:pPr>
            <w:r w:rsidRPr="00B72F8D">
              <w:rPr>
                <w:rFonts w:ascii="Times New Roman" w:eastAsia="Times New Roman" w:hAnsi="Times New Roman" w:cs="Times New Roman"/>
                <w:sz w:val="20"/>
                <w:szCs w:val="20"/>
              </w:rPr>
              <w:t>Ponadto</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programu</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lekowego</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kwalifikowani</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są</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również</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pacjenci,</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którzy</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byli</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leczeni</w:t>
            </w:r>
            <w:r w:rsidR="00711AEC">
              <w:rPr>
                <w:rFonts w:ascii="Times New Roman" w:eastAsia="Times New Roman" w:hAnsi="Times New Roman" w:cs="Times New Roman"/>
                <w:sz w:val="20"/>
                <w:szCs w:val="20"/>
              </w:rPr>
              <w:t xml:space="preserve"> </w:t>
            </w:r>
            <w:proofErr w:type="spellStart"/>
            <w:r w:rsidRPr="00B72F8D">
              <w:rPr>
                <w:rFonts w:ascii="Times New Roman" w:eastAsia="Times New Roman" w:hAnsi="Times New Roman" w:cs="Times New Roman"/>
                <w:sz w:val="20"/>
                <w:szCs w:val="20"/>
              </w:rPr>
              <w:t>pas</w:t>
            </w:r>
            <w:r w:rsidR="006B1C2D" w:rsidRPr="00B72F8D">
              <w:rPr>
                <w:rFonts w:ascii="Times New Roman" w:eastAsia="Times New Roman" w:hAnsi="Times New Roman" w:cs="Times New Roman"/>
                <w:sz w:val="20"/>
                <w:szCs w:val="20"/>
              </w:rPr>
              <w:t>y</w:t>
            </w:r>
            <w:r w:rsidRPr="00B72F8D">
              <w:rPr>
                <w:rFonts w:ascii="Times New Roman" w:eastAsia="Times New Roman" w:hAnsi="Times New Roman" w:cs="Times New Roman"/>
                <w:sz w:val="20"/>
                <w:szCs w:val="20"/>
              </w:rPr>
              <w:t>reotydem</w:t>
            </w:r>
            <w:proofErr w:type="spellEnd"/>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ramach</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innego</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sposobu</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finansowania</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terapii,</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pod</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warunkiem,</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że</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chwili</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rozpoczęcia</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spełniali</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kryteria</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kwalifikacji</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programu</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lekowego</w:t>
            </w:r>
            <w:r w:rsidR="000F4BBD" w:rsidRPr="00B72F8D">
              <w:rPr>
                <w:rFonts w:ascii="Times New Roman" w:eastAsia="Times New Roman" w:hAnsi="Times New Roman" w:cs="Times New Roman"/>
                <w:sz w:val="20"/>
                <w:szCs w:val="20"/>
              </w:rPr>
              <w:t>.</w:t>
            </w:r>
          </w:p>
          <w:p w14:paraId="63B65A8E" w14:textId="4B94897F" w:rsidR="00DC08AC" w:rsidRPr="00FD48F5" w:rsidRDefault="00DC08AC" w:rsidP="00FD48F5">
            <w:pPr>
              <w:spacing w:after="60"/>
              <w:ind w:right="85"/>
              <w:jc w:val="both"/>
              <w:rPr>
                <w:rFonts w:ascii="Times New Roman" w:eastAsia="Times New Roman" w:hAnsi="Times New Roman" w:cs="Times New Roman"/>
                <w:sz w:val="20"/>
                <w:szCs w:val="20"/>
              </w:rPr>
            </w:pPr>
          </w:p>
          <w:p w14:paraId="1C6BBC55" w14:textId="52F2CCC1" w:rsidR="00587626" w:rsidRPr="00B72F8D" w:rsidRDefault="00587626" w:rsidP="00B72F8D">
            <w:pPr>
              <w:spacing w:after="60"/>
              <w:ind w:right="85"/>
              <w:jc w:val="both"/>
              <w:rPr>
                <w:rFonts w:ascii="Times New Roman" w:eastAsia="Times New Roman" w:hAnsi="Times New Roman" w:cs="Times New Roman"/>
                <w:sz w:val="20"/>
                <w:szCs w:val="20"/>
              </w:rPr>
            </w:pPr>
            <w:r w:rsidRPr="00B72F8D">
              <w:rPr>
                <w:rFonts w:ascii="Times New Roman" w:hAnsi="Times New Roman" w:cs="Times New Roman"/>
                <w:sz w:val="20"/>
                <w:szCs w:val="20"/>
                <w:lang w:eastAsia="pl-PL"/>
              </w:rPr>
              <w:t>Kwalifikacja</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do</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programu</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przeprowadzana</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jest</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przez</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lekarza</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prowadzącego,</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a</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w</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uzasadnionych</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przypadkach</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trudnych</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klinicznie,</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po</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zasięgnięciu</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opinii</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konsultanta</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krajowego</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w</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dziedzinie</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endokrynologii.</w:t>
            </w:r>
          </w:p>
          <w:p w14:paraId="5B8B1C00" w14:textId="77777777" w:rsidR="00587626" w:rsidRPr="00FD48F5" w:rsidRDefault="00587626" w:rsidP="00FD48F5">
            <w:pPr>
              <w:spacing w:after="60"/>
              <w:ind w:right="85"/>
              <w:jc w:val="both"/>
              <w:rPr>
                <w:rFonts w:ascii="Times New Roman" w:eastAsia="Times New Roman" w:hAnsi="Times New Roman" w:cs="Times New Roman"/>
                <w:sz w:val="20"/>
                <w:szCs w:val="20"/>
              </w:rPr>
            </w:pPr>
          </w:p>
          <w:p w14:paraId="434715BA" w14:textId="40C62BBA" w:rsidR="009A655D" w:rsidRPr="00FD48F5" w:rsidRDefault="009A655D" w:rsidP="00B72F8D">
            <w:pPr>
              <w:pStyle w:val="Akapitzlist"/>
              <w:numPr>
                <w:ilvl w:val="1"/>
                <w:numId w:val="1"/>
              </w:numPr>
              <w:spacing w:after="60"/>
              <w:ind w:right="87"/>
              <w:contextualSpacing w:val="0"/>
              <w:jc w:val="both"/>
              <w:rPr>
                <w:rFonts w:ascii="Times New Roman" w:eastAsia="Times New Roman" w:hAnsi="Times New Roman" w:cs="Times New Roman"/>
                <w:b/>
                <w:sz w:val="20"/>
                <w:szCs w:val="20"/>
              </w:rPr>
            </w:pPr>
            <w:r w:rsidRPr="00FD48F5">
              <w:rPr>
                <w:rFonts w:ascii="Times New Roman" w:eastAsia="Times New Roman" w:hAnsi="Times New Roman" w:cs="Times New Roman"/>
                <w:b/>
                <w:sz w:val="20"/>
                <w:szCs w:val="20"/>
              </w:rPr>
              <w:t>K</w:t>
            </w:r>
            <w:r w:rsidR="00DC08AC" w:rsidRPr="00FD48F5">
              <w:rPr>
                <w:rFonts w:ascii="Times New Roman" w:eastAsia="Times New Roman" w:hAnsi="Times New Roman" w:cs="Times New Roman"/>
                <w:b/>
                <w:sz w:val="20"/>
                <w:szCs w:val="20"/>
              </w:rPr>
              <w:t>ryteria</w:t>
            </w:r>
            <w:r w:rsidR="00711AEC">
              <w:rPr>
                <w:rFonts w:ascii="Times New Roman" w:eastAsia="Times New Roman" w:hAnsi="Times New Roman" w:cs="Times New Roman"/>
                <w:b/>
                <w:sz w:val="20"/>
                <w:szCs w:val="20"/>
              </w:rPr>
              <w:t xml:space="preserve"> </w:t>
            </w:r>
            <w:r w:rsidR="00DC08AC" w:rsidRPr="00FD48F5">
              <w:rPr>
                <w:rFonts w:ascii="Times New Roman" w:eastAsia="Times New Roman" w:hAnsi="Times New Roman" w:cs="Times New Roman"/>
                <w:b/>
                <w:sz w:val="20"/>
                <w:szCs w:val="20"/>
              </w:rPr>
              <w:t>wyłączenia</w:t>
            </w:r>
          </w:p>
          <w:p w14:paraId="191953AB" w14:textId="536AE98B" w:rsidR="00543ED8" w:rsidRPr="00FD48F5" w:rsidRDefault="0081116F" w:rsidP="00B72F8D">
            <w:pPr>
              <w:pStyle w:val="Akapitzlist"/>
              <w:numPr>
                <w:ilvl w:val="2"/>
                <w:numId w:val="1"/>
              </w:numPr>
              <w:spacing w:after="60"/>
              <w:ind w:right="87"/>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k</w:t>
            </w:r>
            <w:r w:rsidR="009A655D" w:rsidRPr="00FD48F5">
              <w:rPr>
                <w:rFonts w:ascii="Times New Roman" w:eastAsia="Times New Roman" w:hAnsi="Times New Roman" w:cs="Times New Roman"/>
                <w:sz w:val="20"/>
                <w:szCs w:val="20"/>
              </w:rPr>
              <w:t>andyda</w:t>
            </w:r>
            <w:r w:rsidRPr="00FD48F5">
              <w:rPr>
                <w:rFonts w:ascii="Times New Roman" w:eastAsia="Times New Roman" w:hAnsi="Times New Roman" w:cs="Times New Roman"/>
                <w:sz w:val="20"/>
                <w:szCs w:val="20"/>
              </w:rPr>
              <w:t>ci</w:t>
            </w:r>
            <w:r w:rsidR="00711AEC">
              <w:rPr>
                <w:rFonts w:ascii="Times New Roman" w:eastAsia="Times New Roman" w:hAnsi="Times New Roman" w:cs="Times New Roman"/>
                <w:sz w:val="20"/>
                <w:szCs w:val="20"/>
              </w:rPr>
              <w:t xml:space="preserve"> </w:t>
            </w:r>
            <w:r w:rsidR="009A655D" w:rsidRPr="00FD48F5">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009A655D" w:rsidRPr="00FD48F5">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r w:rsidR="009A655D" w:rsidRPr="00FD48F5">
              <w:rPr>
                <w:rFonts w:ascii="Times New Roman" w:eastAsia="Times New Roman" w:hAnsi="Times New Roman" w:cs="Times New Roman"/>
                <w:sz w:val="20"/>
                <w:szCs w:val="20"/>
              </w:rPr>
              <w:t>operacyjnego;</w:t>
            </w:r>
          </w:p>
          <w:p w14:paraId="7BAB8B74" w14:textId="40432F46" w:rsidR="00543ED8" w:rsidRPr="00FD48F5" w:rsidRDefault="009A655D" w:rsidP="00B72F8D">
            <w:pPr>
              <w:pStyle w:val="Akapitzlist"/>
              <w:numPr>
                <w:ilvl w:val="2"/>
                <w:numId w:val="1"/>
              </w:numPr>
              <w:spacing w:after="60"/>
              <w:ind w:right="87"/>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ucisk</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skrzyżowania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nerwów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wzrokowych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przez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guz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powodujący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istotne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zaburzenia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pola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widzenia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pacjentów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kwalifikujących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się</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odbarczającego</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neurochirurgicznego;</w:t>
            </w:r>
          </w:p>
          <w:p w14:paraId="7F11D427" w14:textId="6D37A1B5" w:rsidR="00543ED8" w:rsidRPr="00FD48F5" w:rsidRDefault="009A655D" w:rsidP="00B72F8D">
            <w:pPr>
              <w:pStyle w:val="Akapitzlist"/>
              <w:numPr>
                <w:ilvl w:val="2"/>
                <w:numId w:val="1"/>
              </w:numPr>
              <w:spacing w:after="60"/>
              <w:ind w:right="87"/>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cukrzyca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niewyrównana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metabolicznie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pomimo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podjęcia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próby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optymalizacji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zgodnie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punktem</w:t>
            </w:r>
            <w:r w:rsidR="00711AEC">
              <w:rPr>
                <w:rFonts w:ascii="Times New Roman" w:eastAsia="Times New Roman" w:hAnsi="Times New Roman" w:cs="Times New Roman"/>
                <w:sz w:val="20"/>
                <w:szCs w:val="20"/>
              </w:rPr>
              <w:t xml:space="preserve"> </w:t>
            </w:r>
            <w:r w:rsidR="00993C50" w:rsidRPr="00FD48F5">
              <w:rPr>
                <w:rFonts w:ascii="Times New Roman" w:eastAsia="Times New Roman" w:hAnsi="Times New Roman" w:cs="Times New Roman"/>
                <w:sz w:val="20"/>
                <w:szCs w:val="20"/>
              </w:rPr>
              <w:t>1.3.1)</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i/>
                <w:sz w:val="20"/>
                <w:szCs w:val="20"/>
              </w:rPr>
              <w:t>Schematu</w:t>
            </w:r>
            <w:r w:rsidR="00711AEC">
              <w:rPr>
                <w:rFonts w:ascii="Times New Roman" w:eastAsia="Times New Roman" w:hAnsi="Times New Roman" w:cs="Times New Roman"/>
                <w:i/>
                <w:sz w:val="20"/>
                <w:szCs w:val="20"/>
              </w:rPr>
              <w:t xml:space="preserve"> </w:t>
            </w:r>
            <w:r w:rsidRPr="00FD48F5">
              <w:rPr>
                <w:rFonts w:ascii="Times New Roman" w:eastAsia="Times New Roman" w:hAnsi="Times New Roman" w:cs="Times New Roman"/>
                <w:i/>
                <w:sz w:val="20"/>
                <w:szCs w:val="20"/>
              </w:rPr>
              <w:t>dawkowania</w:t>
            </w:r>
            <w:r w:rsidRPr="00FD48F5">
              <w:rPr>
                <w:rFonts w:ascii="Times New Roman" w:eastAsia="Times New Roman" w:hAnsi="Times New Roman" w:cs="Times New Roman"/>
                <w:sz w:val="20"/>
                <w:szCs w:val="20"/>
              </w:rPr>
              <w:t>;</w:t>
            </w:r>
          </w:p>
          <w:p w14:paraId="6A04D57A" w14:textId="1C76A356" w:rsidR="00543ED8" w:rsidRPr="00FD48F5" w:rsidRDefault="009A655D" w:rsidP="00B72F8D">
            <w:pPr>
              <w:pStyle w:val="Akapitzlist"/>
              <w:numPr>
                <w:ilvl w:val="2"/>
                <w:numId w:val="1"/>
              </w:numPr>
              <w:spacing w:after="60"/>
              <w:ind w:right="87"/>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objawowa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kamica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żółciowa;</w:t>
            </w:r>
          </w:p>
          <w:p w14:paraId="567E8628" w14:textId="3E167E1E" w:rsidR="00543ED8" w:rsidRPr="00FD48F5" w:rsidRDefault="009A655D" w:rsidP="00B72F8D">
            <w:pPr>
              <w:pStyle w:val="Akapitzlist"/>
              <w:numPr>
                <w:ilvl w:val="2"/>
                <w:numId w:val="1"/>
              </w:numPr>
              <w:spacing w:after="60"/>
              <w:ind w:right="87"/>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lastRenderedPageBreak/>
              <w:t>ciężkie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zaburzenia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czynności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wątroby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(klasa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wg</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skali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Child–</w:t>
            </w:r>
            <w:proofErr w:type="spellStart"/>
            <w:r w:rsidRPr="00FD48F5">
              <w:rPr>
                <w:rFonts w:ascii="Times New Roman" w:eastAsia="Times New Roman" w:hAnsi="Times New Roman" w:cs="Times New Roman"/>
                <w:sz w:val="20"/>
                <w:szCs w:val="20"/>
              </w:rPr>
              <w:t>Pugha</w:t>
            </w:r>
            <w:proofErr w:type="spellEnd"/>
            <w:r w:rsidRPr="00FD48F5">
              <w:rPr>
                <w:rFonts w:ascii="Times New Roman" w:eastAsia="Times New Roman" w:hAnsi="Times New Roman" w:cs="Times New Roman"/>
                <w:sz w:val="20"/>
                <w:szCs w:val="20"/>
              </w:rPr>
              <w:t>);</w:t>
            </w:r>
          </w:p>
          <w:p w14:paraId="4EED8865" w14:textId="03B38883" w:rsidR="00543ED8" w:rsidRPr="00FD48F5" w:rsidRDefault="009A655D" w:rsidP="00B72F8D">
            <w:pPr>
              <w:pStyle w:val="Akapitzlist"/>
              <w:numPr>
                <w:ilvl w:val="2"/>
                <w:numId w:val="1"/>
              </w:numPr>
              <w:spacing w:after="60"/>
              <w:ind w:right="87"/>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żółtaczka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inne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objawy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sugerujące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klinicznie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istotną</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dysfunkcję</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wątroby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utrzymywanie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się</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zwiększonej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aktywności</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AspAT</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AlAT</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poziomie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najmniej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5</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x</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GGN</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(górna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granica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normy)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wzrost</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aktywności</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AlAT</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AspAT</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przekraczający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3</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x</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GGN</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jednoczesnym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wzrostem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stężenia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bilirubiny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powyżej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2</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x</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GGN;</w:t>
            </w:r>
          </w:p>
          <w:p w14:paraId="099658B2" w14:textId="11D43748" w:rsidR="00543ED8" w:rsidRPr="00FD48F5" w:rsidRDefault="009A655D" w:rsidP="00B72F8D">
            <w:pPr>
              <w:pStyle w:val="Akapitzlist"/>
              <w:numPr>
                <w:ilvl w:val="2"/>
                <w:numId w:val="1"/>
              </w:numPr>
              <w:spacing w:after="60"/>
              <w:ind w:right="87"/>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niewyrównan</w:t>
            </w:r>
            <w:r w:rsidR="00993C50" w:rsidRPr="00FD48F5">
              <w:rPr>
                <w:rFonts w:ascii="Times New Roman" w:eastAsia="Times New Roman" w:hAnsi="Times New Roman" w:cs="Times New Roman"/>
                <w:sz w:val="20"/>
                <w:szCs w:val="20"/>
              </w:rPr>
              <w:t>a</w:t>
            </w:r>
            <w:r w:rsidR="00711AEC">
              <w:rPr>
                <w:rFonts w:ascii="Times New Roman" w:eastAsia="Times New Roman" w:hAnsi="Times New Roman" w:cs="Times New Roman"/>
                <w:sz w:val="20"/>
                <w:szCs w:val="20"/>
              </w:rPr>
              <w:t xml:space="preserve"> </w:t>
            </w:r>
            <w:r w:rsidR="00993C50" w:rsidRPr="00FD48F5">
              <w:rPr>
                <w:rFonts w:ascii="Times New Roman" w:eastAsia="Times New Roman" w:hAnsi="Times New Roman" w:cs="Times New Roman"/>
                <w:sz w:val="20"/>
                <w:szCs w:val="20"/>
              </w:rPr>
              <w:t>niedoczynność</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kory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nadnerczy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tarczycy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(nieadekwatne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substytucyjne);</w:t>
            </w:r>
          </w:p>
          <w:p w14:paraId="67D55B82" w14:textId="127900BE" w:rsidR="00543ED8" w:rsidRPr="00FD48F5" w:rsidRDefault="009A655D" w:rsidP="00B72F8D">
            <w:pPr>
              <w:pStyle w:val="Akapitzlist"/>
              <w:numPr>
                <w:ilvl w:val="2"/>
                <w:numId w:val="1"/>
              </w:numPr>
              <w:spacing w:after="60"/>
              <w:ind w:right="87"/>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okres</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ciąży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karmienia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piersią;</w:t>
            </w:r>
          </w:p>
          <w:p w14:paraId="7F2488ED" w14:textId="25EF51CA" w:rsidR="00543ED8" w:rsidRPr="00FD48F5" w:rsidRDefault="009A655D" w:rsidP="00B72F8D">
            <w:pPr>
              <w:pStyle w:val="Akapitzlist"/>
              <w:numPr>
                <w:ilvl w:val="2"/>
                <w:numId w:val="1"/>
              </w:numPr>
              <w:spacing w:after="60"/>
              <w:ind w:right="87"/>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nadwrażliwość</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pasyreotyd</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którąkolwiek</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substancję</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pomocniczą</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leku;</w:t>
            </w:r>
          </w:p>
          <w:p w14:paraId="37A5F238" w14:textId="18360DA5" w:rsidR="009A655D" w:rsidRPr="00FD48F5" w:rsidRDefault="009A655D" w:rsidP="00B72F8D">
            <w:pPr>
              <w:pStyle w:val="Akapitzlist"/>
              <w:numPr>
                <w:ilvl w:val="2"/>
                <w:numId w:val="1"/>
              </w:numPr>
              <w:spacing w:after="60"/>
              <w:ind w:right="87"/>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brak</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odpowiedzi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leczenie</w:t>
            </w:r>
            <w:r w:rsidR="00711AEC">
              <w:rPr>
                <w:rFonts w:ascii="Times New Roman" w:eastAsia="Times New Roman" w:hAnsi="Times New Roman" w:cs="Times New Roman"/>
                <w:sz w:val="20"/>
                <w:szCs w:val="20"/>
              </w:rPr>
              <w:t xml:space="preserve"> </w:t>
            </w:r>
            <w:r w:rsidR="00785BB8" w:rsidRPr="00FD48F5">
              <w:rPr>
                <w:rFonts w:ascii="Times New Roman" w:eastAsia="Times New Roman" w:hAnsi="Times New Roman" w:cs="Times New Roman"/>
                <w:sz w:val="20"/>
                <w:szCs w:val="20"/>
              </w:rPr>
              <w:t>po</w:t>
            </w:r>
            <w:r w:rsidR="00711AEC">
              <w:rPr>
                <w:rFonts w:ascii="Times New Roman" w:eastAsia="Times New Roman" w:hAnsi="Times New Roman" w:cs="Times New Roman"/>
                <w:sz w:val="20"/>
                <w:szCs w:val="20"/>
              </w:rPr>
              <w:t xml:space="preserve"> </w:t>
            </w:r>
            <w:r w:rsidR="00785BB8" w:rsidRPr="00FD48F5">
              <w:rPr>
                <w:rFonts w:ascii="Times New Roman" w:eastAsia="Times New Roman" w:hAnsi="Times New Roman" w:cs="Times New Roman"/>
                <w:sz w:val="20"/>
                <w:szCs w:val="20"/>
              </w:rPr>
              <w:t>co</w:t>
            </w:r>
            <w:r w:rsidR="00711AEC">
              <w:rPr>
                <w:rFonts w:ascii="Times New Roman" w:eastAsia="Times New Roman" w:hAnsi="Times New Roman" w:cs="Times New Roman"/>
                <w:sz w:val="20"/>
                <w:szCs w:val="20"/>
              </w:rPr>
              <w:t xml:space="preserve"> </w:t>
            </w:r>
            <w:r w:rsidR="00785BB8" w:rsidRPr="00FD48F5">
              <w:rPr>
                <w:rFonts w:ascii="Times New Roman" w:eastAsia="Times New Roman" w:hAnsi="Times New Roman" w:cs="Times New Roman"/>
                <w:sz w:val="20"/>
                <w:szCs w:val="20"/>
              </w:rPr>
              <w:t>najmniej</w:t>
            </w:r>
            <w:r w:rsidR="00711AEC">
              <w:rPr>
                <w:rFonts w:ascii="Times New Roman" w:eastAsia="Times New Roman" w:hAnsi="Times New Roman" w:cs="Times New Roman"/>
                <w:sz w:val="20"/>
                <w:szCs w:val="20"/>
              </w:rPr>
              <w:t xml:space="preserve"> </w:t>
            </w:r>
            <w:r w:rsidR="00785BB8" w:rsidRPr="00FD48F5">
              <w:rPr>
                <w:rFonts w:ascii="Times New Roman" w:eastAsia="Times New Roman" w:hAnsi="Times New Roman" w:cs="Times New Roman"/>
                <w:sz w:val="20"/>
                <w:szCs w:val="20"/>
              </w:rPr>
              <w:t>6-cio</w:t>
            </w:r>
            <w:r w:rsidR="00711AEC">
              <w:rPr>
                <w:rFonts w:ascii="Times New Roman" w:eastAsia="Times New Roman" w:hAnsi="Times New Roman" w:cs="Times New Roman"/>
                <w:sz w:val="20"/>
                <w:szCs w:val="20"/>
              </w:rPr>
              <w:t xml:space="preserve"> </w:t>
            </w:r>
            <w:r w:rsidR="00785BB8" w:rsidRPr="00FD48F5">
              <w:rPr>
                <w:rFonts w:ascii="Times New Roman" w:eastAsia="Times New Roman" w:hAnsi="Times New Roman" w:cs="Times New Roman"/>
                <w:sz w:val="20"/>
                <w:szCs w:val="20"/>
              </w:rPr>
              <w:t>miesięcznym</w:t>
            </w:r>
            <w:r w:rsidR="00711AEC">
              <w:rPr>
                <w:rFonts w:ascii="Times New Roman" w:eastAsia="Times New Roman" w:hAnsi="Times New Roman" w:cs="Times New Roman"/>
                <w:sz w:val="20"/>
                <w:szCs w:val="20"/>
              </w:rPr>
              <w:t xml:space="preserve"> </w:t>
            </w:r>
            <w:r w:rsidR="00785BB8" w:rsidRPr="00FD48F5">
              <w:rPr>
                <w:rFonts w:ascii="Times New Roman" w:eastAsia="Times New Roman" w:hAnsi="Times New Roman" w:cs="Times New Roman"/>
                <w:sz w:val="20"/>
                <w:szCs w:val="20"/>
              </w:rPr>
              <w:t>okresie</w:t>
            </w:r>
            <w:r w:rsidR="00711AEC">
              <w:rPr>
                <w:rFonts w:ascii="Times New Roman" w:eastAsia="Times New Roman" w:hAnsi="Times New Roman" w:cs="Times New Roman"/>
                <w:sz w:val="20"/>
                <w:szCs w:val="20"/>
              </w:rPr>
              <w:t xml:space="preserve"> </w:t>
            </w:r>
            <w:r w:rsidR="00785BB8" w:rsidRPr="00FD48F5">
              <w:rPr>
                <w:rFonts w:ascii="Times New Roman" w:eastAsia="Times New Roman" w:hAnsi="Times New Roman" w:cs="Times New Roman"/>
                <w:sz w:val="20"/>
                <w:szCs w:val="20"/>
              </w:rPr>
              <w:t>podawania</w:t>
            </w:r>
            <w:r w:rsidR="00711AEC">
              <w:rPr>
                <w:rFonts w:ascii="Times New Roman" w:eastAsia="Times New Roman" w:hAnsi="Times New Roman" w:cs="Times New Roman"/>
                <w:sz w:val="20"/>
                <w:szCs w:val="20"/>
              </w:rPr>
              <w:t xml:space="preserve"> </w:t>
            </w:r>
            <w:proofErr w:type="spellStart"/>
            <w:r w:rsidR="00785BB8" w:rsidRPr="00FD48F5">
              <w:rPr>
                <w:rFonts w:ascii="Times New Roman" w:eastAsia="Times New Roman" w:hAnsi="Times New Roman" w:cs="Times New Roman"/>
                <w:sz w:val="20"/>
                <w:szCs w:val="20"/>
              </w:rPr>
              <w:t>pasyreotydu</w:t>
            </w:r>
            <w:proofErr w:type="spellEnd"/>
            <w:r w:rsidR="00711AEC">
              <w:rPr>
                <w:rFonts w:ascii="Times New Roman" w:eastAsia="Times New Roman" w:hAnsi="Times New Roman" w:cs="Times New Roman"/>
                <w:sz w:val="20"/>
                <w:szCs w:val="20"/>
              </w:rPr>
              <w:t xml:space="preserve"> </w:t>
            </w:r>
            <w:r w:rsidR="00785BB8"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00785BB8" w:rsidRPr="00FD48F5">
              <w:rPr>
                <w:rFonts w:ascii="Times New Roman" w:eastAsia="Times New Roman" w:hAnsi="Times New Roman" w:cs="Times New Roman"/>
                <w:sz w:val="20"/>
                <w:szCs w:val="20"/>
              </w:rPr>
              <w:t>najwyższej</w:t>
            </w:r>
            <w:r w:rsidR="00711AEC">
              <w:rPr>
                <w:rFonts w:ascii="Times New Roman" w:eastAsia="Times New Roman" w:hAnsi="Times New Roman" w:cs="Times New Roman"/>
                <w:sz w:val="20"/>
                <w:szCs w:val="20"/>
              </w:rPr>
              <w:t xml:space="preserve"> </w:t>
            </w:r>
            <w:r w:rsidR="00785BB8" w:rsidRPr="00FD48F5">
              <w:rPr>
                <w:rFonts w:ascii="Times New Roman" w:eastAsia="Times New Roman" w:hAnsi="Times New Roman" w:cs="Times New Roman"/>
                <w:sz w:val="20"/>
                <w:szCs w:val="20"/>
              </w:rPr>
              <w:t>tolerowanej</w:t>
            </w:r>
            <w:r w:rsidR="00711AEC">
              <w:rPr>
                <w:rFonts w:ascii="Times New Roman" w:eastAsia="Times New Roman" w:hAnsi="Times New Roman" w:cs="Times New Roman"/>
                <w:sz w:val="20"/>
                <w:szCs w:val="20"/>
              </w:rPr>
              <w:t xml:space="preserve"> </w:t>
            </w:r>
            <w:r w:rsidR="00785BB8" w:rsidRPr="00FD48F5">
              <w:rPr>
                <w:rFonts w:ascii="Times New Roman" w:eastAsia="Times New Roman" w:hAnsi="Times New Roman" w:cs="Times New Roman"/>
                <w:sz w:val="20"/>
                <w:szCs w:val="20"/>
              </w:rPr>
              <w:t>dawce</w:t>
            </w:r>
            <w:r w:rsidRPr="00FD48F5">
              <w:rPr>
                <w:rFonts w:ascii="Times New Roman" w:eastAsia="Times New Roman" w:hAnsi="Times New Roman" w:cs="Times New Roman"/>
                <w:sz w:val="20"/>
                <w:szCs w:val="20"/>
              </w:rPr>
              <w:t>,</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00F22117" w:rsidRPr="00FD48F5">
              <w:rPr>
                <w:rFonts w:ascii="Times New Roman" w:eastAsia="Times New Roman" w:hAnsi="Times New Roman" w:cs="Times New Roman"/>
                <w:sz w:val="20"/>
                <w:szCs w:val="20"/>
              </w:rPr>
              <w:t>sytuacji,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gdy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odpowiedź</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definiujemy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jako:</w:t>
            </w:r>
          </w:p>
          <w:p w14:paraId="744A2D93" w14:textId="7DCBE4AF" w:rsidR="009A655D" w:rsidRPr="00FD48F5" w:rsidRDefault="009A655D" w:rsidP="00B72F8D">
            <w:pPr>
              <w:numPr>
                <w:ilvl w:val="3"/>
                <w:numId w:val="1"/>
              </w:numPr>
              <w:tabs>
                <w:tab w:val="left" w:pos="845"/>
              </w:tabs>
              <w:spacing w:after="60"/>
              <w:ind w:right="87"/>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obniżenie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stężenia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&gt;</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50%</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stosunku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wartości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tego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stężenia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trakcie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kwalifikacji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programu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poziomu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&lt;2,5</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µg/l</w:t>
            </w:r>
            <w:r w:rsidR="00711AEC">
              <w:rPr>
                <w:rFonts w:ascii="Times New Roman" w:eastAsia="Times New Roman" w:hAnsi="Times New Roman" w:cs="Times New Roman"/>
                <w:sz w:val="20"/>
                <w:szCs w:val="20"/>
              </w:rPr>
              <w:t xml:space="preserve"> </w:t>
            </w:r>
          </w:p>
          <w:p w14:paraId="5CC35B6F" w14:textId="77777777" w:rsidR="009A655D" w:rsidRPr="00B72F8D" w:rsidRDefault="009A655D" w:rsidP="00B72F8D">
            <w:pPr>
              <w:tabs>
                <w:tab w:val="left" w:pos="845"/>
              </w:tabs>
              <w:spacing w:after="60"/>
              <w:ind w:left="454" w:right="87"/>
              <w:jc w:val="both"/>
              <w:rPr>
                <w:rFonts w:ascii="Times New Roman" w:eastAsia="Times New Roman" w:hAnsi="Times New Roman" w:cs="Times New Roman"/>
                <w:sz w:val="20"/>
                <w:szCs w:val="20"/>
              </w:rPr>
            </w:pPr>
            <w:r w:rsidRPr="00B72F8D">
              <w:rPr>
                <w:rFonts w:ascii="Times New Roman" w:eastAsia="Times New Roman" w:hAnsi="Times New Roman" w:cs="Times New Roman"/>
                <w:sz w:val="20"/>
                <w:szCs w:val="20"/>
              </w:rPr>
              <w:t>lub</w:t>
            </w:r>
          </w:p>
          <w:p w14:paraId="4D97950E" w14:textId="519B37B5" w:rsidR="009A655D" w:rsidRPr="00FD48F5" w:rsidRDefault="009A655D" w:rsidP="00B72F8D">
            <w:pPr>
              <w:numPr>
                <w:ilvl w:val="3"/>
                <w:numId w:val="1"/>
              </w:numPr>
              <w:tabs>
                <w:tab w:val="left" w:pos="845"/>
              </w:tabs>
              <w:spacing w:after="60"/>
              <w:ind w:right="87"/>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obniżenie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stężenia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IGF-1</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&gt;40%</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stosunku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wartości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tego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stężenia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trakcie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kwalifikacji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programu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normalizacja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stężenia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IGF-1</w:t>
            </w:r>
            <w:r w:rsidR="00711AEC">
              <w:rPr>
                <w:rFonts w:ascii="Times New Roman" w:eastAsia="Times New Roman" w:hAnsi="Times New Roman" w:cs="Times New Roman"/>
                <w:sz w:val="20"/>
                <w:szCs w:val="20"/>
              </w:rPr>
              <w:t xml:space="preserve"> </w:t>
            </w:r>
          </w:p>
          <w:p w14:paraId="4B3E0ADC" w14:textId="1BBEF564" w:rsidR="009A655D" w:rsidRPr="00B72F8D" w:rsidRDefault="009A655D" w:rsidP="00B72F8D">
            <w:pPr>
              <w:tabs>
                <w:tab w:val="left" w:pos="845"/>
              </w:tabs>
              <w:spacing w:after="60"/>
              <w:ind w:left="454" w:right="87"/>
              <w:jc w:val="both"/>
              <w:rPr>
                <w:rFonts w:ascii="Times New Roman" w:eastAsia="Times New Roman" w:hAnsi="Times New Roman" w:cs="Times New Roman"/>
                <w:sz w:val="20"/>
                <w:szCs w:val="20"/>
              </w:rPr>
            </w:pPr>
            <w:r w:rsidRPr="00B72F8D">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p>
          <w:p w14:paraId="26336C6B" w14:textId="451DEAB3" w:rsidR="009A655D" w:rsidRPr="00FD48F5" w:rsidRDefault="009A655D" w:rsidP="00B72F8D">
            <w:pPr>
              <w:numPr>
                <w:ilvl w:val="3"/>
                <w:numId w:val="1"/>
              </w:numPr>
              <w:tabs>
                <w:tab w:val="left" w:pos="845"/>
              </w:tabs>
              <w:spacing w:after="60"/>
              <w:ind w:right="87"/>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zmniejszenie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maksymalnego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wymiaru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guza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&gt;</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25%</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stosunku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maksymalnego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wymiaru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guza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badaniu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przeprowadzanym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kwalifikacji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programu</w:t>
            </w:r>
            <w:r w:rsidR="008076DD" w:rsidRPr="00FD48F5">
              <w:rPr>
                <w:rFonts w:ascii="Times New Roman" w:eastAsia="Times New Roman" w:hAnsi="Times New Roman" w:cs="Times New Roman"/>
                <w:sz w:val="20"/>
                <w:szCs w:val="20"/>
              </w:rPr>
              <w:t>.</w:t>
            </w:r>
          </w:p>
          <w:p w14:paraId="56945B70" w14:textId="1A443049" w:rsidR="00DC08AC" w:rsidRDefault="00DC08AC" w:rsidP="00FD48F5">
            <w:pPr>
              <w:tabs>
                <w:tab w:val="left" w:pos="845"/>
              </w:tabs>
              <w:spacing w:after="60"/>
              <w:ind w:left="680" w:right="87"/>
              <w:jc w:val="both"/>
              <w:rPr>
                <w:rFonts w:ascii="Times New Roman" w:eastAsia="Times New Roman" w:hAnsi="Times New Roman" w:cs="Times New Roman"/>
                <w:sz w:val="20"/>
                <w:szCs w:val="20"/>
              </w:rPr>
            </w:pPr>
          </w:p>
          <w:p w14:paraId="44FD30EB" w14:textId="404A7D64" w:rsidR="00B72F8D" w:rsidRDefault="00B72F8D" w:rsidP="00FD48F5">
            <w:pPr>
              <w:tabs>
                <w:tab w:val="left" w:pos="845"/>
              </w:tabs>
              <w:spacing w:after="60"/>
              <w:ind w:left="680" w:right="87"/>
              <w:jc w:val="both"/>
              <w:rPr>
                <w:rFonts w:ascii="Times New Roman" w:eastAsia="Times New Roman" w:hAnsi="Times New Roman" w:cs="Times New Roman"/>
                <w:sz w:val="20"/>
                <w:szCs w:val="20"/>
              </w:rPr>
            </w:pPr>
          </w:p>
          <w:p w14:paraId="04B92CE3" w14:textId="77777777" w:rsidR="00B72F8D" w:rsidRPr="00FD48F5" w:rsidRDefault="00B72F8D" w:rsidP="00FD48F5">
            <w:pPr>
              <w:tabs>
                <w:tab w:val="left" w:pos="845"/>
              </w:tabs>
              <w:spacing w:after="60"/>
              <w:ind w:left="680" w:right="87"/>
              <w:jc w:val="both"/>
              <w:rPr>
                <w:rFonts w:ascii="Times New Roman" w:eastAsia="Times New Roman" w:hAnsi="Times New Roman" w:cs="Times New Roman"/>
                <w:sz w:val="20"/>
                <w:szCs w:val="20"/>
              </w:rPr>
            </w:pPr>
          </w:p>
          <w:p w14:paraId="1DD31E30" w14:textId="40A41326" w:rsidR="009A655D" w:rsidRPr="00FD48F5" w:rsidRDefault="009A655D" w:rsidP="00B72F8D">
            <w:pPr>
              <w:pStyle w:val="Akapitzlist"/>
              <w:numPr>
                <w:ilvl w:val="1"/>
                <w:numId w:val="1"/>
              </w:numPr>
              <w:spacing w:after="60"/>
              <w:ind w:right="87"/>
              <w:contextualSpacing w:val="0"/>
              <w:jc w:val="both"/>
              <w:rPr>
                <w:rFonts w:ascii="Times New Roman" w:eastAsia="Times New Roman" w:hAnsi="Times New Roman" w:cs="Times New Roman"/>
                <w:b/>
                <w:sz w:val="20"/>
                <w:szCs w:val="20"/>
              </w:rPr>
            </w:pPr>
            <w:r w:rsidRPr="00FD48F5">
              <w:rPr>
                <w:rFonts w:ascii="Times New Roman" w:eastAsia="Times New Roman" w:hAnsi="Times New Roman" w:cs="Times New Roman"/>
                <w:b/>
                <w:sz w:val="20"/>
                <w:szCs w:val="20"/>
              </w:rPr>
              <w:lastRenderedPageBreak/>
              <w:t>Określenie</w:t>
            </w:r>
            <w:r w:rsidR="00711AEC">
              <w:rPr>
                <w:rFonts w:ascii="Times New Roman" w:eastAsia="Times New Roman" w:hAnsi="Times New Roman" w:cs="Times New Roman"/>
                <w:b/>
                <w:sz w:val="20"/>
                <w:szCs w:val="20"/>
              </w:rPr>
              <w:t xml:space="preserve"> </w:t>
            </w:r>
            <w:r w:rsidRPr="00FD48F5">
              <w:rPr>
                <w:rFonts w:ascii="Times New Roman" w:eastAsia="Times New Roman" w:hAnsi="Times New Roman" w:cs="Times New Roman"/>
                <w:b/>
                <w:sz w:val="20"/>
                <w:szCs w:val="20"/>
              </w:rPr>
              <w:t>czasu</w:t>
            </w:r>
            <w:r w:rsidR="00711AEC">
              <w:rPr>
                <w:rFonts w:ascii="Times New Roman" w:eastAsia="Times New Roman" w:hAnsi="Times New Roman" w:cs="Times New Roman"/>
                <w:b/>
                <w:sz w:val="20"/>
                <w:szCs w:val="20"/>
              </w:rPr>
              <w:t xml:space="preserve"> </w:t>
            </w:r>
            <w:r w:rsidRPr="00FD48F5">
              <w:rPr>
                <w:rFonts w:ascii="Times New Roman" w:eastAsia="Times New Roman" w:hAnsi="Times New Roman" w:cs="Times New Roman"/>
                <w:b/>
                <w:sz w:val="20"/>
                <w:szCs w:val="20"/>
              </w:rPr>
              <w:t>leczenia</w:t>
            </w:r>
            <w:r w:rsidR="00711AEC">
              <w:rPr>
                <w:rFonts w:ascii="Times New Roman" w:eastAsia="Times New Roman" w:hAnsi="Times New Roman" w:cs="Times New Roman"/>
                <w:b/>
                <w:sz w:val="20"/>
                <w:szCs w:val="20"/>
              </w:rPr>
              <w:t xml:space="preserve"> </w:t>
            </w:r>
            <w:r w:rsidRPr="00FD48F5">
              <w:rPr>
                <w:rFonts w:ascii="Times New Roman" w:eastAsia="Times New Roman" w:hAnsi="Times New Roman" w:cs="Times New Roman"/>
                <w:b/>
                <w:sz w:val="20"/>
                <w:szCs w:val="20"/>
              </w:rPr>
              <w:t>w</w:t>
            </w:r>
            <w:r w:rsidR="00711AEC">
              <w:rPr>
                <w:rFonts w:ascii="Times New Roman" w:eastAsia="Times New Roman" w:hAnsi="Times New Roman" w:cs="Times New Roman"/>
                <w:b/>
                <w:sz w:val="20"/>
                <w:szCs w:val="20"/>
              </w:rPr>
              <w:t xml:space="preserve"> </w:t>
            </w:r>
            <w:r w:rsidRPr="00FD48F5">
              <w:rPr>
                <w:rFonts w:ascii="Times New Roman" w:eastAsia="Times New Roman" w:hAnsi="Times New Roman" w:cs="Times New Roman"/>
                <w:b/>
                <w:sz w:val="20"/>
                <w:szCs w:val="20"/>
              </w:rPr>
              <w:t>programie</w:t>
            </w:r>
          </w:p>
          <w:p w14:paraId="4739DEB2" w14:textId="4EC48C07" w:rsidR="009A655D" w:rsidRPr="00B72F8D" w:rsidRDefault="009A655D" w:rsidP="00B72F8D">
            <w:pPr>
              <w:spacing w:after="60"/>
              <w:ind w:right="87"/>
              <w:jc w:val="both"/>
              <w:rPr>
                <w:rFonts w:ascii="Times New Roman" w:eastAsia="Times New Roman" w:hAnsi="Times New Roman" w:cs="Times New Roman"/>
                <w:sz w:val="20"/>
                <w:szCs w:val="20"/>
              </w:rPr>
            </w:pPr>
            <w:r w:rsidRPr="00B72F8D">
              <w:rPr>
                <w:rFonts w:ascii="Times New Roman" w:eastAsia="Times New Roman" w:hAnsi="Times New Roman" w:cs="Times New Roman"/>
                <w:sz w:val="20"/>
                <w:szCs w:val="20"/>
              </w:rPr>
              <w:t>Leczenie</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trwa</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czasu</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podjęcia</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przez</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lekarza</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prowadzącego</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decyzji</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o</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wyłączeniu</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świadczeniobiorcy</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z</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programu</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zgodnie</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z</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kryteriami</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wyłączenia.</w:t>
            </w:r>
          </w:p>
          <w:p w14:paraId="212011F8" w14:textId="77777777" w:rsidR="00DC08AC" w:rsidRPr="00FD48F5" w:rsidRDefault="00DC08AC" w:rsidP="00FD48F5">
            <w:pPr>
              <w:spacing w:after="60"/>
              <w:ind w:right="87"/>
              <w:jc w:val="both"/>
              <w:rPr>
                <w:rFonts w:ascii="Times New Roman" w:eastAsia="Times New Roman" w:hAnsi="Times New Roman" w:cs="Times New Roman"/>
                <w:sz w:val="20"/>
                <w:szCs w:val="20"/>
              </w:rPr>
            </w:pPr>
          </w:p>
          <w:p w14:paraId="1221228A" w14:textId="67223976" w:rsidR="00543ED8" w:rsidRPr="00FD48F5" w:rsidRDefault="00543ED8" w:rsidP="00B72F8D">
            <w:pPr>
              <w:pStyle w:val="Akapitzlist"/>
              <w:numPr>
                <w:ilvl w:val="0"/>
                <w:numId w:val="1"/>
              </w:numPr>
              <w:spacing w:after="60"/>
              <w:ind w:right="87"/>
              <w:contextualSpacing w:val="0"/>
              <w:jc w:val="both"/>
              <w:rPr>
                <w:rFonts w:ascii="Times New Roman" w:eastAsia="Times New Roman" w:hAnsi="Times New Roman" w:cs="Times New Roman"/>
                <w:b/>
                <w:sz w:val="20"/>
                <w:szCs w:val="20"/>
              </w:rPr>
            </w:pPr>
            <w:r w:rsidRPr="00FD48F5">
              <w:rPr>
                <w:rFonts w:ascii="Times New Roman" w:eastAsia="Times New Roman" w:hAnsi="Times New Roman" w:cs="Times New Roman"/>
                <w:b/>
                <w:sz w:val="20"/>
                <w:szCs w:val="20"/>
              </w:rPr>
              <w:t>Leczenie</w:t>
            </w:r>
            <w:r w:rsidR="00711AEC">
              <w:rPr>
                <w:rFonts w:ascii="Times New Roman" w:eastAsia="Times New Roman" w:hAnsi="Times New Roman" w:cs="Times New Roman"/>
                <w:b/>
                <w:sz w:val="20"/>
                <w:szCs w:val="20"/>
              </w:rPr>
              <w:t xml:space="preserve"> </w:t>
            </w:r>
            <w:proofErr w:type="spellStart"/>
            <w:r w:rsidRPr="00FD48F5">
              <w:rPr>
                <w:rFonts w:ascii="Times New Roman" w:eastAsia="Times New Roman" w:hAnsi="Times New Roman" w:cs="Times New Roman"/>
                <w:b/>
                <w:sz w:val="20"/>
                <w:szCs w:val="20"/>
              </w:rPr>
              <w:t>pegwisomantem</w:t>
            </w:r>
            <w:proofErr w:type="spellEnd"/>
          </w:p>
          <w:p w14:paraId="1C36D3BD" w14:textId="452BFA5A" w:rsidR="000F4BBD" w:rsidRPr="00FD48F5" w:rsidRDefault="000F4BBD" w:rsidP="00B72F8D">
            <w:pPr>
              <w:pStyle w:val="Akapitzlist"/>
              <w:numPr>
                <w:ilvl w:val="1"/>
                <w:numId w:val="1"/>
              </w:numPr>
              <w:spacing w:after="60"/>
              <w:ind w:right="87"/>
              <w:contextualSpacing w:val="0"/>
              <w:jc w:val="both"/>
              <w:rPr>
                <w:rFonts w:ascii="Times New Roman" w:eastAsia="Times New Roman" w:hAnsi="Times New Roman" w:cs="Times New Roman"/>
                <w:b/>
                <w:sz w:val="20"/>
                <w:szCs w:val="20"/>
              </w:rPr>
            </w:pPr>
            <w:r w:rsidRPr="00FD48F5">
              <w:rPr>
                <w:rFonts w:ascii="Times New Roman" w:eastAsia="Times New Roman" w:hAnsi="Times New Roman" w:cs="Times New Roman"/>
                <w:b/>
                <w:sz w:val="20"/>
                <w:szCs w:val="20"/>
              </w:rPr>
              <w:t>Kryteria</w:t>
            </w:r>
            <w:r w:rsidR="00711AEC">
              <w:rPr>
                <w:rFonts w:ascii="Times New Roman" w:eastAsia="Times New Roman" w:hAnsi="Times New Roman" w:cs="Times New Roman"/>
                <w:b/>
                <w:sz w:val="20"/>
                <w:szCs w:val="20"/>
              </w:rPr>
              <w:t xml:space="preserve"> </w:t>
            </w:r>
            <w:r w:rsidRPr="00FD48F5">
              <w:rPr>
                <w:rFonts w:ascii="Times New Roman" w:eastAsia="Times New Roman" w:hAnsi="Times New Roman" w:cs="Times New Roman"/>
                <w:b/>
                <w:sz w:val="20"/>
                <w:szCs w:val="20"/>
              </w:rPr>
              <w:t>kwalifikacji</w:t>
            </w:r>
          </w:p>
          <w:p w14:paraId="7E65B7B3" w14:textId="1FCC03F5" w:rsidR="00543ED8" w:rsidRPr="00FD48F5" w:rsidRDefault="000F4BBD" w:rsidP="00B72F8D">
            <w:pPr>
              <w:pStyle w:val="Akapitzlist"/>
              <w:numPr>
                <w:ilvl w:val="2"/>
                <w:numId w:val="1"/>
              </w:numPr>
              <w:spacing w:after="60"/>
              <w:ind w:right="87"/>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wiek</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powyżej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18</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roku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życia;</w:t>
            </w:r>
          </w:p>
          <w:p w14:paraId="1F453727" w14:textId="45B7B99C" w:rsidR="00543ED8" w:rsidRPr="00FD48F5" w:rsidRDefault="000F4BBD" w:rsidP="00B72F8D">
            <w:pPr>
              <w:pStyle w:val="Akapitzlist"/>
              <w:numPr>
                <w:ilvl w:val="2"/>
                <w:numId w:val="1"/>
              </w:numPr>
              <w:spacing w:after="60"/>
              <w:ind w:right="87"/>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akromegalia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rozpoznana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podstawie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powszechnie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przyjętych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kryteriów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klinicznych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biochemicznych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(stężenie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insulinopodobnego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czynnika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wzrostu-1</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IGF-1</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powyżej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górnej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granicy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normy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dla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płci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wieku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oraz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brak</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zahamowania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wydzielania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hormonu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wzrostu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poniżej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1,0</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μg</w:t>
            </w:r>
            <w:proofErr w:type="spellEnd"/>
            <w:r w:rsidRPr="00FD48F5">
              <w:rPr>
                <w:rFonts w:ascii="Times New Roman" w:eastAsia="Times New Roman" w:hAnsi="Times New Roman" w:cs="Times New Roman"/>
                <w:sz w:val="20"/>
                <w:szCs w:val="20"/>
              </w:rPr>
              <w:t>/l</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t>
            </w:r>
            <w:proofErr w:type="spellStart"/>
            <w:r w:rsidRPr="00FD48F5">
              <w:rPr>
                <w:rFonts w:ascii="Times New Roman" w:eastAsia="Times New Roman" w:hAnsi="Times New Roman" w:cs="Times New Roman"/>
                <w:sz w:val="20"/>
                <w:szCs w:val="20"/>
              </w:rPr>
              <w:t>ng</w:t>
            </w:r>
            <w:proofErr w:type="spellEnd"/>
            <w:r w:rsidRPr="00FD48F5">
              <w:rPr>
                <w:rFonts w:ascii="Times New Roman" w:eastAsia="Times New Roman" w:hAnsi="Times New Roman" w:cs="Times New Roman"/>
                <w:sz w:val="20"/>
                <w:szCs w:val="20"/>
              </w:rPr>
              <w:t>/ml)</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doustnym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teście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obciążenia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glukozą</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(ang.</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oral</w:t>
            </w:r>
            <w:proofErr w:type="spellEnd"/>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glucose</w:t>
            </w:r>
            <w:proofErr w:type="spellEnd"/>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tolerance</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test,</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OGTT);</w:t>
            </w:r>
          </w:p>
          <w:p w14:paraId="3D61A703" w14:textId="11BB8352" w:rsidR="00543ED8" w:rsidRPr="00FD48F5" w:rsidRDefault="000F4BBD" w:rsidP="00B72F8D">
            <w:pPr>
              <w:pStyle w:val="Akapitzlist"/>
              <w:numPr>
                <w:ilvl w:val="2"/>
                <w:numId w:val="1"/>
              </w:numPr>
              <w:spacing w:after="60"/>
              <w:ind w:right="87"/>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niewystarczające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operacyjne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(zabieg</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neurochirurgiczny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usunięcia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guza</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somatotropowego</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przysadki)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radioterapia</w:t>
            </w:r>
            <w:r w:rsidR="007B6CB2" w:rsidRPr="00FD48F5">
              <w:rPr>
                <w:rFonts w:ascii="Times New Roman" w:eastAsia="Times New Roman" w:hAnsi="Times New Roman" w:cs="Times New Roman"/>
                <w:sz w:val="20"/>
                <w:szCs w:val="20"/>
              </w:rPr>
              <w:t>,</w:t>
            </w:r>
            <w:r w:rsidR="00711AEC">
              <w:rPr>
                <w:rFonts w:ascii="Times New Roman" w:eastAsia="Times New Roman" w:hAnsi="Times New Roman" w:cs="Times New Roman"/>
                <w:sz w:val="20"/>
                <w:szCs w:val="20"/>
              </w:rPr>
              <w:t xml:space="preserve"> </w:t>
            </w:r>
            <w:r w:rsidR="007B6CB2" w:rsidRPr="00FD48F5">
              <w:rPr>
                <w:rFonts w:ascii="Times New Roman" w:eastAsia="Times New Roman" w:hAnsi="Times New Roman" w:cs="Times New Roman"/>
                <w:sz w:val="20"/>
                <w:szCs w:val="20"/>
              </w:rPr>
              <w:t>które</w:t>
            </w:r>
            <w:r w:rsidR="00711AEC">
              <w:rPr>
                <w:rFonts w:ascii="Times New Roman" w:eastAsia="Times New Roman" w:hAnsi="Times New Roman" w:cs="Times New Roman"/>
                <w:sz w:val="20"/>
                <w:szCs w:val="20"/>
              </w:rPr>
              <w:t xml:space="preserve"> </w:t>
            </w:r>
            <w:r w:rsidR="007B6CB2" w:rsidRPr="00FD48F5">
              <w:rPr>
                <w:rFonts w:ascii="Times New Roman" w:eastAsia="Times New Roman" w:hAnsi="Times New Roman" w:cs="Times New Roman"/>
                <w:sz w:val="20"/>
                <w:szCs w:val="20"/>
              </w:rPr>
              <w:t>nie</w:t>
            </w:r>
            <w:r w:rsidR="00711AEC">
              <w:rPr>
                <w:rFonts w:ascii="Times New Roman" w:eastAsia="Times New Roman" w:hAnsi="Times New Roman" w:cs="Times New Roman"/>
                <w:sz w:val="20"/>
                <w:szCs w:val="20"/>
              </w:rPr>
              <w:t xml:space="preserve"> </w:t>
            </w:r>
            <w:r w:rsidR="007B6CB2" w:rsidRPr="00FD48F5">
              <w:rPr>
                <w:rFonts w:ascii="Times New Roman" w:eastAsia="Times New Roman" w:hAnsi="Times New Roman" w:cs="Times New Roman"/>
                <w:sz w:val="20"/>
                <w:szCs w:val="20"/>
              </w:rPr>
              <w:t>doprowadziły</w:t>
            </w:r>
            <w:r w:rsidR="00711AEC">
              <w:rPr>
                <w:rFonts w:ascii="Times New Roman" w:eastAsia="Times New Roman" w:hAnsi="Times New Roman" w:cs="Times New Roman"/>
                <w:sz w:val="20"/>
                <w:szCs w:val="20"/>
              </w:rPr>
              <w:t xml:space="preserve"> </w:t>
            </w:r>
            <w:r w:rsidR="007B6CB2" w:rsidRPr="00FD48F5">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007B6CB2" w:rsidRPr="00FD48F5">
              <w:rPr>
                <w:rFonts w:ascii="Times New Roman" w:eastAsia="Times New Roman" w:hAnsi="Times New Roman" w:cs="Times New Roman"/>
                <w:sz w:val="20"/>
                <w:szCs w:val="20"/>
              </w:rPr>
              <w:t>normalizacji</w:t>
            </w:r>
            <w:r w:rsidR="00711AEC">
              <w:rPr>
                <w:rFonts w:ascii="Times New Roman" w:eastAsia="Times New Roman" w:hAnsi="Times New Roman" w:cs="Times New Roman"/>
                <w:sz w:val="20"/>
                <w:szCs w:val="20"/>
              </w:rPr>
              <w:t xml:space="preserve"> </w:t>
            </w:r>
            <w:r w:rsidR="007B6CB2" w:rsidRPr="00FD48F5">
              <w:rPr>
                <w:rFonts w:ascii="Times New Roman" w:eastAsia="Times New Roman" w:hAnsi="Times New Roman" w:cs="Times New Roman"/>
                <w:sz w:val="20"/>
                <w:szCs w:val="20"/>
              </w:rPr>
              <w:t>stężenia</w:t>
            </w:r>
            <w:r w:rsidR="00711AEC">
              <w:rPr>
                <w:rFonts w:ascii="Times New Roman" w:eastAsia="Times New Roman" w:hAnsi="Times New Roman" w:cs="Times New Roman"/>
                <w:sz w:val="20"/>
                <w:szCs w:val="20"/>
              </w:rPr>
              <w:t xml:space="preserve"> </w:t>
            </w:r>
            <w:r w:rsidR="007B6CB2" w:rsidRPr="00FD48F5">
              <w:rPr>
                <w:rFonts w:ascii="Times New Roman" w:eastAsia="Times New Roman" w:hAnsi="Times New Roman" w:cs="Times New Roman"/>
                <w:sz w:val="20"/>
                <w:szCs w:val="20"/>
              </w:rPr>
              <w:t>GH</w:t>
            </w:r>
            <w:r w:rsidR="00711AEC">
              <w:rPr>
                <w:rFonts w:ascii="Times New Roman" w:eastAsia="Times New Roman" w:hAnsi="Times New Roman" w:cs="Times New Roman"/>
                <w:sz w:val="20"/>
                <w:szCs w:val="20"/>
              </w:rPr>
              <w:t xml:space="preserve"> </w:t>
            </w:r>
            <w:r w:rsidR="007B6CB2"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007B6CB2" w:rsidRPr="00FD48F5">
              <w:rPr>
                <w:rFonts w:ascii="Times New Roman" w:eastAsia="Times New Roman" w:hAnsi="Times New Roman" w:cs="Times New Roman"/>
                <w:sz w:val="20"/>
                <w:szCs w:val="20"/>
              </w:rPr>
              <w:t>doustnym</w:t>
            </w:r>
            <w:r w:rsidR="00711AEC">
              <w:rPr>
                <w:rFonts w:ascii="Times New Roman" w:eastAsia="Times New Roman" w:hAnsi="Times New Roman" w:cs="Times New Roman"/>
                <w:sz w:val="20"/>
                <w:szCs w:val="20"/>
              </w:rPr>
              <w:t xml:space="preserve"> </w:t>
            </w:r>
            <w:r w:rsidR="007B6CB2" w:rsidRPr="00FD48F5">
              <w:rPr>
                <w:rFonts w:ascii="Times New Roman" w:eastAsia="Times New Roman" w:hAnsi="Times New Roman" w:cs="Times New Roman"/>
                <w:sz w:val="20"/>
                <w:szCs w:val="20"/>
              </w:rPr>
              <w:t>teście</w:t>
            </w:r>
            <w:r w:rsidR="00711AEC">
              <w:rPr>
                <w:rFonts w:ascii="Times New Roman" w:eastAsia="Times New Roman" w:hAnsi="Times New Roman" w:cs="Times New Roman"/>
                <w:sz w:val="20"/>
                <w:szCs w:val="20"/>
              </w:rPr>
              <w:t xml:space="preserve"> </w:t>
            </w:r>
            <w:r w:rsidR="007B6CB2" w:rsidRPr="00FD48F5">
              <w:rPr>
                <w:rFonts w:ascii="Times New Roman" w:eastAsia="Times New Roman" w:hAnsi="Times New Roman" w:cs="Times New Roman"/>
                <w:sz w:val="20"/>
                <w:szCs w:val="20"/>
              </w:rPr>
              <w:t>obciążenia</w:t>
            </w:r>
            <w:r w:rsidR="00711AEC">
              <w:rPr>
                <w:rFonts w:ascii="Times New Roman" w:eastAsia="Times New Roman" w:hAnsi="Times New Roman" w:cs="Times New Roman"/>
                <w:sz w:val="20"/>
                <w:szCs w:val="20"/>
              </w:rPr>
              <w:t xml:space="preserve"> </w:t>
            </w:r>
            <w:r w:rsidR="007B6CB2" w:rsidRPr="00FD48F5">
              <w:rPr>
                <w:rFonts w:ascii="Times New Roman" w:eastAsia="Times New Roman" w:hAnsi="Times New Roman" w:cs="Times New Roman"/>
                <w:sz w:val="20"/>
                <w:szCs w:val="20"/>
              </w:rPr>
              <w:t>glukozą</w:t>
            </w:r>
            <w:r w:rsidR="00711AEC">
              <w:rPr>
                <w:rFonts w:ascii="Times New Roman" w:eastAsia="Times New Roman" w:hAnsi="Times New Roman" w:cs="Times New Roman"/>
                <w:sz w:val="20"/>
                <w:szCs w:val="20"/>
              </w:rPr>
              <w:t xml:space="preserve"> </w:t>
            </w:r>
            <w:r w:rsidR="007B6CB2" w:rsidRPr="00FD48F5">
              <w:rPr>
                <w:rFonts w:ascii="Times New Roman" w:eastAsia="Times New Roman" w:hAnsi="Times New Roman" w:cs="Times New Roman"/>
                <w:sz w:val="20"/>
                <w:szCs w:val="20"/>
              </w:rPr>
              <w:t>OGTT</w:t>
            </w:r>
            <w:r w:rsidR="00711AEC">
              <w:rPr>
                <w:rFonts w:ascii="Times New Roman" w:eastAsia="Times New Roman" w:hAnsi="Times New Roman" w:cs="Times New Roman"/>
                <w:sz w:val="20"/>
                <w:szCs w:val="20"/>
              </w:rPr>
              <w:t xml:space="preserve"> </w:t>
            </w:r>
            <w:r w:rsidR="007B6CB2"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007B6CB2"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007B6CB2" w:rsidRPr="00FD48F5">
              <w:rPr>
                <w:rFonts w:ascii="Times New Roman" w:eastAsia="Times New Roman" w:hAnsi="Times New Roman" w:cs="Times New Roman"/>
                <w:sz w:val="20"/>
                <w:szCs w:val="20"/>
              </w:rPr>
              <w:t>profilu</w:t>
            </w:r>
            <w:r w:rsidR="00711AEC">
              <w:rPr>
                <w:rFonts w:ascii="Times New Roman" w:eastAsia="Times New Roman" w:hAnsi="Times New Roman" w:cs="Times New Roman"/>
                <w:sz w:val="20"/>
                <w:szCs w:val="20"/>
              </w:rPr>
              <w:t xml:space="preserve"> </w:t>
            </w:r>
            <w:r w:rsidR="007B6CB2" w:rsidRPr="00FD48F5">
              <w:rPr>
                <w:rFonts w:ascii="Times New Roman" w:eastAsia="Times New Roman" w:hAnsi="Times New Roman" w:cs="Times New Roman"/>
                <w:sz w:val="20"/>
                <w:szCs w:val="20"/>
              </w:rPr>
              <w:t>GH)</w:t>
            </w:r>
            <w:r w:rsidR="00711AEC">
              <w:rPr>
                <w:rFonts w:ascii="Times New Roman" w:eastAsia="Times New Roman" w:hAnsi="Times New Roman" w:cs="Times New Roman"/>
                <w:sz w:val="20"/>
                <w:szCs w:val="20"/>
              </w:rPr>
              <w:t xml:space="preserve"> </w:t>
            </w:r>
            <w:r w:rsidR="007B6CB2" w:rsidRPr="00FD48F5">
              <w:rPr>
                <w:rFonts w:ascii="Times New Roman" w:eastAsia="Times New Roman" w:hAnsi="Times New Roman" w:cs="Times New Roman"/>
                <w:sz w:val="20"/>
                <w:szCs w:val="20"/>
              </w:rPr>
              <w:t>oraz</w:t>
            </w:r>
            <w:r w:rsidR="00711AEC">
              <w:rPr>
                <w:rFonts w:ascii="Times New Roman" w:eastAsia="Times New Roman" w:hAnsi="Times New Roman" w:cs="Times New Roman"/>
                <w:sz w:val="20"/>
                <w:szCs w:val="20"/>
              </w:rPr>
              <w:t xml:space="preserve"> </w:t>
            </w:r>
            <w:r w:rsidR="007B6CB2" w:rsidRPr="00FD48F5">
              <w:rPr>
                <w:rFonts w:ascii="Times New Roman" w:eastAsia="Times New Roman" w:hAnsi="Times New Roman" w:cs="Times New Roman"/>
                <w:sz w:val="20"/>
                <w:szCs w:val="20"/>
              </w:rPr>
              <w:t>stężenia</w:t>
            </w:r>
            <w:r w:rsidR="00711AEC">
              <w:rPr>
                <w:rFonts w:ascii="Times New Roman" w:eastAsia="Times New Roman" w:hAnsi="Times New Roman" w:cs="Times New Roman"/>
                <w:sz w:val="20"/>
                <w:szCs w:val="20"/>
              </w:rPr>
              <w:t xml:space="preserve"> </w:t>
            </w:r>
            <w:r w:rsidR="007B6CB2" w:rsidRPr="00FD48F5">
              <w:rPr>
                <w:rFonts w:ascii="Times New Roman" w:eastAsia="Times New Roman" w:hAnsi="Times New Roman" w:cs="Times New Roman"/>
                <w:sz w:val="20"/>
                <w:szCs w:val="20"/>
              </w:rPr>
              <w:t>IGF-1</w:t>
            </w:r>
            <w:r w:rsidR="00711AEC">
              <w:rPr>
                <w:rFonts w:ascii="Times New Roman" w:eastAsia="Times New Roman" w:hAnsi="Times New Roman" w:cs="Times New Roman"/>
                <w:sz w:val="20"/>
                <w:szCs w:val="20"/>
              </w:rPr>
              <w:t xml:space="preserve"> </w:t>
            </w:r>
            <w:r w:rsidR="007B6CB2" w:rsidRPr="00FD48F5">
              <w:rPr>
                <w:rFonts w:ascii="Times New Roman" w:eastAsia="Times New Roman" w:hAnsi="Times New Roman" w:cs="Times New Roman"/>
                <w:sz w:val="20"/>
                <w:szCs w:val="20"/>
              </w:rPr>
              <w:t>prawidłowego</w:t>
            </w:r>
            <w:r w:rsidR="00711AEC">
              <w:rPr>
                <w:rFonts w:ascii="Times New Roman" w:eastAsia="Times New Roman" w:hAnsi="Times New Roman" w:cs="Times New Roman"/>
                <w:sz w:val="20"/>
                <w:szCs w:val="20"/>
              </w:rPr>
              <w:t xml:space="preserve"> </w:t>
            </w:r>
            <w:r w:rsidR="007B6CB2" w:rsidRPr="00FD48F5">
              <w:rPr>
                <w:rFonts w:ascii="Times New Roman" w:eastAsia="Times New Roman" w:hAnsi="Times New Roman" w:cs="Times New Roman"/>
                <w:sz w:val="20"/>
                <w:szCs w:val="20"/>
              </w:rPr>
              <w:t>dla</w:t>
            </w:r>
            <w:r w:rsidR="00711AEC">
              <w:rPr>
                <w:rFonts w:ascii="Times New Roman" w:eastAsia="Times New Roman" w:hAnsi="Times New Roman" w:cs="Times New Roman"/>
                <w:sz w:val="20"/>
                <w:szCs w:val="20"/>
              </w:rPr>
              <w:t xml:space="preserve"> </w:t>
            </w:r>
            <w:r w:rsidR="007B6CB2" w:rsidRPr="00FD48F5">
              <w:rPr>
                <w:rFonts w:ascii="Times New Roman" w:eastAsia="Times New Roman" w:hAnsi="Times New Roman" w:cs="Times New Roman"/>
                <w:sz w:val="20"/>
                <w:szCs w:val="20"/>
              </w:rPr>
              <w:t>płci</w:t>
            </w:r>
            <w:r w:rsidR="00711AEC">
              <w:rPr>
                <w:rFonts w:ascii="Times New Roman" w:eastAsia="Times New Roman" w:hAnsi="Times New Roman" w:cs="Times New Roman"/>
                <w:sz w:val="20"/>
                <w:szCs w:val="20"/>
              </w:rPr>
              <w:t xml:space="preserve"> </w:t>
            </w:r>
            <w:r w:rsidR="007B6CB2"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007B6CB2" w:rsidRPr="00FD48F5">
              <w:rPr>
                <w:rFonts w:ascii="Times New Roman" w:eastAsia="Times New Roman" w:hAnsi="Times New Roman" w:cs="Times New Roman"/>
                <w:sz w:val="20"/>
                <w:szCs w:val="20"/>
              </w:rPr>
              <w:t>wieku</w:t>
            </w:r>
            <w:r w:rsidRPr="00FD48F5">
              <w:rPr>
                <w:rFonts w:ascii="Times New Roman" w:eastAsia="Times New Roman" w:hAnsi="Times New Roman" w:cs="Times New Roman"/>
                <w:sz w:val="20"/>
                <w:szCs w:val="20"/>
              </w:rPr>
              <w:t>,</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osiągnięcie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biochemicznej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kontroli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(normalizacji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IGF-1,</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akromegalii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przynajmniej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6-cio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miesięcznym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okresie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uzupełniającego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analo</w:t>
            </w:r>
            <w:r w:rsidR="00ED6613" w:rsidRPr="00FD48F5">
              <w:rPr>
                <w:rFonts w:ascii="Times New Roman" w:eastAsia="Times New Roman" w:hAnsi="Times New Roman" w:cs="Times New Roman"/>
                <w:sz w:val="20"/>
                <w:szCs w:val="20"/>
              </w:rPr>
              <w:t>gami</w:t>
            </w:r>
            <w:r w:rsidR="00711AEC">
              <w:rPr>
                <w:rFonts w:ascii="Times New Roman" w:eastAsia="Times New Roman" w:hAnsi="Times New Roman" w:cs="Times New Roman"/>
                <w:sz w:val="20"/>
                <w:szCs w:val="20"/>
              </w:rPr>
              <w:t xml:space="preserve"> </w:t>
            </w:r>
            <w:proofErr w:type="spellStart"/>
            <w:r w:rsidR="00ED6613" w:rsidRPr="00FD48F5">
              <w:rPr>
                <w:rFonts w:ascii="Times New Roman" w:eastAsia="Times New Roman" w:hAnsi="Times New Roman" w:cs="Times New Roman"/>
                <w:sz w:val="20"/>
                <w:szCs w:val="20"/>
              </w:rPr>
              <w:t>somatostatyny</w:t>
            </w:r>
            <w:proofErr w:type="spellEnd"/>
            <w:r w:rsidR="00711AEC">
              <w:rPr>
                <w:rFonts w:ascii="Times New Roman" w:eastAsia="Times New Roman" w:hAnsi="Times New Roman" w:cs="Times New Roman"/>
                <w:sz w:val="20"/>
                <w:szCs w:val="20"/>
              </w:rPr>
              <w:t xml:space="preserve"> </w:t>
            </w:r>
            <w:r w:rsidR="00ED6613"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00D7499A" w:rsidRPr="00FD48F5">
              <w:rPr>
                <w:rFonts w:ascii="Times New Roman" w:eastAsia="Times New Roman" w:hAnsi="Times New Roman" w:cs="Times New Roman"/>
                <w:sz w:val="20"/>
                <w:szCs w:val="20"/>
              </w:rPr>
              <w:t>generacji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przedłużonym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działaniu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tj.</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oktreotydem</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dawce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≥30</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mg</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lanreotydem</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dawce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120</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mg,</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podawanymi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28</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dni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nietolerowanie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takiej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terapii;</w:t>
            </w:r>
          </w:p>
          <w:p w14:paraId="665101BE" w14:textId="199AF7C7" w:rsidR="00543ED8" w:rsidRPr="00FD48F5" w:rsidRDefault="000F4BBD" w:rsidP="00B72F8D">
            <w:pPr>
              <w:pStyle w:val="Akapitzlist"/>
              <w:numPr>
                <w:ilvl w:val="2"/>
                <w:numId w:val="1"/>
              </w:numPr>
              <w:spacing w:after="60"/>
              <w:ind w:right="87"/>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dyskwalifikacja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ponownego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operacyjnego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radioterapii</w:t>
            </w:r>
            <w:r w:rsidR="00711AEC">
              <w:rPr>
                <w:rFonts w:ascii="Times New Roman" w:eastAsia="Times New Roman" w:hAnsi="Times New Roman" w:cs="Times New Roman"/>
                <w:sz w:val="20"/>
                <w:szCs w:val="20"/>
              </w:rPr>
              <w:t xml:space="preserve"> </w:t>
            </w:r>
            <w:r w:rsidR="006675A9" w:rsidRPr="00FD48F5">
              <w:rPr>
                <w:rFonts w:ascii="Times New Roman" w:eastAsia="Times New Roman" w:hAnsi="Times New Roman" w:cs="Times New Roman"/>
                <w:sz w:val="20"/>
                <w:szCs w:val="20"/>
              </w:rPr>
              <w:t>(ponowna</w:t>
            </w:r>
            <w:r w:rsidR="00711AEC">
              <w:rPr>
                <w:rFonts w:ascii="Times New Roman" w:eastAsia="Times New Roman" w:hAnsi="Times New Roman" w:cs="Times New Roman"/>
                <w:sz w:val="20"/>
                <w:szCs w:val="20"/>
              </w:rPr>
              <w:t xml:space="preserve"> </w:t>
            </w:r>
            <w:r w:rsidR="006675A9" w:rsidRPr="00FD48F5">
              <w:rPr>
                <w:rFonts w:ascii="Times New Roman" w:eastAsia="Times New Roman" w:hAnsi="Times New Roman" w:cs="Times New Roman"/>
                <w:sz w:val="20"/>
                <w:szCs w:val="20"/>
              </w:rPr>
              <w:t>operacja</w:t>
            </w:r>
            <w:r w:rsidR="00711AEC">
              <w:rPr>
                <w:rFonts w:ascii="Times New Roman" w:eastAsia="Times New Roman" w:hAnsi="Times New Roman" w:cs="Times New Roman"/>
                <w:sz w:val="20"/>
                <w:szCs w:val="20"/>
              </w:rPr>
              <w:t xml:space="preserve"> </w:t>
            </w:r>
            <w:r w:rsidR="006675A9"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006675A9" w:rsidRPr="00FD48F5">
              <w:rPr>
                <w:rFonts w:ascii="Times New Roman" w:eastAsia="Times New Roman" w:hAnsi="Times New Roman" w:cs="Times New Roman"/>
                <w:sz w:val="20"/>
                <w:szCs w:val="20"/>
              </w:rPr>
              <w:t>radioterapia</w:t>
            </w:r>
            <w:r w:rsidR="00711AEC">
              <w:rPr>
                <w:rFonts w:ascii="Times New Roman" w:eastAsia="Times New Roman" w:hAnsi="Times New Roman" w:cs="Times New Roman"/>
                <w:sz w:val="20"/>
                <w:szCs w:val="20"/>
              </w:rPr>
              <w:t xml:space="preserve"> </w:t>
            </w:r>
            <w:r w:rsidR="006675A9"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006675A9" w:rsidRPr="00FD48F5">
              <w:rPr>
                <w:rFonts w:ascii="Times New Roman" w:eastAsia="Times New Roman" w:hAnsi="Times New Roman" w:cs="Times New Roman"/>
                <w:sz w:val="20"/>
                <w:szCs w:val="20"/>
              </w:rPr>
              <w:t>opinii</w:t>
            </w:r>
            <w:r w:rsidR="00711AEC">
              <w:rPr>
                <w:rFonts w:ascii="Times New Roman" w:eastAsia="Times New Roman" w:hAnsi="Times New Roman" w:cs="Times New Roman"/>
                <w:sz w:val="20"/>
                <w:szCs w:val="20"/>
              </w:rPr>
              <w:t xml:space="preserve"> </w:t>
            </w:r>
            <w:r w:rsidR="006675A9" w:rsidRPr="00FD48F5">
              <w:rPr>
                <w:rFonts w:ascii="Times New Roman" w:eastAsia="Times New Roman" w:hAnsi="Times New Roman" w:cs="Times New Roman"/>
                <w:sz w:val="20"/>
                <w:szCs w:val="20"/>
              </w:rPr>
              <w:t>specjalisty</w:t>
            </w:r>
            <w:r w:rsidR="00711AEC">
              <w:rPr>
                <w:rFonts w:ascii="Times New Roman" w:eastAsia="Times New Roman" w:hAnsi="Times New Roman" w:cs="Times New Roman"/>
                <w:sz w:val="20"/>
                <w:szCs w:val="20"/>
              </w:rPr>
              <w:t xml:space="preserve"> </w:t>
            </w:r>
            <w:r w:rsidR="006675A9" w:rsidRPr="00FD48F5">
              <w:rPr>
                <w:rFonts w:ascii="Times New Roman" w:eastAsia="Times New Roman" w:hAnsi="Times New Roman" w:cs="Times New Roman"/>
                <w:sz w:val="20"/>
                <w:szCs w:val="20"/>
              </w:rPr>
              <w:t>neurochirurga</w:t>
            </w:r>
            <w:r w:rsidR="00711AEC">
              <w:rPr>
                <w:rFonts w:ascii="Times New Roman" w:eastAsia="Times New Roman" w:hAnsi="Times New Roman" w:cs="Times New Roman"/>
                <w:sz w:val="20"/>
                <w:szCs w:val="20"/>
              </w:rPr>
              <w:t xml:space="preserve"> </w:t>
            </w:r>
            <w:r w:rsidR="006675A9" w:rsidRPr="00FD48F5">
              <w:rPr>
                <w:rFonts w:ascii="Times New Roman" w:eastAsia="Times New Roman" w:hAnsi="Times New Roman" w:cs="Times New Roman"/>
                <w:sz w:val="20"/>
                <w:szCs w:val="20"/>
              </w:rPr>
              <w:t>nie</w:t>
            </w:r>
            <w:r w:rsidR="00711AEC">
              <w:rPr>
                <w:rFonts w:ascii="Times New Roman" w:eastAsia="Times New Roman" w:hAnsi="Times New Roman" w:cs="Times New Roman"/>
                <w:sz w:val="20"/>
                <w:szCs w:val="20"/>
              </w:rPr>
              <w:t xml:space="preserve"> </w:t>
            </w:r>
            <w:r w:rsidR="006675A9" w:rsidRPr="00FD48F5">
              <w:rPr>
                <w:rFonts w:ascii="Times New Roman" w:eastAsia="Times New Roman" w:hAnsi="Times New Roman" w:cs="Times New Roman"/>
                <w:sz w:val="20"/>
                <w:szCs w:val="20"/>
              </w:rPr>
              <w:t>poprawi</w:t>
            </w:r>
            <w:r w:rsidR="00711AEC">
              <w:rPr>
                <w:rFonts w:ascii="Times New Roman" w:eastAsia="Times New Roman" w:hAnsi="Times New Roman" w:cs="Times New Roman"/>
                <w:sz w:val="20"/>
                <w:szCs w:val="20"/>
              </w:rPr>
              <w:t xml:space="preserve"> </w:t>
            </w:r>
            <w:r w:rsidR="006675A9" w:rsidRPr="00FD48F5">
              <w:rPr>
                <w:rFonts w:ascii="Times New Roman" w:eastAsia="Times New Roman" w:hAnsi="Times New Roman" w:cs="Times New Roman"/>
                <w:sz w:val="20"/>
                <w:szCs w:val="20"/>
              </w:rPr>
              <w:t>kontroli</w:t>
            </w:r>
            <w:r w:rsidR="00711AEC">
              <w:rPr>
                <w:rFonts w:ascii="Times New Roman" w:eastAsia="Times New Roman" w:hAnsi="Times New Roman" w:cs="Times New Roman"/>
                <w:sz w:val="20"/>
                <w:szCs w:val="20"/>
              </w:rPr>
              <w:t xml:space="preserve"> </w:t>
            </w:r>
            <w:r w:rsidR="006675A9" w:rsidRPr="00FD48F5">
              <w:rPr>
                <w:rFonts w:ascii="Times New Roman" w:eastAsia="Times New Roman" w:hAnsi="Times New Roman" w:cs="Times New Roman"/>
                <w:sz w:val="20"/>
                <w:szCs w:val="20"/>
              </w:rPr>
              <w:t>choroby</w:t>
            </w:r>
            <w:r w:rsidR="00711AEC">
              <w:rPr>
                <w:rFonts w:ascii="Times New Roman" w:eastAsia="Times New Roman" w:hAnsi="Times New Roman" w:cs="Times New Roman"/>
                <w:sz w:val="20"/>
                <w:szCs w:val="20"/>
              </w:rPr>
              <w:t xml:space="preserve"> </w:t>
            </w:r>
            <w:r w:rsidR="006675A9"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006675A9" w:rsidRPr="00FD48F5">
              <w:rPr>
                <w:rFonts w:ascii="Times New Roman" w:eastAsia="Times New Roman" w:hAnsi="Times New Roman" w:cs="Times New Roman"/>
                <w:sz w:val="20"/>
                <w:szCs w:val="20"/>
              </w:rPr>
              <w:t>leczenie</w:t>
            </w:r>
            <w:r w:rsidR="00711AEC">
              <w:rPr>
                <w:rFonts w:ascii="Times New Roman" w:eastAsia="Times New Roman" w:hAnsi="Times New Roman" w:cs="Times New Roman"/>
                <w:sz w:val="20"/>
                <w:szCs w:val="20"/>
              </w:rPr>
              <w:t xml:space="preserve"> </w:t>
            </w:r>
            <w:r w:rsidR="006675A9" w:rsidRPr="00FD48F5">
              <w:rPr>
                <w:rFonts w:ascii="Times New Roman" w:eastAsia="Times New Roman" w:hAnsi="Times New Roman" w:cs="Times New Roman"/>
                <w:sz w:val="20"/>
                <w:szCs w:val="20"/>
              </w:rPr>
              <w:t>chirurgiczne</w:t>
            </w:r>
            <w:r w:rsidR="00711AEC">
              <w:rPr>
                <w:rFonts w:ascii="Times New Roman" w:eastAsia="Times New Roman" w:hAnsi="Times New Roman" w:cs="Times New Roman"/>
                <w:sz w:val="20"/>
                <w:szCs w:val="20"/>
              </w:rPr>
              <w:t xml:space="preserve"> </w:t>
            </w:r>
            <w:r w:rsidR="008076DD"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008076DD" w:rsidRPr="00FD48F5">
              <w:rPr>
                <w:rFonts w:ascii="Times New Roman" w:eastAsia="Times New Roman" w:hAnsi="Times New Roman" w:cs="Times New Roman"/>
                <w:sz w:val="20"/>
                <w:szCs w:val="20"/>
              </w:rPr>
              <w:t>radioterapia</w:t>
            </w:r>
            <w:r w:rsidR="00711AEC">
              <w:rPr>
                <w:rFonts w:ascii="Times New Roman" w:eastAsia="Times New Roman" w:hAnsi="Times New Roman" w:cs="Times New Roman"/>
                <w:sz w:val="20"/>
                <w:szCs w:val="20"/>
              </w:rPr>
              <w:t xml:space="preserve"> </w:t>
            </w:r>
            <w:r w:rsidR="006675A9" w:rsidRPr="00FD48F5">
              <w:rPr>
                <w:rFonts w:ascii="Times New Roman" w:eastAsia="Times New Roman" w:hAnsi="Times New Roman" w:cs="Times New Roman"/>
                <w:sz w:val="20"/>
                <w:szCs w:val="20"/>
              </w:rPr>
              <w:t>nie</w:t>
            </w:r>
            <w:r w:rsidR="00711AEC">
              <w:rPr>
                <w:rFonts w:ascii="Times New Roman" w:eastAsia="Times New Roman" w:hAnsi="Times New Roman" w:cs="Times New Roman"/>
                <w:sz w:val="20"/>
                <w:szCs w:val="20"/>
              </w:rPr>
              <w:t xml:space="preserve"> </w:t>
            </w:r>
            <w:r w:rsidR="008076DD" w:rsidRPr="00FD48F5">
              <w:rPr>
                <w:rFonts w:ascii="Times New Roman" w:eastAsia="Times New Roman" w:hAnsi="Times New Roman" w:cs="Times New Roman"/>
                <w:sz w:val="20"/>
                <w:szCs w:val="20"/>
              </w:rPr>
              <w:t>są</w:t>
            </w:r>
            <w:r w:rsidR="00711AEC">
              <w:rPr>
                <w:rFonts w:ascii="Times New Roman" w:eastAsia="Times New Roman" w:hAnsi="Times New Roman" w:cs="Times New Roman"/>
                <w:sz w:val="20"/>
                <w:szCs w:val="20"/>
              </w:rPr>
              <w:t xml:space="preserve"> </w:t>
            </w:r>
            <w:r w:rsidR="008076DD" w:rsidRPr="00FD48F5">
              <w:rPr>
                <w:rFonts w:ascii="Times New Roman" w:eastAsia="Times New Roman" w:hAnsi="Times New Roman" w:cs="Times New Roman"/>
                <w:sz w:val="20"/>
                <w:szCs w:val="20"/>
              </w:rPr>
              <w:t>możliwe</w:t>
            </w:r>
            <w:r w:rsidR="006675A9" w:rsidRPr="00FD48F5">
              <w:rPr>
                <w:rFonts w:ascii="Times New Roman" w:eastAsia="Times New Roman" w:hAnsi="Times New Roman" w:cs="Times New Roman"/>
                <w:sz w:val="20"/>
                <w:szCs w:val="20"/>
              </w:rPr>
              <w:t>)</w:t>
            </w:r>
            <w:r w:rsidRPr="00FD48F5">
              <w:rPr>
                <w:rFonts w:ascii="Times New Roman" w:eastAsia="Times New Roman" w:hAnsi="Times New Roman" w:cs="Times New Roman"/>
                <w:sz w:val="20"/>
                <w:szCs w:val="20"/>
              </w:rPr>
              <w:t>;</w:t>
            </w:r>
          </w:p>
          <w:p w14:paraId="4CBCC631" w14:textId="328609BB" w:rsidR="00543ED8" w:rsidRPr="00FD48F5" w:rsidRDefault="000F4BBD" w:rsidP="00B72F8D">
            <w:pPr>
              <w:pStyle w:val="Akapitzlist"/>
              <w:numPr>
                <w:ilvl w:val="2"/>
                <w:numId w:val="1"/>
              </w:numPr>
              <w:spacing w:after="60"/>
              <w:ind w:right="87"/>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lastRenderedPageBreak/>
              <w:t>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osiągnięcie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biochemicznej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kontroli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(normalizacji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IGF-1,</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akromegalii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przynajmniej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6-cio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miesięcznym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okresie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uzupełniającego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analogami</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somatostatyny</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generacji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przedłużo</w:t>
            </w:r>
            <w:r w:rsidR="00ED6613" w:rsidRPr="00FD48F5">
              <w:rPr>
                <w:rFonts w:ascii="Times New Roman" w:eastAsia="Times New Roman" w:hAnsi="Times New Roman" w:cs="Times New Roman"/>
                <w:sz w:val="20"/>
                <w:szCs w:val="20"/>
              </w:rPr>
              <w:t>nym</w:t>
            </w:r>
            <w:r w:rsidR="00711AEC">
              <w:rPr>
                <w:rFonts w:ascii="Times New Roman" w:eastAsia="Times New Roman" w:hAnsi="Times New Roman" w:cs="Times New Roman"/>
                <w:sz w:val="20"/>
                <w:szCs w:val="20"/>
              </w:rPr>
              <w:t xml:space="preserve"> </w:t>
            </w:r>
            <w:r w:rsidR="00ED6613" w:rsidRPr="00FD48F5">
              <w:rPr>
                <w:rFonts w:ascii="Times New Roman" w:eastAsia="Times New Roman" w:hAnsi="Times New Roman" w:cs="Times New Roman"/>
                <w:sz w:val="20"/>
                <w:szCs w:val="20"/>
              </w:rPr>
              <w:t>działaniu</w:t>
            </w:r>
            <w:r w:rsidR="00711AEC">
              <w:rPr>
                <w:rFonts w:ascii="Times New Roman" w:eastAsia="Times New Roman" w:hAnsi="Times New Roman" w:cs="Times New Roman"/>
                <w:sz w:val="20"/>
                <w:szCs w:val="20"/>
              </w:rPr>
              <w:t xml:space="preserve"> </w:t>
            </w:r>
            <w:r w:rsidR="00ED6613" w:rsidRPr="00FD48F5">
              <w:rPr>
                <w:rFonts w:ascii="Times New Roman" w:eastAsia="Times New Roman" w:hAnsi="Times New Roman" w:cs="Times New Roman"/>
                <w:sz w:val="20"/>
                <w:szCs w:val="20"/>
              </w:rPr>
              <w:t>tj.</w:t>
            </w:r>
            <w:r w:rsidR="00711AEC">
              <w:rPr>
                <w:rFonts w:ascii="Times New Roman" w:eastAsia="Times New Roman" w:hAnsi="Times New Roman" w:cs="Times New Roman"/>
                <w:sz w:val="20"/>
                <w:szCs w:val="20"/>
              </w:rPr>
              <w:t xml:space="preserve"> </w:t>
            </w:r>
            <w:proofErr w:type="spellStart"/>
            <w:r w:rsidR="00ED6613" w:rsidRPr="00FD48F5">
              <w:rPr>
                <w:rFonts w:ascii="Times New Roman" w:eastAsia="Times New Roman" w:hAnsi="Times New Roman" w:cs="Times New Roman"/>
                <w:sz w:val="20"/>
                <w:szCs w:val="20"/>
              </w:rPr>
              <w:t>pasyreotydem</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dawce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60</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mg</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nietolerowanie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takiej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terapii;</w:t>
            </w:r>
          </w:p>
          <w:p w14:paraId="010C1C6C" w14:textId="636E7727" w:rsidR="00543ED8" w:rsidRPr="00FD48F5" w:rsidRDefault="0081116F" w:rsidP="00B72F8D">
            <w:pPr>
              <w:pStyle w:val="Akapitzlist"/>
              <w:numPr>
                <w:ilvl w:val="2"/>
                <w:numId w:val="1"/>
              </w:numPr>
              <w:spacing w:after="60"/>
              <w:ind w:right="87"/>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d</w:t>
            </w:r>
            <w:r w:rsidR="000F4BBD" w:rsidRPr="00FD48F5">
              <w:rPr>
                <w:rFonts w:ascii="Times New Roman" w:eastAsia="Times New Roman" w:hAnsi="Times New Roman" w:cs="Times New Roman"/>
                <w:sz w:val="20"/>
                <w:szCs w:val="20"/>
              </w:rPr>
              <w:t>yskwalifikacja</w:t>
            </w:r>
            <w:r w:rsidR="00711AEC">
              <w:rPr>
                <w:rFonts w:ascii="Times New Roman" w:eastAsia="Times New Roman" w:hAnsi="Times New Roman" w:cs="Times New Roman"/>
                <w:sz w:val="20"/>
                <w:szCs w:val="20"/>
              </w:rPr>
              <w:t xml:space="preserve"> </w:t>
            </w:r>
            <w:r w:rsidR="000F4BBD" w:rsidRPr="00FD48F5">
              <w:rPr>
                <w:rFonts w:ascii="Times New Roman" w:eastAsia="Times New Roman" w:hAnsi="Times New Roman" w:cs="Times New Roman"/>
                <w:sz w:val="20"/>
                <w:szCs w:val="20"/>
              </w:rPr>
              <w:t>z</w:t>
            </w:r>
            <w:r w:rsidR="00711AEC">
              <w:rPr>
                <w:rFonts w:ascii="Times New Roman" w:eastAsia="Times New Roman" w:hAnsi="Times New Roman" w:cs="Times New Roman"/>
                <w:sz w:val="20"/>
                <w:szCs w:val="20"/>
              </w:rPr>
              <w:t xml:space="preserve"> </w:t>
            </w:r>
            <w:r w:rsidR="000F4BBD" w:rsidRPr="00FD48F5">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proofErr w:type="spellStart"/>
            <w:r w:rsidR="000F4BBD" w:rsidRPr="00FD48F5">
              <w:rPr>
                <w:rFonts w:ascii="Times New Roman" w:eastAsia="Times New Roman" w:hAnsi="Times New Roman" w:cs="Times New Roman"/>
                <w:sz w:val="20"/>
                <w:szCs w:val="20"/>
              </w:rPr>
              <w:t>pasyreotydem</w:t>
            </w:r>
            <w:proofErr w:type="spellEnd"/>
            <w:r w:rsidR="00711AEC">
              <w:rPr>
                <w:rFonts w:ascii="Times New Roman" w:eastAsia="Times New Roman" w:hAnsi="Times New Roman" w:cs="Times New Roman"/>
                <w:sz w:val="20"/>
                <w:szCs w:val="20"/>
              </w:rPr>
              <w:t xml:space="preserve"> </w:t>
            </w:r>
            <w:r w:rsidR="000F4BBD" w:rsidRPr="00FD48F5">
              <w:rPr>
                <w:rFonts w:ascii="Times New Roman" w:eastAsia="Times New Roman" w:hAnsi="Times New Roman" w:cs="Times New Roman"/>
                <w:sz w:val="20"/>
                <w:szCs w:val="20"/>
              </w:rPr>
              <w:t>z</w:t>
            </w:r>
            <w:r w:rsidR="00711AEC">
              <w:rPr>
                <w:rFonts w:ascii="Times New Roman" w:eastAsia="Times New Roman" w:hAnsi="Times New Roman" w:cs="Times New Roman"/>
                <w:sz w:val="20"/>
                <w:szCs w:val="20"/>
              </w:rPr>
              <w:t xml:space="preserve"> </w:t>
            </w:r>
            <w:r w:rsidR="000F4BBD" w:rsidRPr="00FD48F5">
              <w:rPr>
                <w:rFonts w:ascii="Times New Roman" w:eastAsia="Times New Roman" w:hAnsi="Times New Roman" w:cs="Times New Roman"/>
                <w:sz w:val="20"/>
                <w:szCs w:val="20"/>
              </w:rPr>
              <w:t>powodu</w:t>
            </w:r>
            <w:r w:rsidR="00711AEC">
              <w:rPr>
                <w:rFonts w:ascii="Times New Roman" w:eastAsia="Times New Roman" w:hAnsi="Times New Roman" w:cs="Times New Roman"/>
                <w:sz w:val="20"/>
                <w:szCs w:val="20"/>
              </w:rPr>
              <w:t xml:space="preserve"> </w:t>
            </w:r>
            <w:r w:rsidR="000F4BBD" w:rsidRPr="00FD48F5">
              <w:rPr>
                <w:rFonts w:ascii="Times New Roman" w:eastAsia="Times New Roman" w:hAnsi="Times New Roman" w:cs="Times New Roman"/>
                <w:sz w:val="20"/>
                <w:szCs w:val="20"/>
              </w:rPr>
              <w:t>niekontrolowanych</w:t>
            </w:r>
            <w:r w:rsidR="00711AEC">
              <w:rPr>
                <w:rFonts w:ascii="Times New Roman" w:eastAsia="Times New Roman" w:hAnsi="Times New Roman" w:cs="Times New Roman"/>
                <w:sz w:val="20"/>
                <w:szCs w:val="20"/>
              </w:rPr>
              <w:t xml:space="preserve"> </w:t>
            </w:r>
            <w:r w:rsidR="000F4BBD" w:rsidRPr="00FD48F5">
              <w:rPr>
                <w:rFonts w:ascii="Times New Roman" w:eastAsia="Times New Roman" w:hAnsi="Times New Roman" w:cs="Times New Roman"/>
                <w:sz w:val="20"/>
                <w:szCs w:val="20"/>
              </w:rPr>
              <w:t>zaburzeń</w:t>
            </w:r>
            <w:r w:rsidR="00711AEC">
              <w:rPr>
                <w:rFonts w:ascii="Times New Roman" w:eastAsia="Times New Roman" w:hAnsi="Times New Roman" w:cs="Times New Roman"/>
                <w:sz w:val="20"/>
                <w:szCs w:val="20"/>
              </w:rPr>
              <w:t xml:space="preserve"> </w:t>
            </w:r>
            <w:r w:rsidR="000F4BBD" w:rsidRPr="00FD48F5">
              <w:rPr>
                <w:rFonts w:ascii="Times New Roman" w:eastAsia="Times New Roman" w:hAnsi="Times New Roman" w:cs="Times New Roman"/>
                <w:sz w:val="20"/>
                <w:szCs w:val="20"/>
              </w:rPr>
              <w:t>gospodarki</w:t>
            </w:r>
            <w:r w:rsidR="00711AEC">
              <w:rPr>
                <w:rFonts w:ascii="Times New Roman" w:eastAsia="Times New Roman" w:hAnsi="Times New Roman" w:cs="Times New Roman"/>
                <w:sz w:val="20"/>
                <w:szCs w:val="20"/>
              </w:rPr>
              <w:t xml:space="preserve"> </w:t>
            </w:r>
            <w:r w:rsidR="000F4BBD" w:rsidRPr="00FD48F5">
              <w:rPr>
                <w:rFonts w:ascii="Times New Roman" w:eastAsia="Times New Roman" w:hAnsi="Times New Roman" w:cs="Times New Roman"/>
                <w:sz w:val="20"/>
                <w:szCs w:val="20"/>
              </w:rPr>
              <w:t>węglowodanowe</w:t>
            </w:r>
            <w:r w:rsidRPr="00FD48F5">
              <w:rPr>
                <w:rFonts w:ascii="Times New Roman" w:eastAsia="Times New Roman" w:hAnsi="Times New Roman" w:cs="Times New Roman"/>
                <w:sz w:val="20"/>
                <w:szCs w:val="20"/>
              </w:rPr>
              <w:t>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(HbA1c</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&gt;</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7%</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(&gt;</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53</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mmol</w:t>
            </w:r>
            <w:proofErr w:type="spellEnd"/>
            <w:r w:rsidRPr="00FD48F5">
              <w:rPr>
                <w:rFonts w:ascii="Times New Roman" w:eastAsia="Times New Roman" w:hAnsi="Times New Roman" w:cs="Times New Roman"/>
                <w:sz w:val="20"/>
                <w:szCs w:val="20"/>
              </w:rPr>
              <w:t>/mol).</w:t>
            </w:r>
          </w:p>
          <w:p w14:paraId="48AB0DD0" w14:textId="3E595DA8" w:rsidR="00543ED8" w:rsidRPr="00B72F8D" w:rsidRDefault="0081116F" w:rsidP="00B72F8D">
            <w:pPr>
              <w:spacing w:after="60"/>
              <w:ind w:right="87"/>
              <w:jc w:val="both"/>
              <w:rPr>
                <w:rFonts w:ascii="Times New Roman" w:eastAsia="Times New Roman" w:hAnsi="Times New Roman" w:cs="Times New Roman"/>
                <w:sz w:val="20"/>
                <w:szCs w:val="20"/>
              </w:rPr>
            </w:pPr>
            <w:r w:rsidRPr="00B72F8D">
              <w:rPr>
                <w:rFonts w:ascii="Times New Roman" w:eastAsia="Times New Roman" w:hAnsi="Times New Roman" w:cs="Times New Roman"/>
                <w:sz w:val="20"/>
                <w:szCs w:val="20"/>
              </w:rPr>
              <w:t>K</w:t>
            </w:r>
            <w:r w:rsidR="000F4BBD" w:rsidRPr="00B72F8D">
              <w:rPr>
                <w:rFonts w:ascii="Times New Roman" w:eastAsia="Times New Roman" w:hAnsi="Times New Roman" w:cs="Times New Roman"/>
                <w:sz w:val="20"/>
                <w:szCs w:val="20"/>
              </w:rPr>
              <w:t>walifikacja</w:t>
            </w:r>
            <w:r w:rsidR="00711AEC">
              <w:rPr>
                <w:rFonts w:ascii="Times New Roman" w:eastAsia="Times New Roman" w:hAnsi="Times New Roman" w:cs="Times New Roman"/>
                <w:sz w:val="20"/>
                <w:szCs w:val="20"/>
              </w:rPr>
              <w:t xml:space="preserve"> </w:t>
            </w:r>
            <w:r w:rsidR="000F4BBD" w:rsidRPr="00B72F8D">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000F4BBD" w:rsidRPr="00B72F8D">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proofErr w:type="spellStart"/>
            <w:r w:rsidR="000F4BBD" w:rsidRPr="00B72F8D">
              <w:rPr>
                <w:rFonts w:ascii="Times New Roman" w:eastAsia="Times New Roman" w:hAnsi="Times New Roman" w:cs="Times New Roman"/>
                <w:sz w:val="20"/>
                <w:szCs w:val="20"/>
              </w:rPr>
              <w:t>pegwisomantem</w:t>
            </w:r>
            <w:proofErr w:type="spellEnd"/>
            <w:r w:rsidR="00711AEC">
              <w:rPr>
                <w:rFonts w:ascii="Times New Roman" w:eastAsia="Times New Roman" w:hAnsi="Times New Roman" w:cs="Times New Roman"/>
                <w:sz w:val="20"/>
                <w:szCs w:val="20"/>
              </w:rPr>
              <w:t xml:space="preserve"> </w:t>
            </w:r>
            <w:r w:rsidR="000F4BBD" w:rsidRPr="00B72F8D">
              <w:rPr>
                <w:rFonts w:ascii="Times New Roman" w:eastAsia="Times New Roman" w:hAnsi="Times New Roman" w:cs="Times New Roman"/>
                <w:sz w:val="20"/>
                <w:szCs w:val="20"/>
              </w:rPr>
              <w:t>wymaga</w:t>
            </w:r>
            <w:r w:rsidR="00711AEC">
              <w:rPr>
                <w:rFonts w:ascii="Times New Roman" w:eastAsia="Times New Roman" w:hAnsi="Times New Roman" w:cs="Times New Roman"/>
                <w:sz w:val="20"/>
                <w:szCs w:val="20"/>
              </w:rPr>
              <w:t xml:space="preserve"> </w:t>
            </w:r>
            <w:r w:rsidR="000F4BBD" w:rsidRPr="00B72F8D">
              <w:rPr>
                <w:rFonts w:ascii="Times New Roman" w:eastAsia="Times New Roman" w:hAnsi="Times New Roman" w:cs="Times New Roman"/>
                <w:sz w:val="20"/>
                <w:szCs w:val="20"/>
              </w:rPr>
              <w:t>spełnienia</w:t>
            </w:r>
            <w:r w:rsidR="00711AEC">
              <w:rPr>
                <w:rFonts w:ascii="Times New Roman" w:eastAsia="Times New Roman" w:hAnsi="Times New Roman" w:cs="Times New Roman"/>
                <w:sz w:val="20"/>
                <w:szCs w:val="20"/>
              </w:rPr>
              <w:t xml:space="preserve"> </w:t>
            </w:r>
            <w:r w:rsidR="000F4BBD" w:rsidRPr="00B72F8D">
              <w:rPr>
                <w:rFonts w:ascii="Times New Roman" w:eastAsia="Times New Roman" w:hAnsi="Times New Roman" w:cs="Times New Roman"/>
                <w:sz w:val="20"/>
                <w:szCs w:val="20"/>
              </w:rPr>
              <w:t>warunków</w:t>
            </w:r>
            <w:r w:rsidR="00711AEC">
              <w:rPr>
                <w:rFonts w:ascii="Times New Roman" w:eastAsia="Times New Roman" w:hAnsi="Times New Roman" w:cs="Times New Roman"/>
                <w:sz w:val="20"/>
                <w:szCs w:val="20"/>
              </w:rPr>
              <w:t xml:space="preserve"> </w:t>
            </w:r>
            <w:r w:rsidR="000F4BBD" w:rsidRPr="00B72F8D">
              <w:rPr>
                <w:rFonts w:ascii="Times New Roman" w:eastAsia="Times New Roman" w:hAnsi="Times New Roman" w:cs="Times New Roman"/>
                <w:sz w:val="20"/>
                <w:szCs w:val="20"/>
              </w:rPr>
              <w:t>1,</w:t>
            </w:r>
            <w:r w:rsidR="00711AEC">
              <w:rPr>
                <w:rFonts w:ascii="Times New Roman" w:eastAsia="Times New Roman" w:hAnsi="Times New Roman" w:cs="Times New Roman"/>
                <w:sz w:val="20"/>
                <w:szCs w:val="20"/>
              </w:rPr>
              <w:t xml:space="preserve"> </w:t>
            </w:r>
            <w:r w:rsidR="000F4BBD" w:rsidRPr="00B72F8D">
              <w:rPr>
                <w:rFonts w:ascii="Times New Roman" w:eastAsia="Times New Roman" w:hAnsi="Times New Roman" w:cs="Times New Roman"/>
                <w:sz w:val="20"/>
                <w:szCs w:val="20"/>
              </w:rPr>
              <w:t>2,</w:t>
            </w:r>
            <w:r w:rsidR="00711AEC">
              <w:rPr>
                <w:rFonts w:ascii="Times New Roman" w:eastAsia="Times New Roman" w:hAnsi="Times New Roman" w:cs="Times New Roman"/>
                <w:sz w:val="20"/>
                <w:szCs w:val="20"/>
              </w:rPr>
              <w:t xml:space="preserve"> </w:t>
            </w:r>
            <w:r w:rsidR="000F4BBD" w:rsidRPr="00B72F8D">
              <w:rPr>
                <w:rFonts w:ascii="Times New Roman" w:eastAsia="Times New Roman" w:hAnsi="Times New Roman" w:cs="Times New Roman"/>
                <w:sz w:val="20"/>
                <w:szCs w:val="20"/>
              </w:rPr>
              <w:t>3,</w:t>
            </w:r>
            <w:r w:rsidR="00711AEC">
              <w:rPr>
                <w:rFonts w:ascii="Times New Roman" w:eastAsia="Times New Roman" w:hAnsi="Times New Roman" w:cs="Times New Roman"/>
                <w:sz w:val="20"/>
                <w:szCs w:val="20"/>
              </w:rPr>
              <w:t xml:space="preserve"> </w:t>
            </w:r>
            <w:r w:rsidR="000F4BBD" w:rsidRPr="00B72F8D">
              <w:rPr>
                <w:rFonts w:ascii="Times New Roman" w:eastAsia="Times New Roman" w:hAnsi="Times New Roman" w:cs="Times New Roman"/>
                <w:sz w:val="20"/>
                <w:szCs w:val="20"/>
              </w:rPr>
              <w:t>4.</w:t>
            </w:r>
          </w:p>
          <w:p w14:paraId="653DAF57" w14:textId="511F9108" w:rsidR="000F4BBD" w:rsidRPr="00B72F8D" w:rsidRDefault="000F4BBD" w:rsidP="00B72F8D">
            <w:pPr>
              <w:spacing w:after="60"/>
              <w:ind w:right="87"/>
              <w:jc w:val="both"/>
              <w:rPr>
                <w:rFonts w:ascii="Times New Roman" w:eastAsia="Times New Roman" w:hAnsi="Times New Roman" w:cs="Times New Roman"/>
                <w:sz w:val="20"/>
                <w:szCs w:val="20"/>
              </w:rPr>
            </w:pPr>
            <w:r w:rsidRPr="00B72F8D">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0081116F" w:rsidRPr="00B72F8D">
              <w:rPr>
                <w:rFonts w:ascii="Times New Roman" w:eastAsia="Times New Roman" w:hAnsi="Times New Roman" w:cs="Times New Roman"/>
                <w:sz w:val="20"/>
                <w:szCs w:val="20"/>
              </w:rPr>
              <w:t>przypadku</w:t>
            </w:r>
            <w:r w:rsidR="00711AEC">
              <w:rPr>
                <w:rFonts w:ascii="Times New Roman" w:eastAsia="Times New Roman" w:hAnsi="Times New Roman" w:cs="Times New Roman"/>
                <w:sz w:val="20"/>
                <w:szCs w:val="20"/>
              </w:rPr>
              <w:t xml:space="preserve"> </w:t>
            </w:r>
            <w:r w:rsidR="0081116F" w:rsidRPr="00B72F8D">
              <w:rPr>
                <w:rFonts w:ascii="Times New Roman" w:eastAsia="Times New Roman" w:hAnsi="Times New Roman" w:cs="Times New Roman"/>
                <w:sz w:val="20"/>
                <w:szCs w:val="20"/>
              </w:rPr>
              <w:t>gdy</w:t>
            </w:r>
            <w:r w:rsidR="00711AEC">
              <w:rPr>
                <w:rFonts w:ascii="Times New Roman" w:eastAsia="Times New Roman" w:hAnsi="Times New Roman" w:cs="Times New Roman"/>
                <w:sz w:val="20"/>
                <w:szCs w:val="20"/>
              </w:rPr>
              <w:t xml:space="preserve"> </w:t>
            </w:r>
            <w:r w:rsidR="0081116F" w:rsidRPr="00B72F8D">
              <w:rPr>
                <w:rFonts w:ascii="Times New Roman" w:eastAsia="Times New Roman" w:hAnsi="Times New Roman" w:cs="Times New Roman"/>
                <w:sz w:val="20"/>
                <w:szCs w:val="20"/>
              </w:rPr>
              <w:t>pacjent</w:t>
            </w:r>
            <w:r w:rsidR="00711AEC">
              <w:rPr>
                <w:rFonts w:ascii="Times New Roman" w:eastAsia="Times New Roman" w:hAnsi="Times New Roman" w:cs="Times New Roman"/>
                <w:sz w:val="20"/>
                <w:szCs w:val="20"/>
              </w:rPr>
              <w:t xml:space="preserve"> </w:t>
            </w:r>
            <w:r w:rsidR="0081116F" w:rsidRPr="00B72F8D">
              <w:rPr>
                <w:rFonts w:ascii="Times New Roman" w:eastAsia="Times New Roman" w:hAnsi="Times New Roman" w:cs="Times New Roman"/>
                <w:sz w:val="20"/>
                <w:szCs w:val="20"/>
              </w:rPr>
              <w:t>zostanie</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zakwalifik</w:t>
            </w:r>
            <w:r w:rsidR="0081116F" w:rsidRPr="00B72F8D">
              <w:rPr>
                <w:rFonts w:ascii="Times New Roman" w:eastAsia="Times New Roman" w:hAnsi="Times New Roman" w:cs="Times New Roman"/>
                <w:sz w:val="20"/>
                <w:szCs w:val="20"/>
              </w:rPr>
              <w:t>owany</w:t>
            </w:r>
            <w:r w:rsidR="00711AEC">
              <w:rPr>
                <w:rFonts w:ascii="Times New Roman" w:eastAsia="Times New Roman" w:hAnsi="Times New Roman" w:cs="Times New Roman"/>
                <w:sz w:val="20"/>
                <w:szCs w:val="20"/>
              </w:rPr>
              <w:t xml:space="preserve"> </w:t>
            </w:r>
            <w:r w:rsidR="0081116F" w:rsidRPr="00B72F8D">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0081116F" w:rsidRPr="00B72F8D">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proofErr w:type="spellStart"/>
            <w:r w:rsidR="0081116F" w:rsidRPr="00B72F8D">
              <w:rPr>
                <w:rFonts w:ascii="Times New Roman" w:eastAsia="Times New Roman" w:hAnsi="Times New Roman" w:cs="Times New Roman"/>
                <w:sz w:val="20"/>
                <w:szCs w:val="20"/>
              </w:rPr>
              <w:t>pasyreotydem</w:t>
            </w:r>
            <w:proofErr w:type="spellEnd"/>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zgodnie</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z</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kryteriami</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kwalifikacji</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programu</w:t>
            </w:r>
            <w:r w:rsidR="00711AEC">
              <w:rPr>
                <w:rFonts w:ascii="Times New Roman" w:eastAsia="Times New Roman" w:hAnsi="Times New Roman" w:cs="Times New Roman"/>
                <w:sz w:val="20"/>
                <w:szCs w:val="20"/>
              </w:rPr>
              <w:t xml:space="preserve"> </w:t>
            </w:r>
            <w:r w:rsidR="0081116F" w:rsidRPr="00B72F8D">
              <w:rPr>
                <w:rFonts w:ascii="Times New Roman" w:eastAsia="Times New Roman" w:hAnsi="Times New Roman" w:cs="Times New Roman"/>
                <w:sz w:val="20"/>
                <w:szCs w:val="20"/>
              </w:rPr>
              <w:t>(pkt.</w:t>
            </w:r>
            <w:r w:rsidR="00711AEC">
              <w:rPr>
                <w:rFonts w:ascii="Times New Roman" w:eastAsia="Times New Roman" w:hAnsi="Times New Roman" w:cs="Times New Roman"/>
                <w:sz w:val="20"/>
                <w:szCs w:val="20"/>
              </w:rPr>
              <w:t xml:space="preserve"> </w:t>
            </w:r>
            <w:r w:rsidR="0081116F" w:rsidRPr="00B72F8D">
              <w:rPr>
                <w:rFonts w:ascii="Times New Roman" w:eastAsia="Times New Roman" w:hAnsi="Times New Roman" w:cs="Times New Roman"/>
                <w:sz w:val="20"/>
                <w:szCs w:val="20"/>
              </w:rPr>
              <w:t>1.1.),</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kwalifikacja</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proofErr w:type="spellStart"/>
            <w:r w:rsidRPr="00B72F8D">
              <w:rPr>
                <w:rFonts w:ascii="Times New Roman" w:eastAsia="Times New Roman" w:hAnsi="Times New Roman" w:cs="Times New Roman"/>
                <w:sz w:val="20"/>
                <w:szCs w:val="20"/>
              </w:rPr>
              <w:t>pegwisoman</w:t>
            </w:r>
            <w:r w:rsidR="0081116F" w:rsidRPr="00B72F8D">
              <w:rPr>
                <w:rFonts w:ascii="Times New Roman" w:eastAsia="Times New Roman" w:hAnsi="Times New Roman" w:cs="Times New Roman"/>
                <w:sz w:val="20"/>
                <w:szCs w:val="20"/>
              </w:rPr>
              <w:t>tem</w:t>
            </w:r>
            <w:proofErr w:type="spellEnd"/>
            <w:r w:rsidR="00711AEC">
              <w:rPr>
                <w:rFonts w:ascii="Times New Roman" w:eastAsia="Times New Roman" w:hAnsi="Times New Roman" w:cs="Times New Roman"/>
                <w:sz w:val="20"/>
                <w:szCs w:val="20"/>
              </w:rPr>
              <w:t xml:space="preserve"> </w:t>
            </w:r>
            <w:r w:rsidR="0081116F" w:rsidRPr="00B72F8D">
              <w:rPr>
                <w:rFonts w:ascii="Times New Roman" w:eastAsia="Times New Roman" w:hAnsi="Times New Roman" w:cs="Times New Roman"/>
                <w:sz w:val="20"/>
                <w:szCs w:val="20"/>
              </w:rPr>
              <w:t>wymaga</w:t>
            </w:r>
            <w:r w:rsidR="00711AEC">
              <w:rPr>
                <w:rFonts w:ascii="Times New Roman" w:eastAsia="Times New Roman" w:hAnsi="Times New Roman" w:cs="Times New Roman"/>
                <w:sz w:val="20"/>
                <w:szCs w:val="20"/>
              </w:rPr>
              <w:t xml:space="preserve"> </w:t>
            </w:r>
            <w:r w:rsidR="0081116F" w:rsidRPr="00B72F8D">
              <w:rPr>
                <w:rFonts w:ascii="Times New Roman" w:eastAsia="Times New Roman" w:hAnsi="Times New Roman" w:cs="Times New Roman"/>
                <w:sz w:val="20"/>
                <w:szCs w:val="20"/>
              </w:rPr>
              <w:t>sp</w:t>
            </w:r>
            <w:r w:rsidR="00ED6613" w:rsidRPr="00B72F8D">
              <w:rPr>
                <w:rFonts w:ascii="Times New Roman" w:eastAsia="Times New Roman" w:hAnsi="Times New Roman" w:cs="Times New Roman"/>
                <w:sz w:val="20"/>
                <w:szCs w:val="20"/>
              </w:rPr>
              <w:t>ełnienia</w:t>
            </w:r>
            <w:r w:rsidR="00711AEC">
              <w:rPr>
                <w:rFonts w:ascii="Times New Roman" w:eastAsia="Times New Roman" w:hAnsi="Times New Roman" w:cs="Times New Roman"/>
                <w:sz w:val="20"/>
                <w:szCs w:val="20"/>
              </w:rPr>
              <w:t xml:space="preserve"> </w:t>
            </w:r>
            <w:r w:rsidR="00ED6613" w:rsidRPr="00B72F8D">
              <w:rPr>
                <w:rFonts w:ascii="Times New Roman" w:eastAsia="Times New Roman" w:hAnsi="Times New Roman" w:cs="Times New Roman"/>
                <w:sz w:val="20"/>
                <w:szCs w:val="20"/>
              </w:rPr>
              <w:t>warunków</w:t>
            </w:r>
            <w:r w:rsidR="00711AEC">
              <w:rPr>
                <w:rFonts w:ascii="Times New Roman" w:eastAsia="Times New Roman" w:hAnsi="Times New Roman" w:cs="Times New Roman"/>
                <w:sz w:val="20"/>
                <w:szCs w:val="20"/>
              </w:rPr>
              <w:t xml:space="preserve"> </w:t>
            </w:r>
            <w:r w:rsidR="00ED6613" w:rsidRPr="00B72F8D">
              <w:rPr>
                <w:rFonts w:ascii="Times New Roman" w:eastAsia="Times New Roman" w:hAnsi="Times New Roman" w:cs="Times New Roman"/>
                <w:sz w:val="20"/>
                <w:szCs w:val="20"/>
              </w:rPr>
              <w:t>1,</w:t>
            </w:r>
            <w:r w:rsidR="00711AEC">
              <w:rPr>
                <w:rFonts w:ascii="Times New Roman" w:eastAsia="Times New Roman" w:hAnsi="Times New Roman" w:cs="Times New Roman"/>
                <w:sz w:val="20"/>
                <w:szCs w:val="20"/>
              </w:rPr>
              <w:t xml:space="preserve"> </w:t>
            </w:r>
            <w:r w:rsidR="00ED6613" w:rsidRPr="00B72F8D">
              <w:rPr>
                <w:rFonts w:ascii="Times New Roman" w:eastAsia="Times New Roman" w:hAnsi="Times New Roman" w:cs="Times New Roman"/>
                <w:sz w:val="20"/>
                <w:szCs w:val="20"/>
              </w:rPr>
              <w:t>2,</w:t>
            </w:r>
            <w:r w:rsidR="00711AEC">
              <w:rPr>
                <w:rFonts w:ascii="Times New Roman" w:eastAsia="Times New Roman" w:hAnsi="Times New Roman" w:cs="Times New Roman"/>
                <w:sz w:val="20"/>
                <w:szCs w:val="20"/>
              </w:rPr>
              <w:t xml:space="preserve"> </w:t>
            </w:r>
            <w:r w:rsidR="00ED6613" w:rsidRPr="00B72F8D">
              <w:rPr>
                <w:rFonts w:ascii="Times New Roman" w:eastAsia="Times New Roman" w:hAnsi="Times New Roman" w:cs="Times New Roman"/>
                <w:sz w:val="20"/>
                <w:szCs w:val="20"/>
              </w:rPr>
              <w:t>3,</w:t>
            </w:r>
            <w:r w:rsidR="00711AEC">
              <w:rPr>
                <w:rFonts w:ascii="Times New Roman" w:eastAsia="Times New Roman" w:hAnsi="Times New Roman" w:cs="Times New Roman"/>
                <w:sz w:val="20"/>
                <w:szCs w:val="20"/>
              </w:rPr>
              <w:t xml:space="preserve"> </w:t>
            </w:r>
            <w:r w:rsidR="00ED6613" w:rsidRPr="00B72F8D">
              <w:rPr>
                <w:rFonts w:ascii="Times New Roman" w:eastAsia="Times New Roman" w:hAnsi="Times New Roman" w:cs="Times New Roman"/>
                <w:sz w:val="20"/>
                <w:szCs w:val="20"/>
              </w:rPr>
              <w:t>4,</w:t>
            </w:r>
            <w:r w:rsidR="00711AEC">
              <w:rPr>
                <w:rFonts w:ascii="Times New Roman" w:eastAsia="Times New Roman" w:hAnsi="Times New Roman" w:cs="Times New Roman"/>
                <w:sz w:val="20"/>
                <w:szCs w:val="20"/>
              </w:rPr>
              <w:t xml:space="preserve"> </w:t>
            </w:r>
            <w:r w:rsidR="00ED6613" w:rsidRPr="00B72F8D">
              <w:rPr>
                <w:rFonts w:ascii="Times New Roman" w:eastAsia="Times New Roman" w:hAnsi="Times New Roman" w:cs="Times New Roman"/>
                <w:sz w:val="20"/>
                <w:szCs w:val="20"/>
              </w:rPr>
              <w:t>5</w:t>
            </w:r>
            <w:r w:rsidR="00711AEC">
              <w:rPr>
                <w:rFonts w:ascii="Times New Roman" w:eastAsia="Times New Roman" w:hAnsi="Times New Roman" w:cs="Times New Roman"/>
                <w:sz w:val="20"/>
                <w:szCs w:val="20"/>
              </w:rPr>
              <w:t xml:space="preserve"> </w:t>
            </w:r>
            <w:r w:rsidR="0081116F" w:rsidRPr="00B72F8D">
              <w:rPr>
                <w:rFonts w:ascii="Times New Roman" w:eastAsia="Times New Roman" w:hAnsi="Times New Roman" w:cs="Times New Roman"/>
                <w:sz w:val="20"/>
                <w:szCs w:val="20"/>
              </w:rPr>
              <w:t>łącznie</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1,</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2,</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3</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,4,</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6</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łącznie</w:t>
            </w:r>
            <w:r w:rsidR="0081116F" w:rsidRPr="00B72F8D">
              <w:rPr>
                <w:rFonts w:ascii="Times New Roman" w:eastAsia="Times New Roman" w:hAnsi="Times New Roman" w:cs="Times New Roman"/>
                <w:sz w:val="20"/>
                <w:szCs w:val="20"/>
              </w:rPr>
              <w:t>.</w:t>
            </w:r>
          </w:p>
          <w:p w14:paraId="0A7C8C8D" w14:textId="1F98A3CF" w:rsidR="009B7B78" w:rsidRPr="00B72F8D" w:rsidRDefault="00B72F8D" w:rsidP="00B72F8D">
            <w:pPr>
              <w:spacing w:after="60"/>
              <w:ind w:right="87"/>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w:t>
            </w:r>
            <w:r w:rsidR="009B7B78" w:rsidRPr="00B72F8D">
              <w:rPr>
                <w:rFonts w:ascii="Times New Roman" w:eastAsia="Times New Roman" w:hAnsi="Times New Roman" w:cs="Times New Roman"/>
                <w:sz w:val="20"/>
                <w:szCs w:val="20"/>
              </w:rPr>
              <w:t>onadto</w:t>
            </w:r>
            <w:r w:rsidR="00711AEC">
              <w:rPr>
                <w:rFonts w:ascii="Times New Roman" w:eastAsia="Times New Roman" w:hAnsi="Times New Roman" w:cs="Times New Roman"/>
                <w:sz w:val="20"/>
                <w:szCs w:val="20"/>
              </w:rPr>
              <w:t xml:space="preserve"> </w:t>
            </w:r>
            <w:r w:rsidR="009B7B78" w:rsidRPr="00B72F8D">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009B7B78" w:rsidRPr="00B72F8D">
              <w:rPr>
                <w:rFonts w:ascii="Times New Roman" w:eastAsia="Times New Roman" w:hAnsi="Times New Roman" w:cs="Times New Roman"/>
                <w:sz w:val="20"/>
                <w:szCs w:val="20"/>
              </w:rPr>
              <w:t>programu</w:t>
            </w:r>
            <w:r w:rsidR="00711AEC">
              <w:rPr>
                <w:rFonts w:ascii="Times New Roman" w:eastAsia="Times New Roman" w:hAnsi="Times New Roman" w:cs="Times New Roman"/>
                <w:sz w:val="20"/>
                <w:szCs w:val="20"/>
              </w:rPr>
              <w:t xml:space="preserve"> </w:t>
            </w:r>
            <w:r w:rsidR="009B7B78" w:rsidRPr="00B72F8D">
              <w:rPr>
                <w:rFonts w:ascii="Times New Roman" w:eastAsia="Times New Roman" w:hAnsi="Times New Roman" w:cs="Times New Roman"/>
                <w:sz w:val="20"/>
                <w:szCs w:val="20"/>
              </w:rPr>
              <w:t>lekowego</w:t>
            </w:r>
            <w:r w:rsidR="00711AEC">
              <w:rPr>
                <w:rFonts w:ascii="Times New Roman" w:eastAsia="Times New Roman" w:hAnsi="Times New Roman" w:cs="Times New Roman"/>
                <w:sz w:val="20"/>
                <w:szCs w:val="20"/>
              </w:rPr>
              <w:t xml:space="preserve"> </w:t>
            </w:r>
            <w:r w:rsidR="009B7B78" w:rsidRPr="00B72F8D">
              <w:rPr>
                <w:rFonts w:ascii="Times New Roman" w:eastAsia="Times New Roman" w:hAnsi="Times New Roman" w:cs="Times New Roman"/>
                <w:sz w:val="20"/>
                <w:szCs w:val="20"/>
              </w:rPr>
              <w:t>kwalifikowani</w:t>
            </w:r>
            <w:r w:rsidR="00711AEC">
              <w:rPr>
                <w:rFonts w:ascii="Times New Roman" w:eastAsia="Times New Roman" w:hAnsi="Times New Roman" w:cs="Times New Roman"/>
                <w:sz w:val="20"/>
                <w:szCs w:val="20"/>
              </w:rPr>
              <w:t xml:space="preserve"> </w:t>
            </w:r>
            <w:r w:rsidR="009B7B78" w:rsidRPr="00B72F8D">
              <w:rPr>
                <w:rFonts w:ascii="Times New Roman" w:eastAsia="Times New Roman" w:hAnsi="Times New Roman" w:cs="Times New Roman"/>
                <w:sz w:val="20"/>
                <w:szCs w:val="20"/>
              </w:rPr>
              <w:t>są</w:t>
            </w:r>
            <w:r w:rsidR="00711AEC">
              <w:rPr>
                <w:rFonts w:ascii="Times New Roman" w:eastAsia="Times New Roman" w:hAnsi="Times New Roman" w:cs="Times New Roman"/>
                <w:sz w:val="20"/>
                <w:szCs w:val="20"/>
              </w:rPr>
              <w:t xml:space="preserve"> </w:t>
            </w:r>
            <w:r w:rsidR="009B7B78" w:rsidRPr="00B72F8D">
              <w:rPr>
                <w:rFonts w:ascii="Times New Roman" w:eastAsia="Times New Roman" w:hAnsi="Times New Roman" w:cs="Times New Roman"/>
                <w:sz w:val="20"/>
                <w:szCs w:val="20"/>
              </w:rPr>
              <w:t>również</w:t>
            </w:r>
            <w:r w:rsidR="00711AEC">
              <w:rPr>
                <w:rFonts w:ascii="Times New Roman" w:eastAsia="Times New Roman" w:hAnsi="Times New Roman" w:cs="Times New Roman"/>
                <w:sz w:val="20"/>
                <w:szCs w:val="20"/>
              </w:rPr>
              <w:t xml:space="preserve"> </w:t>
            </w:r>
            <w:r w:rsidR="009B7B78" w:rsidRPr="00B72F8D">
              <w:rPr>
                <w:rFonts w:ascii="Times New Roman" w:eastAsia="Times New Roman" w:hAnsi="Times New Roman" w:cs="Times New Roman"/>
                <w:sz w:val="20"/>
                <w:szCs w:val="20"/>
              </w:rPr>
              <w:t>pacjenci,</w:t>
            </w:r>
            <w:r w:rsidR="00711AEC">
              <w:rPr>
                <w:rFonts w:ascii="Times New Roman" w:eastAsia="Times New Roman" w:hAnsi="Times New Roman" w:cs="Times New Roman"/>
                <w:sz w:val="20"/>
                <w:szCs w:val="20"/>
              </w:rPr>
              <w:t xml:space="preserve"> </w:t>
            </w:r>
            <w:r w:rsidR="009B7B78" w:rsidRPr="00B72F8D">
              <w:rPr>
                <w:rFonts w:ascii="Times New Roman" w:eastAsia="Times New Roman" w:hAnsi="Times New Roman" w:cs="Times New Roman"/>
                <w:sz w:val="20"/>
                <w:szCs w:val="20"/>
              </w:rPr>
              <w:t>którzy</w:t>
            </w:r>
            <w:r w:rsidR="00711AEC">
              <w:rPr>
                <w:rFonts w:ascii="Times New Roman" w:eastAsia="Times New Roman" w:hAnsi="Times New Roman" w:cs="Times New Roman"/>
                <w:sz w:val="20"/>
                <w:szCs w:val="20"/>
              </w:rPr>
              <w:t xml:space="preserve"> </w:t>
            </w:r>
            <w:r w:rsidR="009B7B78" w:rsidRPr="00B72F8D">
              <w:rPr>
                <w:rFonts w:ascii="Times New Roman" w:eastAsia="Times New Roman" w:hAnsi="Times New Roman" w:cs="Times New Roman"/>
                <w:sz w:val="20"/>
                <w:szCs w:val="20"/>
              </w:rPr>
              <w:t>byli</w:t>
            </w:r>
            <w:r w:rsidR="00711AEC">
              <w:rPr>
                <w:rFonts w:ascii="Times New Roman" w:eastAsia="Times New Roman" w:hAnsi="Times New Roman" w:cs="Times New Roman"/>
                <w:sz w:val="20"/>
                <w:szCs w:val="20"/>
              </w:rPr>
              <w:t xml:space="preserve"> </w:t>
            </w:r>
            <w:r w:rsidR="009B7B78" w:rsidRPr="00B72F8D">
              <w:rPr>
                <w:rFonts w:ascii="Times New Roman" w:eastAsia="Times New Roman" w:hAnsi="Times New Roman" w:cs="Times New Roman"/>
                <w:sz w:val="20"/>
                <w:szCs w:val="20"/>
              </w:rPr>
              <w:t>leczeni</w:t>
            </w:r>
            <w:r w:rsidR="00711AEC">
              <w:rPr>
                <w:rFonts w:ascii="Times New Roman" w:eastAsia="Times New Roman" w:hAnsi="Times New Roman" w:cs="Times New Roman"/>
                <w:sz w:val="20"/>
                <w:szCs w:val="20"/>
              </w:rPr>
              <w:t xml:space="preserve"> </w:t>
            </w:r>
            <w:proofErr w:type="spellStart"/>
            <w:r w:rsidR="009B7B78" w:rsidRPr="00B72F8D">
              <w:rPr>
                <w:rFonts w:ascii="Times New Roman" w:eastAsia="Times New Roman" w:hAnsi="Times New Roman" w:cs="Times New Roman"/>
                <w:sz w:val="20"/>
                <w:szCs w:val="20"/>
              </w:rPr>
              <w:t>pegwisomantem</w:t>
            </w:r>
            <w:proofErr w:type="spellEnd"/>
            <w:r w:rsidR="00711AEC">
              <w:rPr>
                <w:rFonts w:ascii="Times New Roman" w:eastAsia="Times New Roman" w:hAnsi="Times New Roman" w:cs="Times New Roman"/>
                <w:sz w:val="20"/>
                <w:szCs w:val="20"/>
              </w:rPr>
              <w:t xml:space="preserve"> </w:t>
            </w:r>
            <w:r w:rsidR="009B7B78" w:rsidRPr="00B72F8D">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009B7B78" w:rsidRPr="00B72F8D">
              <w:rPr>
                <w:rFonts w:ascii="Times New Roman" w:eastAsia="Times New Roman" w:hAnsi="Times New Roman" w:cs="Times New Roman"/>
                <w:sz w:val="20"/>
                <w:szCs w:val="20"/>
              </w:rPr>
              <w:t>ramach</w:t>
            </w:r>
            <w:r w:rsidR="00711AEC">
              <w:rPr>
                <w:rFonts w:ascii="Times New Roman" w:eastAsia="Times New Roman" w:hAnsi="Times New Roman" w:cs="Times New Roman"/>
                <w:sz w:val="20"/>
                <w:szCs w:val="20"/>
              </w:rPr>
              <w:t xml:space="preserve"> </w:t>
            </w:r>
            <w:r w:rsidR="009B7B78" w:rsidRPr="00B72F8D">
              <w:rPr>
                <w:rFonts w:ascii="Times New Roman" w:eastAsia="Times New Roman" w:hAnsi="Times New Roman" w:cs="Times New Roman"/>
                <w:sz w:val="20"/>
                <w:szCs w:val="20"/>
              </w:rPr>
              <w:t>innego</w:t>
            </w:r>
            <w:r w:rsidR="00711AEC">
              <w:rPr>
                <w:rFonts w:ascii="Times New Roman" w:eastAsia="Times New Roman" w:hAnsi="Times New Roman" w:cs="Times New Roman"/>
                <w:sz w:val="20"/>
                <w:szCs w:val="20"/>
              </w:rPr>
              <w:t xml:space="preserve"> </w:t>
            </w:r>
            <w:r w:rsidR="009B7B78" w:rsidRPr="00B72F8D">
              <w:rPr>
                <w:rFonts w:ascii="Times New Roman" w:eastAsia="Times New Roman" w:hAnsi="Times New Roman" w:cs="Times New Roman"/>
                <w:sz w:val="20"/>
                <w:szCs w:val="20"/>
              </w:rPr>
              <w:t>sposobu</w:t>
            </w:r>
            <w:r w:rsidR="00711AEC">
              <w:rPr>
                <w:rFonts w:ascii="Times New Roman" w:eastAsia="Times New Roman" w:hAnsi="Times New Roman" w:cs="Times New Roman"/>
                <w:sz w:val="20"/>
                <w:szCs w:val="20"/>
              </w:rPr>
              <w:t xml:space="preserve"> </w:t>
            </w:r>
            <w:r w:rsidR="009B7B78" w:rsidRPr="00B72F8D">
              <w:rPr>
                <w:rFonts w:ascii="Times New Roman" w:eastAsia="Times New Roman" w:hAnsi="Times New Roman" w:cs="Times New Roman"/>
                <w:sz w:val="20"/>
                <w:szCs w:val="20"/>
              </w:rPr>
              <w:t>finansowania</w:t>
            </w:r>
            <w:r w:rsidR="00711AEC">
              <w:rPr>
                <w:rFonts w:ascii="Times New Roman" w:eastAsia="Times New Roman" w:hAnsi="Times New Roman" w:cs="Times New Roman"/>
                <w:sz w:val="20"/>
                <w:szCs w:val="20"/>
              </w:rPr>
              <w:t xml:space="preserve"> </w:t>
            </w:r>
            <w:r w:rsidR="009B7B78" w:rsidRPr="00B72F8D">
              <w:rPr>
                <w:rFonts w:ascii="Times New Roman" w:eastAsia="Times New Roman" w:hAnsi="Times New Roman" w:cs="Times New Roman"/>
                <w:sz w:val="20"/>
                <w:szCs w:val="20"/>
              </w:rPr>
              <w:t>terapii,</w:t>
            </w:r>
            <w:r w:rsidR="00711AEC">
              <w:rPr>
                <w:rFonts w:ascii="Times New Roman" w:eastAsia="Times New Roman" w:hAnsi="Times New Roman" w:cs="Times New Roman"/>
                <w:sz w:val="20"/>
                <w:szCs w:val="20"/>
              </w:rPr>
              <w:t xml:space="preserve"> </w:t>
            </w:r>
            <w:r w:rsidR="009B7B78" w:rsidRPr="00B72F8D">
              <w:rPr>
                <w:rFonts w:ascii="Times New Roman" w:eastAsia="Times New Roman" w:hAnsi="Times New Roman" w:cs="Times New Roman"/>
                <w:sz w:val="20"/>
                <w:szCs w:val="20"/>
              </w:rPr>
              <w:t>pod</w:t>
            </w:r>
            <w:r w:rsidR="00711AEC">
              <w:rPr>
                <w:rFonts w:ascii="Times New Roman" w:eastAsia="Times New Roman" w:hAnsi="Times New Roman" w:cs="Times New Roman"/>
                <w:sz w:val="20"/>
                <w:szCs w:val="20"/>
              </w:rPr>
              <w:t xml:space="preserve"> </w:t>
            </w:r>
            <w:r w:rsidR="009B7B78" w:rsidRPr="00B72F8D">
              <w:rPr>
                <w:rFonts w:ascii="Times New Roman" w:eastAsia="Times New Roman" w:hAnsi="Times New Roman" w:cs="Times New Roman"/>
                <w:sz w:val="20"/>
                <w:szCs w:val="20"/>
              </w:rPr>
              <w:t>warunkiem,</w:t>
            </w:r>
            <w:r w:rsidR="00711AEC">
              <w:rPr>
                <w:rFonts w:ascii="Times New Roman" w:eastAsia="Times New Roman" w:hAnsi="Times New Roman" w:cs="Times New Roman"/>
                <w:sz w:val="20"/>
                <w:szCs w:val="20"/>
              </w:rPr>
              <w:t xml:space="preserve"> </w:t>
            </w:r>
            <w:r w:rsidR="009B7B78" w:rsidRPr="00B72F8D">
              <w:rPr>
                <w:rFonts w:ascii="Times New Roman" w:eastAsia="Times New Roman" w:hAnsi="Times New Roman" w:cs="Times New Roman"/>
                <w:sz w:val="20"/>
                <w:szCs w:val="20"/>
              </w:rPr>
              <w:t>że</w:t>
            </w:r>
            <w:r w:rsidR="00711AEC">
              <w:rPr>
                <w:rFonts w:ascii="Times New Roman" w:eastAsia="Times New Roman" w:hAnsi="Times New Roman" w:cs="Times New Roman"/>
                <w:sz w:val="20"/>
                <w:szCs w:val="20"/>
              </w:rPr>
              <w:t xml:space="preserve"> </w:t>
            </w:r>
            <w:r w:rsidR="009B7B78" w:rsidRPr="00B72F8D">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009B7B78" w:rsidRPr="00B72F8D">
              <w:rPr>
                <w:rFonts w:ascii="Times New Roman" w:eastAsia="Times New Roman" w:hAnsi="Times New Roman" w:cs="Times New Roman"/>
                <w:sz w:val="20"/>
                <w:szCs w:val="20"/>
              </w:rPr>
              <w:t>chwili</w:t>
            </w:r>
            <w:r w:rsidR="00711AEC">
              <w:rPr>
                <w:rFonts w:ascii="Times New Roman" w:eastAsia="Times New Roman" w:hAnsi="Times New Roman" w:cs="Times New Roman"/>
                <w:sz w:val="20"/>
                <w:szCs w:val="20"/>
              </w:rPr>
              <w:t xml:space="preserve"> </w:t>
            </w:r>
            <w:r w:rsidR="009B7B78" w:rsidRPr="00B72F8D">
              <w:rPr>
                <w:rFonts w:ascii="Times New Roman" w:eastAsia="Times New Roman" w:hAnsi="Times New Roman" w:cs="Times New Roman"/>
                <w:sz w:val="20"/>
                <w:szCs w:val="20"/>
              </w:rPr>
              <w:t>rozpoczęcia</w:t>
            </w:r>
            <w:r w:rsidR="00711AEC">
              <w:rPr>
                <w:rFonts w:ascii="Times New Roman" w:eastAsia="Times New Roman" w:hAnsi="Times New Roman" w:cs="Times New Roman"/>
                <w:sz w:val="20"/>
                <w:szCs w:val="20"/>
              </w:rPr>
              <w:t xml:space="preserve"> </w:t>
            </w:r>
            <w:r w:rsidR="009B7B78" w:rsidRPr="00B72F8D">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r w:rsidR="009B7B78" w:rsidRPr="00B72F8D">
              <w:rPr>
                <w:rFonts w:ascii="Times New Roman" w:eastAsia="Times New Roman" w:hAnsi="Times New Roman" w:cs="Times New Roman"/>
                <w:sz w:val="20"/>
                <w:szCs w:val="20"/>
              </w:rPr>
              <w:t>spełniali</w:t>
            </w:r>
            <w:r w:rsidR="00711AEC">
              <w:rPr>
                <w:rFonts w:ascii="Times New Roman" w:eastAsia="Times New Roman" w:hAnsi="Times New Roman" w:cs="Times New Roman"/>
                <w:sz w:val="20"/>
                <w:szCs w:val="20"/>
              </w:rPr>
              <w:t xml:space="preserve"> </w:t>
            </w:r>
            <w:r w:rsidR="009B7B78" w:rsidRPr="00B72F8D">
              <w:rPr>
                <w:rFonts w:ascii="Times New Roman" w:eastAsia="Times New Roman" w:hAnsi="Times New Roman" w:cs="Times New Roman"/>
                <w:sz w:val="20"/>
                <w:szCs w:val="20"/>
              </w:rPr>
              <w:t>kryteria</w:t>
            </w:r>
            <w:r w:rsidR="00711AEC">
              <w:rPr>
                <w:rFonts w:ascii="Times New Roman" w:eastAsia="Times New Roman" w:hAnsi="Times New Roman" w:cs="Times New Roman"/>
                <w:sz w:val="20"/>
                <w:szCs w:val="20"/>
              </w:rPr>
              <w:t xml:space="preserve"> </w:t>
            </w:r>
            <w:r w:rsidR="009B7B78" w:rsidRPr="00B72F8D">
              <w:rPr>
                <w:rFonts w:ascii="Times New Roman" w:eastAsia="Times New Roman" w:hAnsi="Times New Roman" w:cs="Times New Roman"/>
                <w:sz w:val="20"/>
                <w:szCs w:val="20"/>
              </w:rPr>
              <w:t>kwalifikacji</w:t>
            </w:r>
            <w:r w:rsidR="00711AEC">
              <w:rPr>
                <w:rFonts w:ascii="Times New Roman" w:eastAsia="Times New Roman" w:hAnsi="Times New Roman" w:cs="Times New Roman"/>
                <w:sz w:val="20"/>
                <w:szCs w:val="20"/>
              </w:rPr>
              <w:t xml:space="preserve"> </w:t>
            </w:r>
            <w:r w:rsidR="009B7B78" w:rsidRPr="00B72F8D">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009B7B78" w:rsidRPr="00B72F8D">
              <w:rPr>
                <w:rFonts w:ascii="Times New Roman" w:eastAsia="Times New Roman" w:hAnsi="Times New Roman" w:cs="Times New Roman"/>
                <w:sz w:val="20"/>
                <w:szCs w:val="20"/>
              </w:rPr>
              <w:t>programu</w:t>
            </w:r>
            <w:r w:rsidR="00711AEC">
              <w:rPr>
                <w:rFonts w:ascii="Times New Roman" w:eastAsia="Times New Roman" w:hAnsi="Times New Roman" w:cs="Times New Roman"/>
                <w:sz w:val="20"/>
                <w:szCs w:val="20"/>
              </w:rPr>
              <w:t xml:space="preserve"> </w:t>
            </w:r>
            <w:r w:rsidR="009B7B78" w:rsidRPr="00B72F8D">
              <w:rPr>
                <w:rFonts w:ascii="Times New Roman" w:eastAsia="Times New Roman" w:hAnsi="Times New Roman" w:cs="Times New Roman"/>
                <w:sz w:val="20"/>
                <w:szCs w:val="20"/>
              </w:rPr>
              <w:t>lekowego.</w:t>
            </w:r>
          </w:p>
          <w:p w14:paraId="592489D1" w14:textId="60692F4E" w:rsidR="00DC08AC" w:rsidRPr="00FD48F5" w:rsidRDefault="00DC08AC" w:rsidP="00FD48F5">
            <w:pPr>
              <w:spacing w:after="60"/>
              <w:ind w:right="87"/>
              <w:jc w:val="both"/>
              <w:rPr>
                <w:rFonts w:ascii="Times New Roman" w:eastAsia="Times New Roman" w:hAnsi="Times New Roman" w:cs="Times New Roman"/>
                <w:sz w:val="20"/>
                <w:szCs w:val="20"/>
              </w:rPr>
            </w:pPr>
          </w:p>
          <w:p w14:paraId="3E48AF3C" w14:textId="5142A7E7" w:rsidR="00587626" w:rsidRPr="00B72F8D" w:rsidRDefault="00587626" w:rsidP="00B72F8D">
            <w:pPr>
              <w:spacing w:after="60"/>
              <w:ind w:right="87"/>
              <w:jc w:val="both"/>
              <w:rPr>
                <w:rFonts w:ascii="Times New Roman" w:hAnsi="Times New Roman" w:cs="Times New Roman"/>
                <w:sz w:val="20"/>
                <w:szCs w:val="20"/>
                <w:lang w:eastAsia="pl-PL"/>
              </w:rPr>
            </w:pPr>
            <w:r w:rsidRPr="00B72F8D">
              <w:rPr>
                <w:rFonts w:ascii="Times New Roman" w:hAnsi="Times New Roman" w:cs="Times New Roman"/>
                <w:sz w:val="20"/>
                <w:szCs w:val="20"/>
                <w:lang w:eastAsia="pl-PL"/>
              </w:rPr>
              <w:t>Kwalifikacja</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do</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programu</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przeprowadzana</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jest</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przez</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lekarza</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prowadzącego,</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a</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w</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uzasadnionych</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przypadkach</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trudnych</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klinicznie,</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po</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zasięgnięciu</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opinii</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konsultanta</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krajowego</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w</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dziedzinie</w:t>
            </w:r>
            <w:r w:rsidR="00711AEC">
              <w:rPr>
                <w:rFonts w:ascii="Times New Roman" w:hAnsi="Times New Roman" w:cs="Times New Roman"/>
                <w:sz w:val="20"/>
                <w:szCs w:val="20"/>
                <w:lang w:eastAsia="pl-PL"/>
              </w:rPr>
              <w:t xml:space="preserve"> </w:t>
            </w:r>
            <w:r w:rsidRPr="00B72F8D">
              <w:rPr>
                <w:rFonts w:ascii="Times New Roman" w:hAnsi="Times New Roman" w:cs="Times New Roman"/>
                <w:sz w:val="20"/>
                <w:szCs w:val="20"/>
                <w:lang w:eastAsia="pl-PL"/>
              </w:rPr>
              <w:t>endokrynologii.</w:t>
            </w:r>
          </w:p>
          <w:p w14:paraId="0B51F659" w14:textId="77777777" w:rsidR="00587626" w:rsidRPr="00FD48F5" w:rsidRDefault="00587626" w:rsidP="00FD48F5">
            <w:pPr>
              <w:spacing w:after="60"/>
              <w:ind w:right="87"/>
              <w:jc w:val="both"/>
              <w:rPr>
                <w:rFonts w:ascii="Times New Roman" w:eastAsia="Times New Roman" w:hAnsi="Times New Roman" w:cs="Times New Roman"/>
                <w:sz w:val="20"/>
                <w:szCs w:val="20"/>
              </w:rPr>
            </w:pPr>
          </w:p>
          <w:p w14:paraId="6728BEEF" w14:textId="2566FEFC" w:rsidR="000F4BBD" w:rsidRPr="00FD48F5" w:rsidRDefault="000F4BBD" w:rsidP="00B72F8D">
            <w:pPr>
              <w:pStyle w:val="Akapitzlist"/>
              <w:numPr>
                <w:ilvl w:val="1"/>
                <w:numId w:val="1"/>
              </w:numPr>
              <w:spacing w:after="60"/>
              <w:ind w:right="87"/>
              <w:contextualSpacing w:val="0"/>
              <w:jc w:val="both"/>
              <w:rPr>
                <w:rFonts w:ascii="Times New Roman" w:eastAsia="Times New Roman" w:hAnsi="Times New Roman" w:cs="Times New Roman"/>
                <w:b/>
                <w:sz w:val="20"/>
                <w:szCs w:val="20"/>
              </w:rPr>
            </w:pPr>
            <w:r w:rsidRPr="00FD48F5">
              <w:rPr>
                <w:rFonts w:ascii="Times New Roman" w:eastAsia="Times New Roman" w:hAnsi="Times New Roman" w:cs="Times New Roman"/>
                <w:b/>
                <w:sz w:val="20"/>
                <w:szCs w:val="20"/>
              </w:rPr>
              <w:t>K</w:t>
            </w:r>
            <w:r w:rsidR="00DC08AC" w:rsidRPr="00FD48F5">
              <w:rPr>
                <w:rFonts w:ascii="Times New Roman" w:eastAsia="Times New Roman" w:hAnsi="Times New Roman" w:cs="Times New Roman"/>
                <w:b/>
                <w:sz w:val="20"/>
                <w:szCs w:val="20"/>
              </w:rPr>
              <w:t>ryteria</w:t>
            </w:r>
            <w:r w:rsidR="00711AEC">
              <w:rPr>
                <w:rFonts w:ascii="Times New Roman" w:eastAsia="Times New Roman" w:hAnsi="Times New Roman" w:cs="Times New Roman"/>
                <w:b/>
                <w:sz w:val="20"/>
                <w:szCs w:val="20"/>
              </w:rPr>
              <w:t xml:space="preserve"> </w:t>
            </w:r>
            <w:r w:rsidR="00DC08AC" w:rsidRPr="00FD48F5">
              <w:rPr>
                <w:rFonts w:ascii="Times New Roman" w:eastAsia="Times New Roman" w:hAnsi="Times New Roman" w:cs="Times New Roman"/>
                <w:b/>
                <w:sz w:val="20"/>
                <w:szCs w:val="20"/>
              </w:rPr>
              <w:t>wyłączenia</w:t>
            </w:r>
          </w:p>
          <w:p w14:paraId="2131BC21" w14:textId="41AAFFFE" w:rsidR="00543ED8" w:rsidRPr="00FD48F5" w:rsidRDefault="000F4BBD" w:rsidP="00B72F8D">
            <w:pPr>
              <w:pStyle w:val="Akapitzlist"/>
              <w:numPr>
                <w:ilvl w:val="2"/>
                <w:numId w:val="1"/>
              </w:numPr>
              <w:spacing w:after="60"/>
              <w:ind w:right="87"/>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kandydaci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operacyjnego;</w:t>
            </w:r>
          </w:p>
          <w:p w14:paraId="0C0B07A5" w14:textId="660828EA" w:rsidR="00543ED8" w:rsidRPr="00FD48F5" w:rsidRDefault="000F4BBD" w:rsidP="00B72F8D">
            <w:pPr>
              <w:pStyle w:val="Akapitzlist"/>
              <w:numPr>
                <w:ilvl w:val="2"/>
                <w:numId w:val="1"/>
              </w:numPr>
              <w:spacing w:after="60"/>
              <w:ind w:right="87"/>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ucisk</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skrzyżowania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nerwów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wzrokowych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przez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guz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powodujący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istotne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zaburzenia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pola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widzenia</w:t>
            </w:r>
            <w:r w:rsidR="00711AEC">
              <w:rPr>
                <w:rFonts w:ascii="Times New Roman" w:eastAsia="Times New Roman" w:hAnsi="Times New Roman" w:cs="Times New Roman"/>
                <w:sz w:val="20"/>
                <w:szCs w:val="20"/>
              </w:rPr>
              <w:t xml:space="preserve"> </w:t>
            </w:r>
            <w:r w:rsidR="007B6CB2" w:rsidRPr="00FD48F5">
              <w:rPr>
                <w:rFonts w:ascii="Times New Roman" w:eastAsia="Times New Roman" w:hAnsi="Times New Roman" w:cs="Times New Roman"/>
                <w:sz w:val="20"/>
                <w:szCs w:val="20"/>
              </w:rPr>
              <w:t>u</w:t>
            </w:r>
            <w:r w:rsidR="00711AEC">
              <w:rPr>
                <w:rFonts w:ascii="Times New Roman" w:eastAsia="Times New Roman" w:hAnsi="Times New Roman" w:cs="Times New Roman"/>
                <w:sz w:val="20"/>
                <w:szCs w:val="20"/>
              </w:rPr>
              <w:t xml:space="preserve"> </w:t>
            </w:r>
            <w:r w:rsidR="007B6CB2" w:rsidRPr="00FD48F5">
              <w:rPr>
                <w:rFonts w:ascii="Times New Roman" w:eastAsia="Times New Roman" w:hAnsi="Times New Roman" w:cs="Times New Roman"/>
                <w:sz w:val="20"/>
                <w:szCs w:val="20"/>
              </w:rPr>
              <w:t>pacjentów</w:t>
            </w:r>
            <w:r w:rsidR="00711AEC">
              <w:rPr>
                <w:rFonts w:ascii="Times New Roman" w:eastAsia="Times New Roman" w:hAnsi="Times New Roman" w:cs="Times New Roman"/>
                <w:sz w:val="20"/>
                <w:szCs w:val="20"/>
              </w:rPr>
              <w:t xml:space="preserve"> </w:t>
            </w:r>
            <w:r w:rsidR="007B6CB2" w:rsidRPr="00FD48F5">
              <w:rPr>
                <w:rFonts w:ascii="Times New Roman" w:eastAsia="Times New Roman" w:hAnsi="Times New Roman" w:cs="Times New Roman"/>
                <w:sz w:val="20"/>
                <w:szCs w:val="20"/>
              </w:rPr>
              <w:t>kwalifikujących</w:t>
            </w:r>
            <w:r w:rsidR="00711AEC">
              <w:rPr>
                <w:rFonts w:ascii="Times New Roman" w:eastAsia="Times New Roman" w:hAnsi="Times New Roman" w:cs="Times New Roman"/>
                <w:sz w:val="20"/>
                <w:szCs w:val="20"/>
              </w:rPr>
              <w:t xml:space="preserve"> </w:t>
            </w:r>
            <w:r w:rsidR="007B6CB2" w:rsidRPr="00FD48F5">
              <w:rPr>
                <w:rFonts w:ascii="Times New Roman" w:eastAsia="Times New Roman" w:hAnsi="Times New Roman" w:cs="Times New Roman"/>
                <w:sz w:val="20"/>
                <w:szCs w:val="20"/>
              </w:rPr>
              <w:t>się</w:t>
            </w:r>
            <w:r w:rsidR="00711AEC">
              <w:rPr>
                <w:rFonts w:ascii="Times New Roman" w:eastAsia="Times New Roman" w:hAnsi="Times New Roman" w:cs="Times New Roman"/>
                <w:sz w:val="20"/>
                <w:szCs w:val="20"/>
              </w:rPr>
              <w:t xml:space="preserve"> </w:t>
            </w:r>
            <w:r w:rsidR="007B6CB2" w:rsidRPr="00FD48F5">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proofErr w:type="spellStart"/>
            <w:r w:rsidR="007B6CB2" w:rsidRPr="00FD48F5">
              <w:rPr>
                <w:rFonts w:ascii="Times New Roman" w:eastAsia="Times New Roman" w:hAnsi="Times New Roman" w:cs="Times New Roman"/>
                <w:sz w:val="20"/>
                <w:szCs w:val="20"/>
              </w:rPr>
              <w:t>odbarczającego</w:t>
            </w:r>
            <w:proofErr w:type="spellEnd"/>
            <w:r w:rsidR="00711AEC">
              <w:rPr>
                <w:rFonts w:ascii="Times New Roman" w:eastAsia="Times New Roman" w:hAnsi="Times New Roman" w:cs="Times New Roman"/>
                <w:sz w:val="20"/>
                <w:szCs w:val="20"/>
              </w:rPr>
              <w:t xml:space="preserve"> </w:t>
            </w:r>
            <w:r w:rsidR="007B6CB2" w:rsidRPr="00FD48F5">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r w:rsidR="007B6CB2" w:rsidRPr="00FD48F5">
              <w:rPr>
                <w:rFonts w:ascii="Times New Roman" w:eastAsia="Times New Roman" w:hAnsi="Times New Roman" w:cs="Times New Roman"/>
                <w:sz w:val="20"/>
                <w:szCs w:val="20"/>
              </w:rPr>
              <w:t>neurochirurgicznego</w:t>
            </w:r>
            <w:r w:rsidRPr="00FD48F5">
              <w:rPr>
                <w:rFonts w:ascii="Times New Roman" w:eastAsia="Times New Roman" w:hAnsi="Times New Roman" w:cs="Times New Roman"/>
                <w:sz w:val="20"/>
                <w:szCs w:val="20"/>
              </w:rPr>
              <w:t>;</w:t>
            </w:r>
          </w:p>
          <w:p w14:paraId="355DAAB0" w14:textId="770858F9" w:rsidR="00101159" w:rsidRPr="00FD48F5" w:rsidRDefault="00101159" w:rsidP="00B72F8D">
            <w:pPr>
              <w:pStyle w:val="Akapitzlist"/>
              <w:numPr>
                <w:ilvl w:val="2"/>
                <w:numId w:val="1"/>
              </w:numPr>
              <w:spacing w:after="60"/>
              <w:ind w:right="87"/>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lastRenderedPageBreak/>
              <w:t>niewydolność</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nerek:</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eGFR</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&lt;15</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ml/min/1,73</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w:t>
            </w:r>
            <w:r w:rsidRPr="00FD48F5">
              <w:rPr>
                <w:rFonts w:ascii="Times New Roman" w:eastAsia="Times New Roman" w:hAnsi="Times New Roman" w:cs="Times New Roman"/>
                <w:sz w:val="20"/>
                <w:szCs w:val="20"/>
                <w:vertAlign w:val="superscript"/>
              </w:rPr>
              <w:t>2</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oraz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utrata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białka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&gt;3</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g/1,73m</w:t>
            </w:r>
            <w:r w:rsidRPr="00FD48F5">
              <w:rPr>
                <w:rFonts w:ascii="Times New Roman" w:eastAsia="Times New Roman" w:hAnsi="Times New Roman" w:cs="Times New Roman"/>
                <w:sz w:val="20"/>
                <w:szCs w:val="20"/>
                <w:vertAlign w:val="superscript"/>
              </w:rPr>
              <w:t>2</w:t>
            </w:r>
            <w:r w:rsidRPr="00FD48F5">
              <w:rPr>
                <w:rFonts w:ascii="Times New Roman" w:eastAsia="Times New Roman" w:hAnsi="Times New Roman" w:cs="Times New Roman"/>
                <w:sz w:val="20"/>
                <w:szCs w:val="20"/>
              </w:rPr>
              <w:t>;</w:t>
            </w:r>
          </w:p>
          <w:p w14:paraId="1E310DA0" w14:textId="2198A926" w:rsidR="00543ED8" w:rsidRPr="00FD48F5" w:rsidRDefault="00101159" w:rsidP="00B72F8D">
            <w:pPr>
              <w:pStyle w:val="Akapitzlist"/>
              <w:numPr>
                <w:ilvl w:val="2"/>
                <w:numId w:val="1"/>
              </w:numPr>
              <w:spacing w:after="60"/>
              <w:ind w:right="87"/>
              <w:contextualSpacing w:val="0"/>
              <w:jc w:val="both"/>
              <w:rPr>
                <w:rFonts w:ascii="Times New Roman" w:eastAsia="Times New Roman" w:hAnsi="Times New Roman" w:cs="Times New Roman"/>
                <w:sz w:val="20"/>
                <w:szCs w:val="20"/>
              </w:rPr>
            </w:pPr>
            <w:bookmarkStart w:id="0" w:name="_Hlk31267336"/>
            <w:proofErr w:type="spellStart"/>
            <w:r w:rsidRPr="00FD48F5">
              <w:rPr>
                <w:rFonts w:ascii="Times New Roman" w:eastAsia="Times New Roman" w:hAnsi="Times New Roman" w:cs="Times New Roman"/>
                <w:sz w:val="20"/>
                <w:szCs w:val="20"/>
              </w:rPr>
              <w:t>AlAT</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AspAT</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&gt;3</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x</w:t>
            </w:r>
            <w:r w:rsidR="00711AEC">
              <w:rPr>
                <w:rFonts w:ascii="Times New Roman" w:eastAsia="Times New Roman" w:hAnsi="Times New Roman" w:cs="Times New Roman"/>
                <w:sz w:val="20"/>
                <w:szCs w:val="20"/>
              </w:rPr>
              <w:t xml:space="preserve"> </w:t>
            </w:r>
            <w:r w:rsidR="006E5C7F" w:rsidRPr="00FD48F5">
              <w:rPr>
                <w:rFonts w:ascii="Times New Roman" w:eastAsia="Times New Roman" w:hAnsi="Times New Roman" w:cs="Times New Roman"/>
                <w:sz w:val="20"/>
                <w:szCs w:val="20"/>
              </w:rPr>
              <w:t>GGN</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t>
            </w:r>
            <w:proofErr w:type="spellStart"/>
            <w:r w:rsidRPr="00FD48F5">
              <w:rPr>
                <w:rFonts w:ascii="Times New Roman" w:eastAsia="Times New Roman" w:hAnsi="Times New Roman" w:cs="Times New Roman"/>
                <w:sz w:val="20"/>
                <w:szCs w:val="20"/>
              </w:rPr>
              <w:t>AlAT</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AspAT</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&gt;</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5</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x</w:t>
            </w:r>
            <w:r w:rsidR="00711AEC">
              <w:rPr>
                <w:rFonts w:ascii="Times New Roman" w:eastAsia="Times New Roman" w:hAnsi="Times New Roman" w:cs="Times New Roman"/>
                <w:sz w:val="20"/>
                <w:szCs w:val="20"/>
              </w:rPr>
              <w:t xml:space="preserve"> </w:t>
            </w:r>
            <w:r w:rsidR="006E5C7F" w:rsidRPr="00FD48F5">
              <w:rPr>
                <w:rFonts w:ascii="Times New Roman" w:eastAsia="Times New Roman" w:hAnsi="Times New Roman" w:cs="Times New Roman"/>
                <w:sz w:val="20"/>
                <w:szCs w:val="20"/>
              </w:rPr>
              <w:t>GGN</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chorych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wyjściowo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podwyższonym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stężeniem</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AlAT</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AspAT</w:t>
            </w:r>
            <w:proofErr w:type="spellEnd"/>
            <w:r w:rsidRPr="00FD48F5">
              <w:rPr>
                <w:rFonts w:ascii="Times New Roman" w:eastAsia="Times New Roman" w:hAnsi="Times New Roman" w:cs="Times New Roman"/>
                <w:sz w:val="20"/>
                <w:szCs w:val="20"/>
              </w:rPr>
              <w:t>)</w:t>
            </w:r>
            <w:r w:rsidR="000F4BBD" w:rsidRPr="00FD48F5">
              <w:rPr>
                <w:rFonts w:ascii="Times New Roman" w:eastAsia="Times New Roman" w:hAnsi="Times New Roman" w:cs="Times New Roman"/>
                <w:sz w:val="20"/>
                <w:szCs w:val="20"/>
              </w:rPr>
              <w:t>;</w:t>
            </w:r>
            <w:bookmarkEnd w:id="0"/>
          </w:p>
          <w:p w14:paraId="5AE46DF1" w14:textId="4F774542" w:rsidR="0081116F" w:rsidRPr="00FD48F5" w:rsidRDefault="000F4BBD" w:rsidP="00B72F8D">
            <w:pPr>
              <w:pStyle w:val="Akapitzlist"/>
              <w:numPr>
                <w:ilvl w:val="2"/>
                <w:numId w:val="1"/>
              </w:numPr>
              <w:spacing w:after="60"/>
              <w:ind w:right="87"/>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niewyrównana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niedoczynność</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kory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nadnerczy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tarczycy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(nieadekwatne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substytucyjne);</w:t>
            </w:r>
          </w:p>
          <w:p w14:paraId="085AA6F2" w14:textId="26FD27A6" w:rsidR="0081116F" w:rsidRPr="00FD48F5" w:rsidRDefault="000F4BBD" w:rsidP="00B72F8D">
            <w:pPr>
              <w:pStyle w:val="Akapitzlist"/>
              <w:numPr>
                <w:ilvl w:val="2"/>
                <w:numId w:val="1"/>
              </w:numPr>
              <w:spacing w:after="60"/>
              <w:ind w:right="87"/>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okres</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ciąży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karmienia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piersią;</w:t>
            </w:r>
          </w:p>
          <w:p w14:paraId="18C35713" w14:textId="5B0DFCE3" w:rsidR="0081116F" w:rsidRPr="00FD48F5" w:rsidRDefault="000F4BBD" w:rsidP="00B72F8D">
            <w:pPr>
              <w:pStyle w:val="Akapitzlist"/>
              <w:numPr>
                <w:ilvl w:val="2"/>
                <w:numId w:val="1"/>
              </w:numPr>
              <w:spacing w:after="60"/>
              <w:ind w:right="87"/>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nadwrażliwość</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pegwisomant</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którąkolwiek</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substancję</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pomocniczą</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leku;</w:t>
            </w:r>
          </w:p>
          <w:p w14:paraId="18F0407B" w14:textId="366EF442" w:rsidR="0081116F" w:rsidRPr="00FD48F5" w:rsidRDefault="000F4BBD" w:rsidP="00B72F8D">
            <w:pPr>
              <w:pStyle w:val="Akapitzlist"/>
              <w:numPr>
                <w:ilvl w:val="2"/>
                <w:numId w:val="1"/>
              </w:numPr>
              <w:spacing w:after="60"/>
              <w:ind w:right="87"/>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brak</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odpowiedzi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sytuacji,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gdy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uzyskano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normalizacji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stężenia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IGF-1</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odpowiednio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dla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płci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wieku,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najmniej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12</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miesięcznym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okresie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podawania</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pegwisomantu</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najwyższej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tolerowanej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dawce;</w:t>
            </w:r>
            <w:r w:rsidR="00711AEC">
              <w:rPr>
                <w:rFonts w:ascii="Times New Roman" w:eastAsia="Times New Roman" w:hAnsi="Times New Roman" w:cs="Times New Roman"/>
                <w:sz w:val="20"/>
                <w:szCs w:val="20"/>
              </w:rPr>
              <w:t xml:space="preserve"> </w:t>
            </w:r>
          </w:p>
          <w:p w14:paraId="571ECBD1" w14:textId="77777777" w:rsidR="00DC08AC" w:rsidRPr="00FD48F5" w:rsidRDefault="00DC08AC" w:rsidP="00FD48F5">
            <w:pPr>
              <w:pStyle w:val="Akapitzlist"/>
              <w:spacing w:after="60"/>
              <w:ind w:left="454" w:right="87"/>
              <w:contextualSpacing w:val="0"/>
              <w:jc w:val="both"/>
              <w:rPr>
                <w:rFonts w:ascii="Times New Roman" w:eastAsia="Times New Roman" w:hAnsi="Times New Roman" w:cs="Times New Roman"/>
                <w:sz w:val="20"/>
                <w:szCs w:val="20"/>
              </w:rPr>
            </w:pPr>
          </w:p>
          <w:p w14:paraId="53E67A96" w14:textId="4963C29F" w:rsidR="009A655D" w:rsidRPr="00FD48F5" w:rsidRDefault="0081116F" w:rsidP="00B72F8D">
            <w:pPr>
              <w:pStyle w:val="Akapitzlist"/>
              <w:numPr>
                <w:ilvl w:val="1"/>
                <w:numId w:val="1"/>
              </w:numPr>
              <w:spacing w:after="60"/>
              <w:ind w:right="87"/>
              <w:contextualSpacing w:val="0"/>
              <w:jc w:val="both"/>
              <w:rPr>
                <w:rFonts w:ascii="Times New Roman" w:eastAsia="Times New Roman" w:hAnsi="Times New Roman" w:cs="Times New Roman"/>
                <w:b/>
                <w:sz w:val="20"/>
                <w:szCs w:val="20"/>
              </w:rPr>
            </w:pPr>
            <w:r w:rsidRPr="00FD48F5">
              <w:rPr>
                <w:rFonts w:ascii="Times New Roman" w:eastAsia="Times New Roman" w:hAnsi="Times New Roman" w:cs="Times New Roman"/>
                <w:b/>
                <w:sz w:val="20"/>
                <w:szCs w:val="20"/>
              </w:rPr>
              <w:t>Określenie</w:t>
            </w:r>
            <w:r w:rsidR="00711AEC">
              <w:rPr>
                <w:rFonts w:ascii="Times New Roman" w:eastAsia="Times New Roman" w:hAnsi="Times New Roman" w:cs="Times New Roman"/>
                <w:b/>
                <w:sz w:val="20"/>
                <w:szCs w:val="20"/>
              </w:rPr>
              <w:t xml:space="preserve"> </w:t>
            </w:r>
            <w:r w:rsidRPr="00FD48F5">
              <w:rPr>
                <w:rFonts w:ascii="Times New Roman" w:eastAsia="Times New Roman" w:hAnsi="Times New Roman" w:cs="Times New Roman"/>
                <w:b/>
                <w:sz w:val="20"/>
                <w:szCs w:val="20"/>
              </w:rPr>
              <w:t>czasu</w:t>
            </w:r>
            <w:r w:rsidR="00711AEC">
              <w:rPr>
                <w:rFonts w:ascii="Times New Roman" w:eastAsia="Times New Roman" w:hAnsi="Times New Roman" w:cs="Times New Roman"/>
                <w:b/>
                <w:sz w:val="20"/>
                <w:szCs w:val="20"/>
              </w:rPr>
              <w:t xml:space="preserve"> </w:t>
            </w:r>
            <w:r w:rsidRPr="00FD48F5">
              <w:rPr>
                <w:rFonts w:ascii="Times New Roman" w:eastAsia="Times New Roman" w:hAnsi="Times New Roman" w:cs="Times New Roman"/>
                <w:b/>
                <w:sz w:val="20"/>
                <w:szCs w:val="20"/>
              </w:rPr>
              <w:t>leczenia</w:t>
            </w:r>
            <w:r w:rsidR="00711AEC">
              <w:rPr>
                <w:rFonts w:ascii="Times New Roman" w:eastAsia="Times New Roman" w:hAnsi="Times New Roman" w:cs="Times New Roman"/>
                <w:b/>
                <w:sz w:val="20"/>
                <w:szCs w:val="20"/>
              </w:rPr>
              <w:t xml:space="preserve"> </w:t>
            </w:r>
            <w:r w:rsidRPr="00FD48F5">
              <w:rPr>
                <w:rFonts w:ascii="Times New Roman" w:eastAsia="Times New Roman" w:hAnsi="Times New Roman" w:cs="Times New Roman"/>
                <w:b/>
                <w:sz w:val="20"/>
                <w:szCs w:val="20"/>
              </w:rPr>
              <w:t>w</w:t>
            </w:r>
            <w:r w:rsidR="00711AEC">
              <w:rPr>
                <w:rFonts w:ascii="Times New Roman" w:eastAsia="Times New Roman" w:hAnsi="Times New Roman" w:cs="Times New Roman"/>
                <w:b/>
                <w:sz w:val="20"/>
                <w:szCs w:val="20"/>
              </w:rPr>
              <w:t xml:space="preserve"> </w:t>
            </w:r>
            <w:r w:rsidRPr="00FD48F5">
              <w:rPr>
                <w:rFonts w:ascii="Times New Roman" w:eastAsia="Times New Roman" w:hAnsi="Times New Roman" w:cs="Times New Roman"/>
                <w:b/>
                <w:sz w:val="20"/>
                <w:szCs w:val="20"/>
              </w:rPr>
              <w:t>programie</w:t>
            </w:r>
          </w:p>
          <w:p w14:paraId="5CB61B9E" w14:textId="198FE7E8" w:rsidR="00522286" w:rsidRPr="00B72F8D" w:rsidRDefault="009A655D" w:rsidP="00B72F8D">
            <w:pPr>
              <w:spacing w:after="60"/>
              <w:ind w:right="87"/>
              <w:jc w:val="both"/>
              <w:rPr>
                <w:rFonts w:ascii="Times New Roman" w:eastAsia="Times New Roman" w:hAnsi="Times New Roman" w:cs="Times New Roman"/>
                <w:sz w:val="20"/>
                <w:szCs w:val="20"/>
              </w:rPr>
            </w:pPr>
            <w:r w:rsidRPr="00B72F8D">
              <w:rPr>
                <w:rFonts w:ascii="Times New Roman" w:eastAsia="Times New Roman" w:hAnsi="Times New Roman" w:cs="Times New Roman"/>
                <w:sz w:val="20"/>
                <w:szCs w:val="20"/>
              </w:rPr>
              <w:t>Leczenie</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trwa</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czasu</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podjęcia</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przez</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lekarza</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prowadzącego</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decyzji</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o</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wyłączeniu</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świadczeniobiorcy</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z</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programu</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zgodnie</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z</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kryteriami</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wyłączenia.</w:t>
            </w:r>
          </w:p>
          <w:p w14:paraId="4BF9A668" w14:textId="5D31DB47" w:rsidR="00522286" w:rsidRPr="00FD48F5" w:rsidRDefault="00522286" w:rsidP="00FD48F5">
            <w:pPr>
              <w:spacing w:after="60"/>
              <w:ind w:right="87"/>
              <w:jc w:val="both"/>
              <w:rPr>
                <w:rFonts w:ascii="Times New Roman" w:eastAsia="Times New Roman" w:hAnsi="Times New Roman" w:cs="Times New Roman"/>
                <w:sz w:val="20"/>
                <w:szCs w:val="20"/>
              </w:rPr>
            </w:pPr>
          </w:p>
        </w:tc>
        <w:tc>
          <w:tcPr>
            <w:tcW w:w="1298" w:type="pct"/>
            <w:tcBorders>
              <w:top w:val="single" w:sz="6" w:space="0" w:color="auto"/>
              <w:left w:val="single" w:sz="6" w:space="0" w:color="auto"/>
              <w:bottom w:val="single" w:sz="6" w:space="0" w:color="auto"/>
              <w:right w:val="single" w:sz="6" w:space="0" w:color="auto"/>
            </w:tcBorders>
          </w:tcPr>
          <w:p w14:paraId="4371BC6C" w14:textId="33CC8DC8" w:rsidR="005063BD" w:rsidRPr="00FD48F5" w:rsidRDefault="005063BD" w:rsidP="00B72F8D">
            <w:pPr>
              <w:pStyle w:val="Standard"/>
              <w:numPr>
                <w:ilvl w:val="0"/>
                <w:numId w:val="2"/>
              </w:numPr>
              <w:spacing w:before="120" w:after="60" w:line="276" w:lineRule="auto"/>
              <w:jc w:val="both"/>
              <w:rPr>
                <w:rFonts w:cs="Times New Roman"/>
                <w:b/>
                <w:bCs/>
                <w:sz w:val="20"/>
                <w:szCs w:val="20"/>
              </w:rPr>
            </w:pPr>
            <w:r w:rsidRPr="00FD48F5">
              <w:rPr>
                <w:rFonts w:cs="Times New Roman"/>
                <w:b/>
                <w:bCs/>
                <w:sz w:val="20"/>
                <w:szCs w:val="20"/>
              </w:rPr>
              <w:lastRenderedPageBreak/>
              <w:t>Leczenie</w:t>
            </w:r>
            <w:r w:rsidR="00711AEC">
              <w:rPr>
                <w:rFonts w:cs="Times New Roman"/>
                <w:b/>
                <w:bCs/>
                <w:sz w:val="20"/>
                <w:szCs w:val="20"/>
              </w:rPr>
              <w:t xml:space="preserve"> </w:t>
            </w:r>
            <w:proofErr w:type="spellStart"/>
            <w:r w:rsidRPr="00FD48F5">
              <w:rPr>
                <w:rFonts w:cs="Times New Roman"/>
                <w:b/>
                <w:bCs/>
                <w:sz w:val="20"/>
                <w:szCs w:val="20"/>
              </w:rPr>
              <w:t>pasyreotydem</w:t>
            </w:r>
            <w:proofErr w:type="spellEnd"/>
          </w:p>
          <w:p w14:paraId="7D565080" w14:textId="3679E53A" w:rsidR="005063BD" w:rsidRPr="00FD48F5" w:rsidRDefault="00F729FE" w:rsidP="00B72F8D">
            <w:pPr>
              <w:pStyle w:val="Akapitzlist"/>
              <w:numPr>
                <w:ilvl w:val="1"/>
                <w:numId w:val="2"/>
              </w:numPr>
              <w:spacing w:after="60"/>
              <w:ind w:right="57"/>
              <w:contextualSpacing w:val="0"/>
              <w:jc w:val="both"/>
              <w:rPr>
                <w:rFonts w:ascii="Times New Roman" w:eastAsia="Times New Roman" w:hAnsi="Times New Roman" w:cs="Times New Roman"/>
                <w:b/>
                <w:sz w:val="20"/>
                <w:szCs w:val="20"/>
              </w:rPr>
            </w:pPr>
            <w:r w:rsidRPr="00FD48F5">
              <w:rPr>
                <w:rFonts w:ascii="Times New Roman" w:eastAsia="Times New Roman" w:hAnsi="Times New Roman" w:cs="Times New Roman"/>
                <w:b/>
                <w:sz w:val="20"/>
                <w:szCs w:val="20"/>
              </w:rPr>
              <w:t>Dawkowanie</w:t>
            </w:r>
            <w:r w:rsidR="00711AEC">
              <w:rPr>
                <w:rFonts w:ascii="Times New Roman" w:eastAsia="Times New Roman" w:hAnsi="Times New Roman" w:cs="Times New Roman"/>
                <w:b/>
                <w:sz w:val="20"/>
                <w:szCs w:val="20"/>
              </w:rPr>
              <w:t xml:space="preserve"> </w:t>
            </w:r>
          </w:p>
          <w:p w14:paraId="66F0C6DD" w14:textId="77777777" w:rsidR="00313940" w:rsidRDefault="00F729FE" w:rsidP="008F112F">
            <w:pPr>
              <w:spacing w:after="60"/>
              <w:ind w:right="57"/>
              <w:jc w:val="both"/>
            </w:pPr>
            <w:r w:rsidRPr="00B72F8D">
              <w:rPr>
                <w:rFonts w:ascii="Times New Roman" w:eastAsia="Times New Roman" w:hAnsi="Times New Roman" w:cs="Times New Roman"/>
                <w:sz w:val="20"/>
                <w:szCs w:val="20"/>
              </w:rPr>
              <w:t>Zalecana</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początkowa</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dawka</w:t>
            </w:r>
            <w:r w:rsidR="00711AEC">
              <w:rPr>
                <w:rFonts w:ascii="Times New Roman" w:eastAsia="Times New Roman" w:hAnsi="Times New Roman" w:cs="Times New Roman"/>
                <w:sz w:val="20"/>
                <w:szCs w:val="20"/>
              </w:rPr>
              <w:t xml:space="preserve"> </w:t>
            </w:r>
            <w:proofErr w:type="spellStart"/>
            <w:r w:rsidRPr="00B72F8D">
              <w:rPr>
                <w:rFonts w:ascii="Times New Roman" w:eastAsia="Times New Roman" w:hAnsi="Times New Roman" w:cs="Times New Roman"/>
                <w:sz w:val="20"/>
                <w:szCs w:val="20"/>
              </w:rPr>
              <w:t>pasyreotydu</w:t>
            </w:r>
            <w:proofErr w:type="spellEnd"/>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wynosi</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40</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mg</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podawana</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iniekcjach</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domięśniowych</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co</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28</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dni.</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przypadku</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braku</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kontroli</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biochemicznej</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akromegalii</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(utrzymywanie</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się</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stężenia</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GH</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≥2,5</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µg/l</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i/lub</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IGF-1</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powyżej</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normy</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dla</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płci</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wieku)</w:t>
            </w:r>
            <w:r w:rsidR="00711AEC">
              <w:rPr>
                <w:rFonts w:ascii="Times New Roman" w:eastAsia="Times New Roman" w:hAnsi="Times New Roman" w:cs="Times New Roman"/>
                <w:sz w:val="20"/>
                <w:szCs w:val="20"/>
              </w:rPr>
              <w:t xml:space="preserve"> </w:t>
            </w:r>
            <w:r w:rsidR="008F112F">
              <w:rPr>
                <w:rFonts w:ascii="Times New Roman" w:eastAsia="Times New Roman" w:hAnsi="Times New Roman" w:cs="Times New Roman"/>
                <w:sz w:val="20"/>
                <w:szCs w:val="20"/>
              </w:rPr>
              <w:t xml:space="preserve">najwcześniej </w:t>
            </w:r>
            <w:r w:rsidRPr="00B72F8D">
              <w:rPr>
                <w:rFonts w:ascii="Times New Roman" w:eastAsia="Times New Roman" w:hAnsi="Times New Roman" w:cs="Times New Roman"/>
                <w:sz w:val="20"/>
                <w:szCs w:val="20"/>
              </w:rPr>
              <w:t>po</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12</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tygodniach</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dawka</w:t>
            </w:r>
            <w:r w:rsidR="00711AEC">
              <w:rPr>
                <w:rFonts w:ascii="Times New Roman" w:eastAsia="Times New Roman" w:hAnsi="Times New Roman" w:cs="Times New Roman"/>
                <w:sz w:val="20"/>
                <w:szCs w:val="20"/>
              </w:rPr>
              <w:t xml:space="preserve"> </w:t>
            </w:r>
            <w:proofErr w:type="spellStart"/>
            <w:r w:rsidRPr="00B72F8D">
              <w:rPr>
                <w:rFonts w:ascii="Times New Roman" w:eastAsia="Times New Roman" w:hAnsi="Times New Roman" w:cs="Times New Roman"/>
                <w:sz w:val="20"/>
                <w:szCs w:val="20"/>
              </w:rPr>
              <w:t>pasyreotydu</w:t>
            </w:r>
            <w:proofErr w:type="spellEnd"/>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może</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zostać</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zwiększona</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60</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mg</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podawana</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co</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28</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dni.</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przypadku</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wystąpienia</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działań</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niepożądanych</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nadmiernej</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odpowiedzi</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na</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leczenie</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dawka</w:t>
            </w:r>
            <w:r w:rsidR="00711AEC">
              <w:rPr>
                <w:rFonts w:ascii="Times New Roman" w:eastAsia="Times New Roman" w:hAnsi="Times New Roman" w:cs="Times New Roman"/>
                <w:sz w:val="20"/>
                <w:szCs w:val="20"/>
              </w:rPr>
              <w:t xml:space="preserve"> </w:t>
            </w:r>
            <w:proofErr w:type="spellStart"/>
            <w:r w:rsidRPr="00B72F8D">
              <w:rPr>
                <w:rFonts w:ascii="Times New Roman" w:eastAsia="Times New Roman" w:hAnsi="Times New Roman" w:cs="Times New Roman"/>
                <w:sz w:val="20"/>
                <w:szCs w:val="20"/>
              </w:rPr>
              <w:t>pasyreotydu</w:t>
            </w:r>
            <w:proofErr w:type="spellEnd"/>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może</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zostać</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zmniejszona</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o</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20</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mg</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preparat</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powinien</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zostać</w:t>
            </w:r>
            <w:r w:rsidR="00711AEC">
              <w:rPr>
                <w:rFonts w:ascii="Times New Roman" w:eastAsia="Times New Roman" w:hAnsi="Times New Roman" w:cs="Times New Roman"/>
                <w:sz w:val="20"/>
                <w:szCs w:val="20"/>
              </w:rPr>
              <w:t xml:space="preserve"> </w:t>
            </w:r>
            <w:r w:rsidRPr="00B72F8D">
              <w:rPr>
                <w:rFonts w:ascii="Times New Roman" w:eastAsia="Times New Roman" w:hAnsi="Times New Roman" w:cs="Times New Roman"/>
                <w:sz w:val="20"/>
                <w:szCs w:val="20"/>
              </w:rPr>
              <w:t>odstawiony.</w:t>
            </w:r>
            <w:r w:rsidR="008F112F">
              <w:t xml:space="preserve"> </w:t>
            </w:r>
          </w:p>
          <w:p w14:paraId="735B3376" w14:textId="0E1C9748" w:rsidR="00F729FE" w:rsidRPr="00B72F8D" w:rsidRDefault="008F112F" w:rsidP="008F112F">
            <w:pPr>
              <w:spacing w:after="60"/>
              <w:ind w:right="57"/>
              <w:jc w:val="both"/>
              <w:rPr>
                <w:rFonts w:ascii="Times New Roman" w:eastAsia="Times New Roman" w:hAnsi="Times New Roman" w:cs="Times New Roman"/>
                <w:sz w:val="20"/>
                <w:szCs w:val="20"/>
              </w:rPr>
            </w:pPr>
            <w:r w:rsidRPr="008F112F">
              <w:rPr>
                <w:rFonts w:ascii="Times New Roman" w:eastAsia="Times New Roman" w:hAnsi="Times New Roman" w:cs="Times New Roman"/>
                <w:sz w:val="20"/>
                <w:szCs w:val="20"/>
              </w:rPr>
              <w:t>Modyfikacja</w:t>
            </w:r>
            <w:r w:rsidR="00313940">
              <w:rPr>
                <w:rFonts w:ascii="Times New Roman" w:eastAsia="Times New Roman" w:hAnsi="Times New Roman" w:cs="Times New Roman"/>
                <w:sz w:val="20"/>
                <w:szCs w:val="20"/>
              </w:rPr>
              <w:t xml:space="preserve"> </w:t>
            </w:r>
            <w:r w:rsidRPr="008F112F">
              <w:rPr>
                <w:rFonts w:ascii="Times New Roman" w:eastAsia="Times New Roman" w:hAnsi="Times New Roman" w:cs="Times New Roman"/>
                <w:sz w:val="20"/>
                <w:szCs w:val="20"/>
              </w:rPr>
              <w:t>dawkowania (zwi</w:t>
            </w:r>
            <w:r>
              <w:rPr>
                <w:rFonts w:ascii="Times New Roman" w:eastAsia="Times New Roman" w:hAnsi="Times New Roman" w:cs="Times New Roman"/>
                <w:sz w:val="20"/>
                <w:szCs w:val="20"/>
              </w:rPr>
              <w:t>ę</w:t>
            </w:r>
            <w:r w:rsidRPr="008F112F">
              <w:rPr>
                <w:rFonts w:ascii="Times New Roman" w:eastAsia="Times New Roman" w:hAnsi="Times New Roman" w:cs="Times New Roman"/>
                <w:sz w:val="20"/>
                <w:szCs w:val="20"/>
              </w:rPr>
              <w:t>kszenie lub zmniejszenie</w:t>
            </w:r>
            <w:r w:rsidR="00313940">
              <w:rPr>
                <w:rFonts w:ascii="Times New Roman" w:eastAsia="Times New Roman" w:hAnsi="Times New Roman" w:cs="Times New Roman"/>
                <w:sz w:val="20"/>
                <w:szCs w:val="20"/>
              </w:rPr>
              <w:t xml:space="preserve"> </w:t>
            </w:r>
            <w:r w:rsidRPr="008F112F">
              <w:rPr>
                <w:rFonts w:ascii="Times New Roman" w:eastAsia="Times New Roman" w:hAnsi="Times New Roman" w:cs="Times New Roman"/>
                <w:sz w:val="20"/>
                <w:szCs w:val="20"/>
              </w:rPr>
              <w:t>dawki) jest mo</w:t>
            </w:r>
            <w:r>
              <w:rPr>
                <w:rFonts w:ascii="Times New Roman" w:eastAsia="Times New Roman" w:hAnsi="Times New Roman" w:cs="Times New Roman"/>
                <w:sz w:val="20"/>
                <w:szCs w:val="20"/>
              </w:rPr>
              <w:t>ż</w:t>
            </w:r>
            <w:r w:rsidRPr="008F112F">
              <w:rPr>
                <w:rFonts w:ascii="Times New Roman" w:eastAsia="Times New Roman" w:hAnsi="Times New Roman" w:cs="Times New Roman"/>
                <w:sz w:val="20"/>
                <w:szCs w:val="20"/>
              </w:rPr>
              <w:t>liwa na ka</w:t>
            </w:r>
            <w:r>
              <w:rPr>
                <w:rFonts w:ascii="Times New Roman" w:eastAsia="Times New Roman" w:hAnsi="Times New Roman" w:cs="Times New Roman"/>
                <w:sz w:val="20"/>
                <w:szCs w:val="20"/>
              </w:rPr>
              <w:t>ż</w:t>
            </w:r>
            <w:r w:rsidRPr="008F112F">
              <w:rPr>
                <w:rFonts w:ascii="Times New Roman" w:eastAsia="Times New Roman" w:hAnsi="Times New Roman" w:cs="Times New Roman"/>
                <w:sz w:val="20"/>
                <w:szCs w:val="20"/>
              </w:rPr>
              <w:t>dym etapie leczenia</w:t>
            </w:r>
            <w:r w:rsidR="00313940">
              <w:rPr>
                <w:rFonts w:ascii="Times New Roman" w:eastAsia="Times New Roman" w:hAnsi="Times New Roman" w:cs="Times New Roman"/>
                <w:sz w:val="20"/>
                <w:szCs w:val="20"/>
              </w:rPr>
              <w:t xml:space="preserve"> </w:t>
            </w:r>
            <w:r w:rsidRPr="008F112F">
              <w:rPr>
                <w:rFonts w:ascii="Times New Roman" w:eastAsia="Times New Roman" w:hAnsi="Times New Roman" w:cs="Times New Roman"/>
                <w:sz w:val="20"/>
                <w:szCs w:val="20"/>
              </w:rPr>
              <w:t>okresach nie kr</w:t>
            </w:r>
            <w:r>
              <w:rPr>
                <w:rFonts w:ascii="Times New Roman" w:eastAsia="Times New Roman" w:hAnsi="Times New Roman" w:cs="Times New Roman"/>
                <w:sz w:val="20"/>
                <w:szCs w:val="20"/>
              </w:rPr>
              <w:t>ó</w:t>
            </w:r>
            <w:r w:rsidRPr="008F112F">
              <w:rPr>
                <w:rFonts w:ascii="Times New Roman" w:eastAsia="Times New Roman" w:hAnsi="Times New Roman" w:cs="Times New Roman"/>
                <w:sz w:val="20"/>
                <w:szCs w:val="20"/>
              </w:rPr>
              <w:t>tszych ni</w:t>
            </w:r>
            <w:r>
              <w:rPr>
                <w:rFonts w:ascii="Times New Roman" w:eastAsia="Times New Roman" w:hAnsi="Times New Roman" w:cs="Times New Roman"/>
                <w:sz w:val="20"/>
                <w:szCs w:val="20"/>
              </w:rPr>
              <w:t>ż</w:t>
            </w:r>
            <w:r w:rsidRPr="008F112F">
              <w:rPr>
                <w:rFonts w:ascii="Times New Roman" w:eastAsia="Times New Roman" w:hAnsi="Times New Roman" w:cs="Times New Roman"/>
                <w:sz w:val="20"/>
                <w:szCs w:val="20"/>
              </w:rPr>
              <w:t xml:space="preserve"> co 12 tygodni</w:t>
            </w:r>
            <w:r>
              <w:rPr>
                <w:rFonts w:ascii="Times New Roman" w:eastAsia="Times New Roman" w:hAnsi="Times New Roman" w:cs="Times New Roman"/>
                <w:sz w:val="20"/>
                <w:szCs w:val="20"/>
              </w:rPr>
              <w:t>.</w:t>
            </w:r>
          </w:p>
          <w:p w14:paraId="5F41C5DC" w14:textId="77777777" w:rsidR="00DC08AC" w:rsidRPr="00FD48F5" w:rsidRDefault="00DC08AC" w:rsidP="00FD48F5">
            <w:pPr>
              <w:spacing w:after="60"/>
              <w:ind w:right="57"/>
              <w:jc w:val="both"/>
              <w:rPr>
                <w:rFonts w:ascii="Times New Roman" w:eastAsia="Times New Roman" w:hAnsi="Times New Roman" w:cs="Times New Roman"/>
                <w:sz w:val="20"/>
                <w:szCs w:val="20"/>
              </w:rPr>
            </w:pPr>
          </w:p>
          <w:p w14:paraId="0CD2248A" w14:textId="78B202B1" w:rsidR="00F729FE" w:rsidRPr="00FD48F5" w:rsidRDefault="00F729FE" w:rsidP="00B72F8D">
            <w:pPr>
              <w:pStyle w:val="Akapitzlist"/>
              <w:numPr>
                <w:ilvl w:val="1"/>
                <w:numId w:val="2"/>
              </w:numPr>
              <w:spacing w:after="60"/>
              <w:ind w:right="57"/>
              <w:contextualSpacing w:val="0"/>
              <w:jc w:val="both"/>
              <w:rPr>
                <w:rFonts w:ascii="Times New Roman" w:eastAsia="Times New Roman" w:hAnsi="Times New Roman" w:cs="Times New Roman"/>
                <w:b/>
                <w:sz w:val="20"/>
                <w:szCs w:val="20"/>
              </w:rPr>
            </w:pPr>
            <w:r w:rsidRPr="00FD48F5">
              <w:rPr>
                <w:rFonts w:ascii="Times New Roman" w:eastAsia="Times New Roman" w:hAnsi="Times New Roman" w:cs="Times New Roman"/>
                <w:b/>
                <w:sz w:val="20"/>
                <w:szCs w:val="20"/>
              </w:rPr>
              <w:t>Sposób</w:t>
            </w:r>
            <w:r w:rsidR="00711AEC">
              <w:rPr>
                <w:rFonts w:ascii="Times New Roman" w:eastAsia="Times New Roman" w:hAnsi="Times New Roman" w:cs="Times New Roman"/>
                <w:b/>
                <w:sz w:val="20"/>
                <w:szCs w:val="20"/>
              </w:rPr>
              <w:t xml:space="preserve"> </w:t>
            </w:r>
            <w:r w:rsidRPr="00FD48F5">
              <w:rPr>
                <w:rFonts w:ascii="Times New Roman" w:eastAsia="Times New Roman" w:hAnsi="Times New Roman" w:cs="Times New Roman"/>
                <w:b/>
                <w:sz w:val="20"/>
                <w:szCs w:val="20"/>
              </w:rPr>
              <w:t>podawania</w:t>
            </w:r>
          </w:p>
          <w:p w14:paraId="74D0808C" w14:textId="5785E2A9" w:rsidR="00785BB8" w:rsidRPr="00FD48F5" w:rsidRDefault="00F729FE" w:rsidP="00B72F8D">
            <w:pPr>
              <w:pStyle w:val="Akapitzlist"/>
              <w:numPr>
                <w:ilvl w:val="2"/>
                <w:numId w:val="2"/>
              </w:numPr>
              <w:spacing w:after="60"/>
              <w:ind w:right="54"/>
              <w:contextualSpacing w:val="0"/>
              <w:jc w:val="both"/>
              <w:rPr>
                <w:rFonts w:ascii="Times New Roman" w:eastAsia="Times New Roman" w:hAnsi="Times New Roman" w:cs="Times New Roman"/>
                <w:sz w:val="20"/>
                <w:szCs w:val="20"/>
              </w:rPr>
            </w:pPr>
            <w:proofErr w:type="spellStart"/>
            <w:r w:rsidRPr="00FD48F5">
              <w:rPr>
                <w:rFonts w:ascii="Times New Roman" w:eastAsia="Times New Roman" w:hAnsi="Times New Roman" w:cs="Times New Roman"/>
                <w:sz w:val="20"/>
                <w:szCs w:val="20"/>
              </w:rPr>
              <w:t>Pasyreotyd</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jest</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podawany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głębokim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wstrzyknięciu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domięśniowym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lastRenderedPageBreak/>
              <w:t>wykonywanym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przez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fachowy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personel</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medyczny.</w:t>
            </w:r>
          </w:p>
          <w:p w14:paraId="7DE06075" w14:textId="23F4F656" w:rsidR="00F729FE" w:rsidRDefault="00F729FE" w:rsidP="00B72F8D">
            <w:pPr>
              <w:pStyle w:val="Akapitzlist"/>
              <w:numPr>
                <w:ilvl w:val="2"/>
                <w:numId w:val="2"/>
              </w:numPr>
              <w:spacing w:after="60"/>
              <w:ind w:right="54"/>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przypadku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wielokrotnego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podawania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należy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zmieniać</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miejsca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podania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leku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między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prawym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lewym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mięśniem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pośladkowym.</w:t>
            </w:r>
          </w:p>
          <w:p w14:paraId="27F7FC2D" w14:textId="77777777" w:rsidR="00B72F8D" w:rsidRPr="00FD48F5" w:rsidRDefault="00B72F8D" w:rsidP="00B72F8D">
            <w:pPr>
              <w:pStyle w:val="Akapitzlist"/>
              <w:spacing w:after="60"/>
              <w:ind w:left="454" w:right="54"/>
              <w:contextualSpacing w:val="0"/>
              <w:jc w:val="both"/>
              <w:rPr>
                <w:rFonts w:ascii="Times New Roman" w:eastAsia="Times New Roman" w:hAnsi="Times New Roman" w:cs="Times New Roman"/>
                <w:sz w:val="20"/>
                <w:szCs w:val="20"/>
              </w:rPr>
            </w:pPr>
          </w:p>
          <w:p w14:paraId="23E17466" w14:textId="29D91845" w:rsidR="00F729FE" w:rsidRPr="00FD48F5" w:rsidRDefault="00F729FE" w:rsidP="00B72F8D">
            <w:pPr>
              <w:pStyle w:val="Akapitzlist"/>
              <w:numPr>
                <w:ilvl w:val="1"/>
                <w:numId w:val="2"/>
              </w:numPr>
              <w:spacing w:after="60"/>
              <w:ind w:right="54"/>
              <w:contextualSpacing w:val="0"/>
              <w:jc w:val="both"/>
              <w:rPr>
                <w:rFonts w:ascii="Times New Roman" w:eastAsia="Times New Roman" w:hAnsi="Times New Roman" w:cs="Times New Roman"/>
                <w:b/>
                <w:sz w:val="20"/>
                <w:szCs w:val="20"/>
              </w:rPr>
            </w:pPr>
            <w:r w:rsidRPr="00FD48F5">
              <w:rPr>
                <w:rFonts w:ascii="Times New Roman" w:eastAsia="Times New Roman" w:hAnsi="Times New Roman" w:cs="Times New Roman"/>
                <w:b/>
                <w:sz w:val="20"/>
                <w:szCs w:val="20"/>
              </w:rPr>
              <w:t>Specjalne</w:t>
            </w:r>
            <w:r w:rsidR="00711AEC">
              <w:rPr>
                <w:rFonts w:ascii="Times New Roman" w:eastAsia="Times New Roman" w:hAnsi="Times New Roman" w:cs="Times New Roman"/>
                <w:b/>
                <w:sz w:val="20"/>
                <w:szCs w:val="20"/>
              </w:rPr>
              <w:t xml:space="preserve"> </w:t>
            </w:r>
            <w:r w:rsidRPr="00FD48F5">
              <w:rPr>
                <w:rFonts w:ascii="Times New Roman" w:eastAsia="Times New Roman" w:hAnsi="Times New Roman" w:cs="Times New Roman"/>
                <w:b/>
                <w:sz w:val="20"/>
                <w:szCs w:val="20"/>
              </w:rPr>
              <w:t>ostrzeżenia</w:t>
            </w:r>
            <w:r w:rsidR="00711AEC">
              <w:rPr>
                <w:rFonts w:ascii="Times New Roman" w:eastAsia="Times New Roman" w:hAnsi="Times New Roman" w:cs="Times New Roman"/>
                <w:b/>
                <w:sz w:val="20"/>
                <w:szCs w:val="20"/>
              </w:rPr>
              <w:t xml:space="preserve"> </w:t>
            </w:r>
            <w:r w:rsidRPr="00FD48F5">
              <w:rPr>
                <w:rFonts w:ascii="Times New Roman" w:eastAsia="Times New Roman" w:hAnsi="Times New Roman" w:cs="Times New Roman"/>
                <w:b/>
                <w:sz w:val="20"/>
                <w:szCs w:val="20"/>
              </w:rPr>
              <w:t>i</w:t>
            </w:r>
            <w:r w:rsidR="00711AEC">
              <w:rPr>
                <w:rFonts w:ascii="Times New Roman" w:eastAsia="Times New Roman" w:hAnsi="Times New Roman" w:cs="Times New Roman"/>
                <w:b/>
                <w:sz w:val="20"/>
                <w:szCs w:val="20"/>
              </w:rPr>
              <w:t xml:space="preserve"> </w:t>
            </w:r>
            <w:r w:rsidRPr="00FD48F5">
              <w:rPr>
                <w:rFonts w:ascii="Times New Roman" w:eastAsia="Times New Roman" w:hAnsi="Times New Roman" w:cs="Times New Roman"/>
                <w:b/>
                <w:sz w:val="20"/>
                <w:szCs w:val="20"/>
              </w:rPr>
              <w:t>środki</w:t>
            </w:r>
            <w:r w:rsidR="00711AEC">
              <w:rPr>
                <w:rFonts w:ascii="Times New Roman" w:eastAsia="Times New Roman" w:hAnsi="Times New Roman" w:cs="Times New Roman"/>
                <w:b/>
                <w:sz w:val="20"/>
                <w:szCs w:val="20"/>
              </w:rPr>
              <w:t xml:space="preserve"> </w:t>
            </w:r>
            <w:r w:rsidRPr="00FD48F5">
              <w:rPr>
                <w:rFonts w:ascii="Times New Roman" w:eastAsia="Times New Roman" w:hAnsi="Times New Roman" w:cs="Times New Roman"/>
                <w:b/>
                <w:sz w:val="20"/>
                <w:szCs w:val="20"/>
              </w:rPr>
              <w:t>ostrożności</w:t>
            </w:r>
            <w:r w:rsidR="00711AEC">
              <w:rPr>
                <w:rFonts w:ascii="Times New Roman" w:eastAsia="Times New Roman" w:hAnsi="Times New Roman" w:cs="Times New Roman"/>
                <w:b/>
                <w:sz w:val="20"/>
                <w:szCs w:val="20"/>
              </w:rPr>
              <w:t xml:space="preserve"> </w:t>
            </w:r>
          </w:p>
          <w:p w14:paraId="1B3B2554" w14:textId="7C504B49" w:rsidR="00785BB8" w:rsidRPr="00FD48F5" w:rsidRDefault="00F729FE" w:rsidP="00B72F8D">
            <w:pPr>
              <w:pStyle w:val="Akapitzlist"/>
              <w:numPr>
                <w:ilvl w:val="2"/>
                <w:numId w:val="2"/>
              </w:numPr>
              <w:spacing w:after="60"/>
              <w:ind w:right="54"/>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Jeżeli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pacjenta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leczonego</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pasyreotydem</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wystąpi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hiperglikemia,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zaleca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się</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rozpoczęcie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zmianę</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przeciwcukrzycowego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według</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wytycznych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dotyczących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postępowania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hiperglikemii.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Jeżeli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niekontrolowana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hiperglikemia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utrzymuje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się</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pomimo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odpowiedniego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dawkę</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pasyreotydu</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należy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zmniejszyć</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należy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przerwać</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leczenie.</w:t>
            </w:r>
          </w:p>
          <w:p w14:paraId="4713CACD" w14:textId="32FFDB4B" w:rsidR="00F729FE" w:rsidRPr="00FD48F5" w:rsidRDefault="00F729FE" w:rsidP="00B72F8D">
            <w:pPr>
              <w:pStyle w:val="Akapitzlist"/>
              <w:numPr>
                <w:ilvl w:val="2"/>
                <w:numId w:val="2"/>
              </w:numPr>
              <w:spacing w:after="60"/>
              <w:ind w:right="54"/>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Zaburzenia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czynności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wątroby:</w:t>
            </w:r>
          </w:p>
          <w:p w14:paraId="5D57F8A8" w14:textId="04C3FA46" w:rsidR="00F729FE" w:rsidRPr="00FD48F5" w:rsidRDefault="00F729FE" w:rsidP="00B72F8D">
            <w:pPr>
              <w:numPr>
                <w:ilvl w:val="3"/>
                <w:numId w:val="2"/>
              </w:numPr>
              <w:spacing w:after="60"/>
              <w:ind w:right="54"/>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przypadku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pacjentów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łagodnymi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zaburzeniami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czynności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wątroby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(klasa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wg</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skali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Child-</w:t>
            </w:r>
            <w:proofErr w:type="spellStart"/>
            <w:r w:rsidRPr="00FD48F5">
              <w:rPr>
                <w:rFonts w:ascii="Times New Roman" w:eastAsia="Times New Roman" w:hAnsi="Times New Roman" w:cs="Times New Roman"/>
                <w:sz w:val="20"/>
                <w:szCs w:val="20"/>
              </w:rPr>
              <w:t>Pugha</w:t>
            </w:r>
            <w:proofErr w:type="spellEnd"/>
            <w:r w:rsidRPr="00FD48F5">
              <w:rPr>
                <w:rFonts w:ascii="Times New Roman" w:eastAsia="Times New Roman" w:hAnsi="Times New Roman" w:cs="Times New Roman"/>
                <w:sz w:val="20"/>
                <w:szCs w:val="20"/>
              </w:rPr>
              <w:t>)</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dostosowanie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dawkowania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jest</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konieczne;</w:t>
            </w:r>
          </w:p>
          <w:p w14:paraId="12EB2B3D" w14:textId="54219502" w:rsidR="00F729FE" w:rsidRPr="00FD48F5" w:rsidRDefault="00F729FE" w:rsidP="00B72F8D">
            <w:pPr>
              <w:numPr>
                <w:ilvl w:val="3"/>
                <w:numId w:val="2"/>
              </w:numPr>
              <w:spacing w:after="60"/>
              <w:ind w:right="54"/>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przypadku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pacjentów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umiarkowanymi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zaburzeniami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czynności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wątroby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(klasa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wg.</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skali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Child-</w:t>
            </w:r>
            <w:proofErr w:type="spellStart"/>
            <w:r w:rsidRPr="00FD48F5">
              <w:rPr>
                <w:rFonts w:ascii="Times New Roman" w:eastAsia="Times New Roman" w:hAnsi="Times New Roman" w:cs="Times New Roman"/>
                <w:sz w:val="20"/>
                <w:szCs w:val="20"/>
              </w:rPr>
              <w:t>Pugha</w:t>
            </w:r>
            <w:proofErr w:type="spellEnd"/>
            <w:r w:rsidRPr="00FD48F5">
              <w:rPr>
                <w:rFonts w:ascii="Times New Roman" w:eastAsia="Times New Roman" w:hAnsi="Times New Roman" w:cs="Times New Roman"/>
                <w:sz w:val="20"/>
                <w:szCs w:val="20"/>
              </w:rPr>
              <w:t>)</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zalecana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dawka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początkowa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wynosi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20</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mg</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4</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tygodnie.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Maksymalna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dawka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zalecana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lastRenderedPageBreak/>
              <w:t>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tych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pacjentów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wynosi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40</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mg</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4</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tygodnie;</w:t>
            </w:r>
          </w:p>
          <w:p w14:paraId="62E66D58" w14:textId="755FC701" w:rsidR="00785BB8" w:rsidRPr="00FD48F5" w:rsidRDefault="00F729FE" w:rsidP="00B72F8D">
            <w:pPr>
              <w:numPr>
                <w:ilvl w:val="3"/>
                <w:numId w:val="2"/>
              </w:numPr>
              <w:spacing w:after="60"/>
              <w:ind w:right="54"/>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przypadku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pacjentów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żółtaczką</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innymi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objawami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sugerującymi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klinicznie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istotną</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dysfunkcję</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wątroby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utrzymywanie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się</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zwiększonej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aktywności</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AspAT</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AlAT</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poziomie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najmniej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5</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x</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GGN</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(górna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granica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normy)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wzrost</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aktywności</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AlAT</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AspAT</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przekraczający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3</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x</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GGN</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jednoczesnym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wzrostem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stężenia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bilirubiny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powyżej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2</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x</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GGN</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należy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monitorować</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stan</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pacjenta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przerwaniu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pasyreotydem</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czasu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ustąpienia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nieprawidłowości.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należy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wznawiać,</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jeśli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ocenie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lekarza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nieprawidłowa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czynność</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wątroby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związek</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pasyreotydem</w:t>
            </w:r>
            <w:proofErr w:type="spellEnd"/>
            <w:r w:rsidRPr="00FD48F5">
              <w:rPr>
                <w:rFonts w:ascii="Times New Roman" w:eastAsia="Times New Roman" w:hAnsi="Times New Roman" w:cs="Times New Roman"/>
                <w:sz w:val="20"/>
                <w:szCs w:val="20"/>
              </w:rPr>
              <w:t>.</w:t>
            </w:r>
          </w:p>
          <w:p w14:paraId="3CFDACEC" w14:textId="0D343BE1" w:rsidR="00785BB8" w:rsidRPr="00FD48F5" w:rsidRDefault="00F729FE" w:rsidP="00B72F8D">
            <w:pPr>
              <w:pStyle w:val="Akapitzlist"/>
              <w:numPr>
                <w:ilvl w:val="2"/>
                <w:numId w:val="2"/>
              </w:numPr>
              <w:spacing w:after="60"/>
              <w:ind w:right="54"/>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Należy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zachować</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ostrożność</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oraz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dokonać</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uważnej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oceny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stosunku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korzyści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ryzyka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stosując</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pasyreotyd</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pacjentów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narażonych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istotne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ryzyko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wystąpienia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wydłużenia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odstępu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QT</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EKG.</w:t>
            </w:r>
          </w:p>
          <w:p w14:paraId="5E4C5C00" w14:textId="77777777" w:rsidR="00DC08AC" w:rsidRPr="00FD48F5" w:rsidRDefault="00DC08AC" w:rsidP="00FD48F5">
            <w:pPr>
              <w:pStyle w:val="Akapitzlist"/>
              <w:spacing w:after="60"/>
              <w:ind w:left="454" w:right="54"/>
              <w:contextualSpacing w:val="0"/>
              <w:jc w:val="both"/>
              <w:rPr>
                <w:rFonts w:ascii="Times New Roman" w:eastAsia="Times New Roman" w:hAnsi="Times New Roman" w:cs="Times New Roman"/>
                <w:sz w:val="20"/>
                <w:szCs w:val="20"/>
              </w:rPr>
            </w:pPr>
          </w:p>
          <w:p w14:paraId="6ADFBF69" w14:textId="50C448E5" w:rsidR="005063BD" w:rsidRPr="00FD48F5" w:rsidRDefault="005063BD" w:rsidP="00B72F8D">
            <w:pPr>
              <w:pStyle w:val="Akapitzlist"/>
              <w:numPr>
                <w:ilvl w:val="0"/>
                <w:numId w:val="2"/>
              </w:numPr>
              <w:spacing w:after="60"/>
              <w:ind w:right="54"/>
              <w:contextualSpacing w:val="0"/>
              <w:jc w:val="both"/>
              <w:rPr>
                <w:rFonts w:ascii="Times New Roman" w:eastAsia="Times New Roman" w:hAnsi="Times New Roman" w:cs="Times New Roman"/>
                <w:b/>
                <w:sz w:val="20"/>
                <w:szCs w:val="20"/>
              </w:rPr>
            </w:pPr>
            <w:r w:rsidRPr="00FD48F5">
              <w:rPr>
                <w:rFonts w:ascii="Times New Roman" w:eastAsia="Times New Roman" w:hAnsi="Times New Roman" w:cs="Times New Roman"/>
                <w:b/>
                <w:sz w:val="20"/>
                <w:szCs w:val="20"/>
              </w:rPr>
              <w:t>Leczenie</w:t>
            </w:r>
            <w:r w:rsidR="00711AEC">
              <w:rPr>
                <w:rFonts w:ascii="Times New Roman" w:eastAsia="Times New Roman" w:hAnsi="Times New Roman" w:cs="Times New Roman"/>
                <w:b/>
                <w:sz w:val="20"/>
                <w:szCs w:val="20"/>
              </w:rPr>
              <w:t xml:space="preserve"> </w:t>
            </w:r>
            <w:proofErr w:type="spellStart"/>
            <w:r w:rsidRPr="00FD48F5">
              <w:rPr>
                <w:rFonts w:ascii="Times New Roman" w:eastAsia="Times New Roman" w:hAnsi="Times New Roman" w:cs="Times New Roman"/>
                <w:b/>
                <w:sz w:val="20"/>
                <w:szCs w:val="20"/>
              </w:rPr>
              <w:t>pegwisomantem</w:t>
            </w:r>
            <w:proofErr w:type="spellEnd"/>
          </w:p>
          <w:p w14:paraId="24BF0BA5" w14:textId="06DCEB53" w:rsidR="000F4BBD" w:rsidRPr="00FD48F5" w:rsidRDefault="000F4BBD" w:rsidP="00B72F8D">
            <w:pPr>
              <w:pStyle w:val="Akapitzlist"/>
              <w:numPr>
                <w:ilvl w:val="1"/>
                <w:numId w:val="2"/>
              </w:numPr>
              <w:spacing w:after="60"/>
              <w:ind w:right="57"/>
              <w:contextualSpacing w:val="0"/>
              <w:jc w:val="both"/>
              <w:rPr>
                <w:rFonts w:ascii="Times New Roman" w:eastAsia="Times New Roman" w:hAnsi="Times New Roman" w:cs="Times New Roman"/>
                <w:b/>
                <w:sz w:val="20"/>
                <w:szCs w:val="20"/>
              </w:rPr>
            </w:pPr>
            <w:r w:rsidRPr="00FD48F5">
              <w:rPr>
                <w:rFonts w:ascii="Times New Roman" w:eastAsia="Times New Roman" w:hAnsi="Times New Roman" w:cs="Times New Roman"/>
                <w:b/>
                <w:sz w:val="20"/>
                <w:szCs w:val="20"/>
              </w:rPr>
              <w:t>Dawkowanie</w:t>
            </w:r>
            <w:r w:rsidR="00711AEC">
              <w:rPr>
                <w:rFonts w:ascii="Times New Roman" w:eastAsia="Times New Roman" w:hAnsi="Times New Roman" w:cs="Times New Roman"/>
                <w:b/>
                <w:sz w:val="20"/>
                <w:szCs w:val="20"/>
              </w:rPr>
              <w:t xml:space="preserve"> </w:t>
            </w:r>
          </w:p>
          <w:p w14:paraId="502E6D04" w14:textId="2FAAA49E" w:rsidR="00785BB8" w:rsidRPr="00FD48F5" w:rsidRDefault="000F4BBD" w:rsidP="00B72F8D">
            <w:pPr>
              <w:pStyle w:val="Akapitzlist"/>
              <w:numPr>
                <w:ilvl w:val="2"/>
                <w:numId w:val="2"/>
              </w:numPr>
              <w:spacing w:after="60"/>
              <w:ind w:right="54"/>
              <w:contextualSpacing w:val="0"/>
              <w:jc w:val="both"/>
              <w:rPr>
                <w:rFonts w:ascii="Times New Roman" w:eastAsia="Times New Roman" w:hAnsi="Times New Roman" w:cs="Times New Roman"/>
                <w:sz w:val="20"/>
                <w:szCs w:val="20"/>
              </w:rPr>
            </w:pPr>
            <w:proofErr w:type="spellStart"/>
            <w:r w:rsidRPr="00FD48F5">
              <w:rPr>
                <w:rFonts w:ascii="Times New Roman" w:eastAsia="Times New Roman" w:hAnsi="Times New Roman" w:cs="Times New Roman"/>
                <w:sz w:val="20"/>
                <w:szCs w:val="20"/>
              </w:rPr>
              <w:t>Pegwisomant</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należy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podawać</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wstrzyknięciach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podskórnych.</w:t>
            </w:r>
            <w:r w:rsidR="00711AEC">
              <w:rPr>
                <w:rFonts w:ascii="Times New Roman" w:eastAsia="Times New Roman" w:hAnsi="Times New Roman" w:cs="Times New Roman"/>
                <w:sz w:val="20"/>
                <w:szCs w:val="20"/>
              </w:rPr>
              <w:t xml:space="preserve"> </w:t>
            </w:r>
          </w:p>
          <w:p w14:paraId="20191583" w14:textId="613CBEB5" w:rsidR="00785BB8" w:rsidRPr="00FD48F5" w:rsidRDefault="000F4BBD" w:rsidP="00B72F8D">
            <w:pPr>
              <w:pStyle w:val="Akapitzlist"/>
              <w:numPr>
                <w:ilvl w:val="2"/>
                <w:numId w:val="2"/>
              </w:numPr>
              <w:spacing w:after="60"/>
              <w:ind w:right="54"/>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lastRenderedPageBreak/>
              <w:t>Należy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codziennie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zmieniać</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miejsce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wstrzyknięcia,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aby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zapobiec</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wystąpieniu</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lipohipertrofii</w:t>
            </w:r>
            <w:proofErr w:type="spellEnd"/>
            <w:r w:rsidRPr="00FD48F5">
              <w:rPr>
                <w:rFonts w:ascii="Times New Roman" w:eastAsia="Times New Roman" w:hAnsi="Times New Roman" w:cs="Times New Roman"/>
                <w:sz w:val="20"/>
                <w:szCs w:val="20"/>
              </w:rPr>
              <w:t>.</w:t>
            </w:r>
          </w:p>
          <w:p w14:paraId="7D5AFB02" w14:textId="50AD5715" w:rsidR="00785BB8" w:rsidRPr="00FD48F5" w:rsidRDefault="000F4BBD" w:rsidP="00B72F8D">
            <w:pPr>
              <w:pStyle w:val="Akapitzlist"/>
              <w:numPr>
                <w:ilvl w:val="2"/>
                <w:numId w:val="2"/>
              </w:numPr>
              <w:spacing w:after="60"/>
              <w:ind w:right="54"/>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Początkową,</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nasycającą</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dawkę</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80</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mg</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pegwisomantu</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należy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podać</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podskórnie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pod</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nadzorem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lekarza.</w:t>
            </w:r>
          </w:p>
          <w:p w14:paraId="265C7350" w14:textId="40F376B5" w:rsidR="009A655D" w:rsidRPr="00FD48F5" w:rsidRDefault="000F4BBD" w:rsidP="00B72F8D">
            <w:pPr>
              <w:pStyle w:val="Akapitzlist"/>
              <w:numPr>
                <w:ilvl w:val="2"/>
                <w:numId w:val="2"/>
              </w:numPr>
              <w:spacing w:after="60"/>
              <w:ind w:right="54"/>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Następnie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10</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mg</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pegwisomantu</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należy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podawać</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raz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dobę</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wstrzyknięciu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podskórnym.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Dawki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należy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dostosowywać</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podstawie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stężenia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IGF-1</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surowicy.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Należy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oznaczać</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stężenia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IGF-1</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surowicy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4</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6</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tygodni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stopniowo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zwiększać</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dawkę</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tak,</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aby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utrzymywać</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stężenia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IGF-1</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surowicy,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zakresie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właściwym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dla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płci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wieku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uzyskać</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optymalną</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odpowiedź</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terapeutyczną.</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Maksymalna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dawka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wynosi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30</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mg/dobę.</w:t>
            </w:r>
          </w:p>
          <w:p w14:paraId="33BEE9ED" w14:textId="77777777" w:rsidR="00522286" w:rsidRPr="00FD48F5" w:rsidRDefault="00522286" w:rsidP="00FD48F5">
            <w:pPr>
              <w:pStyle w:val="Akapitzlist"/>
              <w:spacing w:after="60"/>
              <w:ind w:left="454" w:right="54"/>
              <w:contextualSpacing w:val="0"/>
              <w:jc w:val="both"/>
              <w:rPr>
                <w:rFonts w:ascii="Times New Roman" w:eastAsia="Times New Roman" w:hAnsi="Times New Roman" w:cs="Times New Roman"/>
                <w:sz w:val="20"/>
                <w:szCs w:val="20"/>
              </w:rPr>
            </w:pPr>
          </w:p>
          <w:p w14:paraId="43C09A01" w14:textId="5D2C81BB" w:rsidR="009A655D" w:rsidRPr="00FD48F5" w:rsidRDefault="009A655D" w:rsidP="00B72F8D">
            <w:pPr>
              <w:pStyle w:val="Akapitzlist"/>
              <w:numPr>
                <w:ilvl w:val="1"/>
                <w:numId w:val="2"/>
              </w:numPr>
              <w:tabs>
                <w:tab w:val="left" w:pos="317"/>
              </w:tabs>
              <w:spacing w:after="60"/>
              <w:ind w:right="43"/>
              <w:contextualSpacing w:val="0"/>
              <w:jc w:val="both"/>
              <w:rPr>
                <w:rFonts w:ascii="Times New Roman" w:eastAsia="Times New Roman" w:hAnsi="Times New Roman" w:cs="Times New Roman"/>
                <w:b/>
                <w:sz w:val="20"/>
                <w:szCs w:val="20"/>
              </w:rPr>
            </w:pPr>
            <w:r w:rsidRPr="00FD48F5">
              <w:rPr>
                <w:rFonts w:ascii="Times New Roman" w:eastAsia="Times New Roman" w:hAnsi="Times New Roman" w:cs="Times New Roman"/>
                <w:b/>
                <w:sz w:val="20"/>
                <w:szCs w:val="20"/>
              </w:rPr>
              <w:t>Specjalne</w:t>
            </w:r>
            <w:r w:rsidR="00711AEC">
              <w:rPr>
                <w:rFonts w:ascii="Times New Roman" w:eastAsia="Times New Roman" w:hAnsi="Times New Roman" w:cs="Times New Roman"/>
                <w:b/>
                <w:sz w:val="20"/>
                <w:szCs w:val="20"/>
              </w:rPr>
              <w:t xml:space="preserve"> </w:t>
            </w:r>
            <w:r w:rsidRPr="00FD48F5">
              <w:rPr>
                <w:rFonts w:ascii="Times New Roman" w:eastAsia="Times New Roman" w:hAnsi="Times New Roman" w:cs="Times New Roman"/>
                <w:b/>
                <w:sz w:val="20"/>
                <w:szCs w:val="20"/>
              </w:rPr>
              <w:t>ostrzeżenia</w:t>
            </w:r>
            <w:r w:rsidR="00711AEC">
              <w:rPr>
                <w:rFonts w:ascii="Times New Roman" w:eastAsia="Times New Roman" w:hAnsi="Times New Roman" w:cs="Times New Roman"/>
                <w:b/>
                <w:sz w:val="20"/>
                <w:szCs w:val="20"/>
              </w:rPr>
              <w:t xml:space="preserve"> </w:t>
            </w:r>
            <w:r w:rsidRPr="00FD48F5">
              <w:rPr>
                <w:rFonts w:ascii="Times New Roman" w:eastAsia="Times New Roman" w:hAnsi="Times New Roman" w:cs="Times New Roman"/>
                <w:b/>
                <w:sz w:val="20"/>
                <w:szCs w:val="20"/>
              </w:rPr>
              <w:t>i</w:t>
            </w:r>
            <w:r w:rsidR="00711AEC">
              <w:rPr>
                <w:rFonts w:ascii="Times New Roman" w:eastAsia="Times New Roman" w:hAnsi="Times New Roman" w:cs="Times New Roman"/>
                <w:b/>
                <w:sz w:val="20"/>
                <w:szCs w:val="20"/>
              </w:rPr>
              <w:t xml:space="preserve"> </w:t>
            </w:r>
            <w:r w:rsidRPr="00FD48F5">
              <w:rPr>
                <w:rFonts w:ascii="Times New Roman" w:eastAsia="Times New Roman" w:hAnsi="Times New Roman" w:cs="Times New Roman"/>
                <w:b/>
                <w:sz w:val="20"/>
                <w:szCs w:val="20"/>
              </w:rPr>
              <w:t>środki</w:t>
            </w:r>
            <w:r w:rsidR="00711AEC">
              <w:rPr>
                <w:rFonts w:ascii="Times New Roman" w:eastAsia="Times New Roman" w:hAnsi="Times New Roman" w:cs="Times New Roman"/>
                <w:b/>
                <w:sz w:val="20"/>
                <w:szCs w:val="20"/>
              </w:rPr>
              <w:t xml:space="preserve"> </w:t>
            </w:r>
            <w:r w:rsidRPr="00FD48F5">
              <w:rPr>
                <w:rFonts w:ascii="Times New Roman" w:eastAsia="Times New Roman" w:hAnsi="Times New Roman" w:cs="Times New Roman"/>
                <w:b/>
                <w:sz w:val="20"/>
                <w:szCs w:val="20"/>
              </w:rPr>
              <w:t>ostrożności</w:t>
            </w:r>
            <w:r w:rsidR="00711AEC">
              <w:rPr>
                <w:rFonts w:ascii="Times New Roman" w:eastAsia="Times New Roman" w:hAnsi="Times New Roman" w:cs="Times New Roman"/>
                <w:b/>
                <w:sz w:val="20"/>
                <w:szCs w:val="20"/>
              </w:rPr>
              <w:t xml:space="preserve"> </w:t>
            </w:r>
          </w:p>
          <w:p w14:paraId="4EE0FF50" w14:textId="5CF397E1" w:rsidR="00785BB8" w:rsidRPr="00FD48F5" w:rsidRDefault="009A655D" w:rsidP="00B72F8D">
            <w:pPr>
              <w:pStyle w:val="Akapitzlist"/>
              <w:numPr>
                <w:ilvl w:val="2"/>
                <w:numId w:val="2"/>
              </w:numPr>
              <w:tabs>
                <w:tab w:val="left" w:pos="638"/>
              </w:tabs>
              <w:spacing w:after="60"/>
              <w:ind w:right="43"/>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niezwłoczny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kontakt</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lekarzem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prowadzącym,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przypadku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wystąpienia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trakcie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terapii</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pegwisomantem</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zaburzeń</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widzenia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i/lub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bólu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głowy;</w:t>
            </w:r>
          </w:p>
          <w:p w14:paraId="28AF8FEF" w14:textId="26898379" w:rsidR="00785BB8" w:rsidRPr="00FD48F5" w:rsidRDefault="009A655D" w:rsidP="00B72F8D">
            <w:pPr>
              <w:pStyle w:val="Akapitzlist"/>
              <w:numPr>
                <w:ilvl w:val="2"/>
                <w:numId w:val="2"/>
              </w:numPr>
              <w:tabs>
                <w:tab w:val="left" w:pos="638"/>
              </w:tabs>
              <w:spacing w:after="60"/>
              <w:ind w:right="43"/>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zaburzenia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czynności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wątroby: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przerwanie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podawania</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pegwisomantu</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przypadku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utrzymywania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się</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objawów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choroby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wątroby;</w:t>
            </w:r>
          </w:p>
          <w:p w14:paraId="72317E91" w14:textId="2FD737C6" w:rsidR="00785BB8" w:rsidRPr="00FD48F5" w:rsidRDefault="009A655D" w:rsidP="00B72F8D">
            <w:pPr>
              <w:pStyle w:val="Akapitzlist"/>
              <w:numPr>
                <w:ilvl w:val="2"/>
                <w:numId w:val="2"/>
              </w:numPr>
              <w:tabs>
                <w:tab w:val="left" w:pos="638"/>
              </w:tabs>
              <w:spacing w:after="60"/>
              <w:ind w:right="43"/>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dostosowanie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dawki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insuliny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innych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przyjmowanych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jednocześnie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leków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lastRenderedPageBreak/>
              <w:t>osób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cukrzycą</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decyzji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lekarza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prowadzącego;</w:t>
            </w:r>
          </w:p>
          <w:p w14:paraId="6FD16A19" w14:textId="6DBAAAE1" w:rsidR="009A655D" w:rsidRPr="00FD48F5" w:rsidRDefault="009A655D" w:rsidP="00B72F8D">
            <w:pPr>
              <w:pStyle w:val="Akapitzlist"/>
              <w:numPr>
                <w:ilvl w:val="2"/>
                <w:numId w:val="2"/>
              </w:numPr>
              <w:tabs>
                <w:tab w:val="left" w:pos="638"/>
              </w:tabs>
              <w:spacing w:after="60"/>
              <w:ind w:right="43"/>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stosowanie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odpowiednich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metod</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zapobiegania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ciąży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związku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możliwością</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zwiększenia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płodności.</w:t>
            </w:r>
          </w:p>
        </w:tc>
        <w:tc>
          <w:tcPr>
            <w:tcW w:w="1835" w:type="pct"/>
            <w:tcBorders>
              <w:top w:val="single" w:sz="6" w:space="0" w:color="auto"/>
              <w:left w:val="single" w:sz="6" w:space="0" w:color="auto"/>
              <w:bottom w:val="single" w:sz="6" w:space="0" w:color="auto"/>
              <w:right w:val="single" w:sz="6" w:space="0" w:color="auto"/>
            </w:tcBorders>
          </w:tcPr>
          <w:p w14:paraId="4FE030CD" w14:textId="33F82BD1" w:rsidR="005063BD" w:rsidRPr="00FD48F5" w:rsidRDefault="005063BD" w:rsidP="00B72F8D">
            <w:pPr>
              <w:pStyle w:val="Standard"/>
              <w:numPr>
                <w:ilvl w:val="0"/>
                <w:numId w:val="3"/>
              </w:numPr>
              <w:spacing w:before="120" w:after="60" w:line="276" w:lineRule="auto"/>
              <w:jc w:val="both"/>
              <w:rPr>
                <w:rFonts w:cs="Times New Roman"/>
                <w:b/>
                <w:bCs/>
                <w:sz w:val="20"/>
                <w:szCs w:val="20"/>
              </w:rPr>
            </w:pPr>
            <w:r w:rsidRPr="00FD48F5">
              <w:rPr>
                <w:rFonts w:cs="Times New Roman"/>
                <w:b/>
                <w:bCs/>
                <w:sz w:val="20"/>
                <w:szCs w:val="20"/>
              </w:rPr>
              <w:lastRenderedPageBreak/>
              <w:t>Leczenie</w:t>
            </w:r>
            <w:r w:rsidR="00711AEC">
              <w:rPr>
                <w:rFonts w:cs="Times New Roman"/>
                <w:b/>
                <w:bCs/>
                <w:sz w:val="20"/>
                <w:szCs w:val="20"/>
              </w:rPr>
              <w:t xml:space="preserve"> </w:t>
            </w:r>
            <w:proofErr w:type="spellStart"/>
            <w:r w:rsidRPr="00FD48F5">
              <w:rPr>
                <w:rFonts w:cs="Times New Roman"/>
                <w:b/>
                <w:bCs/>
                <w:sz w:val="20"/>
                <w:szCs w:val="20"/>
              </w:rPr>
              <w:t>pasyreotydem</w:t>
            </w:r>
            <w:proofErr w:type="spellEnd"/>
          </w:p>
          <w:p w14:paraId="66BCFBB7" w14:textId="35A726A2" w:rsidR="00F729FE" w:rsidRPr="00FD48F5" w:rsidRDefault="00F729FE" w:rsidP="00B72F8D">
            <w:pPr>
              <w:pStyle w:val="Akapitzlist"/>
              <w:numPr>
                <w:ilvl w:val="1"/>
                <w:numId w:val="3"/>
              </w:numPr>
              <w:spacing w:after="60"/>
              <w:ind w:right="45"/>
              <w:contextualSpacing w:val="0"/>
              <w:jc w:val="both"/>
              <w:rPr>
                <w:rFonts w:ascii="Times New Roman" w:eastAsia="Times New Roman" w:hAnsi="Times New Roman" w:cs="Times New Roman"/>
                <w:b/>
                <w:sz w:val="20"/>
                <w:szCs w:val="20"/>
              </w:rPr>
            </w:pPr>
            <w:r w:rsidRPr="00FD48F5">
              <w:rPr>
                <w:rFonts w:ascii="Times New Roman" w:eastAsia="Times New Roman" w:hAnsi="Times New Roman" w:cs="Times New Roman"/>
                <w:b/>
                <w:sz w:val="20"/>
                <w:szCs w:val="20"/>
              </w:rPr>
              <w:t>Badania</w:t>
            </w:r>
            <w:r w:rsidR="00711AEC">
              <w:rPr>
                <w:rFonts w:ascii="Times New Roman" w:eastAsia="Times New Roman" w:hAnsi="Times New Roman" w:cs="Times New Roman"/>
                <w:b/>
                <w:sz w:val="20"/>
                <w:szCs w:val="20"/>
              </w:rPr>
              <w:t xml:space="preserve"> </w:t>
            </w:r>
            <w:r w:rsidRPr="00FD48F5">
              <w:rPr>
                <w:rFonts w:ascii="Times New Roman" w:eastAsia="Times New Roman" w:hAnsi="Times New Roman" w:cs="Times New Roman"/>
                <w:b/>
                <w:sz w:val="20"/>
                <w:szCs w:val="20"/>
              </w:rPr>
              <w:t>przy</w:t>
            </w:r>
            <w:r w:rsidR="00711AEC">
              <w:rPr>
                <w:rFonts w:ascii="Times New Roman" w:eastAsia="Times New Roman" w:hAnsi="Times New Roman" w:cs="Times New Roman"/>
                <w:b/>
                <w:sz w:val="20"/>
                <w:szCs w:val="20"/>
              </w:rPr>
              <w:t xml:space="preserve"> </w:t>
            </w:r>
            <w:r w:rsidRPr="00FD48F5">
              <w:rPr>
                <w:rFonts w:ascii="Times New Roman" w:eastAsia="Times New Roman" w:hAnsi="Times New Roman" w:cs="Times New Roman"/>
                <w:b/>
                <w:sz w:val="20"/>
                <w:szCs w:val="20"/>
              </w:rPr>
              <w:t>kwalifikacji</w:t>
            </w:r>
            <w:r w:rsidR="00711AEC">
              <w:rPr>
                <w:rFonts w:ascii="Times New Roman" w:eastAsia="Times New Roman" w:hAnsi="Times New Roman" w:cs="Times New Roman"/>
                <w:b/>
                <w:sz w:val="20"/>
                <w:szCs w:val="20"/>
              </w:rPr>
              <w:t xml:space="preserve"> </w:t>
            </w:r>
            <w:r w:rsidRPr="00FD48F5">
              <w:rPr>
                <w:rFonts w:ascii="Times New Roman" w:eastAsia="Times New Roman" w:hAnsi="Times New Roman" w:cs="Times New Roman"/>
                <w:b/>
                <w:sz w:val="20"/>
                <w:szCs w:val="20"/>
              </w:rPr>
              <w:t>do</w:t>
            </w:r>
            <w:r w:rsidR="00711AEC">
              <w:rPr>
                <w:rFonts w:ascii="Times New Roman" w:eastAsia="Times New Roman" w:hAnsi="Times New Roman" w:cs="Times New Roman"/>
                <w:b/>
                <w:sz w:val="20"/>
                <w:szCs w:val="20"/>
              </w:rPr>
              <w:t xml:space="preserve"> </w:t>
            </w:r>
            <w:r w:rsidRPr="00FD48F5">
              <w:rPr>
                <w:rFonts w:ascii="Times New Roman" w:eastAsia="Times New Roman" w:hAnsi="Times New Roman" w:cs="Times New Roman"/>
                <w:b/>
                <w:sz w:val="20"/>
                <w:szCs w:val="20"/>
              </w:rPr>
              <w:t>leczenia</w:t>
            </w:r>
            <w:r w:rsidR="00711AEC">
              <w:rPr>
                <w:rFonts w:ascii="Times New Roman" w:eastAsia="Times New Roman" w:hAnsi="Times New Roman" w:cs="Times New Roman"/>
                <w:b/>
                <w:sz w:val="20"/>
                <w:szCs w:val="20"/>
              </w:rPr>
              <w:t xml:space="preserve"> </w:t>
            </w:r>
            <w:proofErr w:type="spellStart"/>
            <w:r w:rsidRPr="00FD48F5">
              <w:rPr>
                <w:rFonts w:ascii="Times New Roman" w:eastAsia="Times New Roman" w:hAnsi="Times New Roman" w:cs="Times New Roman"/>
                <w:b/>
                <w:sz w:val="20"/>
                <w:szCs w:val="20"/>
              </w:rPr>
              <w:t>pasyreotydem</w:t>
            </w:r>
            <w:proofErr w:type="spellEnd"/>
          </w:p>
          <w:p w14:paraId="7B11941D" w14:textId="7336DA30" w:rsidR="005063BD" w:rsidRPr="00FD48F5" w:rsidRDefault="00F729FE" w:rsidP="00B72F8D">
            <w:pPr>
              <w:pStyle w:val="Akapitzlist"/>
              <w:numPr>
                <w:ilvl w:val="2"/>
                <w:numId w:val="3"/>
              </w:numPr>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badanie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podmiotowe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przedmiotowe: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ocena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somatycznych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objawów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akromegalii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oraz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ewentualnych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powikłań,</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zwłaszcza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zakresie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chorób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układu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sercowo-naczyniowego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metabolicznych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(cukrzyca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zaburzenia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tolerancji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węglowodanów);</w:t>
            </w:r>
          </w:p>
          <w:p w14:paraId="6C6C074E" w14:textId="2E3E325C" w:rsidR="005C3375" w:rsidRPr="00FD48F5" w:rsidRDefault="005C3375" w:rsidP="00B72F8D">
            <w:pPr>
              <w:pStyle w:val="Akapitzlist"/>
              <w:numPr>
                <w:ilvl w:val="2"/>
                <w:numId w:val="3"/>
              </w:numPr>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ocena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jakości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życia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(np.</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pomocą</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skali</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Acromegaly</w:t>
            </w:r>
            <w:proofErr w:type="spellEnd"/>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Quality</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of</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Life</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Questionnaire</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t>
            </w:r>
            <w:proofErr w:type="spellStart"/>
            <w:r w:rsidRPr="00FD48F5">
              <w:rPr>
                <w:rFonts w:ascii="Times New Roman" w:eastAsia="Times New Roman" w:hAnsi="Times New Roman" w:cs="Times New Roman"/>
                <w:sz w:val="20"/>
                <w:szCs w:val="20"/>
              </w:rPr>
              <w:t>AcroQol</w:t>
            </w:r>
            <w:proofErr w:type="spellEnd"/>
            <w:r w:rsidRPr="00FD48F5">
              <w:rPr>
                <w:rFonts w:ascii="Times New Roman" w:eastAsia="Times New Roman" w:hAnsi="Times New Roman" w:cs="Times New Roman"/>
                <w:sz w:val="20"/>
                <w:szCs w:val="20"/>
              </w:rPr>
              <w:t>)</w:t>
            </w:r>
            <w:r w:rsidR="008076DD" w:rsidRPr="00FD48F5">
              <w:rPr>
                <w:rFonts w:ascii="Times New Roman" w:eastAsia="Times New Roman" w:hAnsi="Times New Roman" w:cs="Times New Roman"/>
                <w:sz w:val="20"/>
                <w:szCs w:val="20"/>
              </w:rPr>
              <w:t>;</w:t>
            </w:r>
          </w:p>
          <w:p w14:paraId="07613566" w14:textId="64333BDA" w:rsidR="005063BD" w:rsidRPr="00FD48F5" w:rsidRDefault="00F729FE" w:rsidP="00B72F8D">
            <w:pPr>
              <w:pStyle w:val="Akapitzlist"/>
              <w:numPr>
                <w:ilvl w:val="2"/>
                <w:numId w:val="3"/>
              </w:numPr>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ocena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hormonalna: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stężenie</w:t>
            </w:r>
            <w:r w:rsidR="00711AEC">
              <w:rPr>
                <w:rFonts w:ascii="Times New Roman" w:eastAsia="Times New Roman" w:hAnsi="Times New Roman" w:cs="Times New Roman"/>
                <w:sz w:val="20"/>
                <w:szCs w:val="20"/>
              </w:rPr>
              <w:t xml:space="preserve"> </w:t>
            </w:r>
            <w:r w:rsidR="00F24DC6" w:rsidRPr="00FD48F5">
              <w:rPr>
                <w:rFonts w:ascii="Times New Roman" w:eastAsia="Times New Roman" w:hAnsi="Times New Roman" w:cs="Times New Roman"/>
                <w:sz w:val="20"/>
                <w:szCs w:val="20"/>
              </w:rPr>
              <w:t>GH</w:t>
            </w:r>
            <w:r w:rsidRPr="00FD48F5">
              <w:rPr>
                <w:rFonts w:ascii="Times New Roman" w:eastAsia="Times New Roman" w:hAnsi="Times New Roman" w:cs="Times New Roman"/>
                <w:sz w:val="20"/>
                <w:szCs w:val="20"/>
              </w:rPr>
              <w:t>;</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stężenie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IGF-1,</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ocena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wyrównania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czynności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nadnerczy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tarczycy;</w:t>
            </w:r>
          </w:p>
          <w:p w14:paraId="374A397C" w14:textId="47BC8717" w:rsidR="005063BD" w:rsidRPr="00FD48F5" w:rsidRDefault="00F729FE" w:rsidP="00B72F8D">
            <w:pPr>
              <w:pStyle w:val="Akapitzlist"/>
              <w:numPr>
                <w:ilvl w:val="2"/>
                <w:numId w:val="3"/>
              </w:numPr>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rezonans</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magnetyczny</w:t>
            </w:r>
            <w:r w:rsidR="00711AEC">
              <w:rPr>
                <w:rFonts w:ascii="Times New Roman" w:eastAsia="Times New Roman" w:hAnsi="Times New Roman" w:cs="Times New Roman"/>
                <w:sz w:val="20"/>
                <w:szCs w:val="20"/>
              </w:rPr>
              <w:t xml:space="preserve"> </w:t>
            </w:r>
            <w:r w:rsidR="006675A9" w:rsidRPr="00FD48F5">
              <w:rPr>
                <w:rFonts w:ascii="Times New Roman" w:eastAsia="Times New Roman" w:hAnsi="Times New Roman" w:cs="Times New Roman"/>
                <w:sz w:val="20"/>
                <w:szCs w:val="20"/>
              </w:rPr>
              <w:t>okolicy</w:t>
            </w:r>
            <w:r w:rsidR="00711AEC">
              <w:rPr>
                <w:rFonts w:ascii="Times New Roman" w:eastAsia="Times New Roman" w:hAnsi="Times New Roman" w:cs="Times New Roman"/>
                <w:sz w:val="20"/>
                <w:szCs w:val="20"/>
              </w:rPr>
              <w:t xml:space="preserve"> </w:t>
            </w:r>
            <w:r w:rsidR="006675A9" w:rsidRPr="00FD48F5">
              <w:rPr>
                <w:rFonts w:ascii="Times New Roman" w:eastAsia="Times New Roman" w:hAnsi="Times New Roman" w:cs="Times New Roman"/>
                <w:sz w:val="20"/>
                <w:szCs w:val="20"/>
              </w:rPr>
              <w:t>podwzgórzowo-przysadkowej</w:t>
            </w:r>
            <w:r w:rsidR="00711AEC">
              <w:rPr>
                <w:rStyle w:val="Odwoaniedokomentarza"/>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użyciem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środka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kontrastowego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wykonany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użyciu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aparatu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spełniającego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normy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diagnostyki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przysadki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wcześniej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niż</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okresie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3</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miesięcy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poprzedzających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kwalifikację</w:t>
            </w:r>
            <w:r w:rsidR="009717CC" w:rsidRPr="00FD48F5">
              <w:rPr>
                <w:rFonts w:ascii="Times New Roman" w:eastAsia="Times New Roman" w:hAnsi="Times New Roman" w:cs="Times New Roman"/>
                <w:sz w:val="20"/>
                <w:szCs w:val="20"/>
              </w:rPr>
              <w:t>.</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przypadku</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przeciwwskazań</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wykonania</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rezonansu</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magnetycznego</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bądź</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braku</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możliwości</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wykonania</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tego</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badania</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z</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innych</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przyczyn,</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badaniem</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które</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należy</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wykonać</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jest</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tomografia</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komputerowa;</w:t>
            </w:r>
          </w:p>
          <w:p w14:paraId="358C2310" w14:textId="58C527EF" w:rsidR="005063BD" w:rsidRPr="00FD48F5" w:rsidRDefault="00F729FE" w:rsidP="00B72F8D">
            <w:pPr>
              <w:pStyle w:val="Akapitzlist"/>
              <w:numPr>
                <w:ilvl w:val="2"/>
                <w:numId w:val="3"/>
              </w:numPr>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ocena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pola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widzenia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przypadku</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makrogruczolaka</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przysadki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(guz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średnicy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1</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cm</w:t>
            </w:r>
            <w:r w:rsidR="008F112F">
              <w:rPr>
                <w:rFonts w:ascii="Times New Roman" w:eastAsia="Times New Roman" w:hAnsi="Times New Roman" w:cs="Times New Roman"/>
                <w:sz w:val="20"/>
                <w:szCs w:val="20"/>
              </w:rPr>
              <w:t xml:space="preserve"> </w:t>
            </w:r>
            <w:r w:rsidR="008F112F" w:rsidRPr="008F112F">
              <w:rPr>
                <w:rFonts w:ascii="Times New Roman" w:eastAsia="Times New Roman" w:hAnsi="Times New Roman" w:cs="Times New Roman"/>
                <w:sz w:val="20"/>
                <w:szCs w:val="20"/>
              </w:rPr>
              <w:t>je</w:t>
            </w:r>
            <w:r w:rsidR="008F112F">
              <w:rPr>
                <w:rFonts w:ascii="Times New Roman" w:eastAsia="Times New Roman" w:hAnsi="Times New Roman" w:cs="Times New Roman"/>
                <w:sz w:val="20"/>
                <w:szCs w:val="20"/>
              </w:rPr>
              <w:t>ś</w:t>
            </w:r>
            <w:r w:rsidR="008F112F" w:rsidRPr="008F112F">
              <w:rPr>
                <w:rFonts w:ascii="Times New Roman" w:eastAsia="Times New Roman" w:hAnsi="Times New Roman" w:cs="Times New Roman"/>
                <w:sz w:val="20"/>
                <w:szCs w:val="20"/>
              </w:rPr>
              <w:t>li w badaniu MR</w:t>
            </w:r>
            <w:r w:rsidR="008F112F">
              <w:rPr>
                <w:rFonts w:ascii="Times New Roman" w:eastAsia="Times New Roman" w:hAnsi="Times New Roman" w:cs="Times New Roman"/>
                <w:sz w:val="20"/>
                <w:szCs w:val="20"/>
              </w:rPr>
              <w:t xml:space="preserve"> </w:t>
            </w:r>
            <w:r w:rsidR="008F112F" w:rsidRPr="008F112F">
              <w:rPr>
                <w:rFonts w:ascii="Times New Roman" w:eastAsia="Times New Roman" w:hAnsi="Times New Roman" w:cs="Times New Roman"/>
                <w:sz w:val="20"/>
                <w:szCs w:val="20"/>
              </w:rPr>
              <w:t>jego odleg</w:t>
            </w:r>
            <w:r w:rsidR="008F112F">
              <w:rPr>
                <w:rFonts w:ascii="Times New Roman" w:eastAsia="Times New Roman" w:hAnsi="Times New Roman" w:cs="Times New Roman"/>
                <w:sz w:val="20"/>
                <w:szCs w:val="20"/>
              </w:rPr>
              <w:t>ł</w:t>
            </w:r>
            <w:r w:rsidR="008F112F" w:rsidRPr="008F112F">
              <w:rPr>
                <w:rFonts w:ascii="Times New Roman" w:eastAsia="Times New Roman" w:hAnsi="Times New Roman" w:cs="Times New Roman"/>
                <w:sz w:val="20"/>
                <w:szCs w:val="20"/>
              </w:rPr>
              <w:t>o</w:t>
            </w:r>
            <w:r w:rsidR="008F112F">
              <w:rPr>
                <w:rFonts w:ascii="Times New Roman" w:eastAsia="Times New Roman" w:hAnsi="Times New Roman" w:cs="Times New Roman"/>
                <w:sz w:val="20"/>
                <w:szCs w:val="20"/>
              </w:rPr>
              <w:t xml:space="preserve">ść </w:t>
            </w:r>
            <w:r w:rsidR="008F112F" w:rsidRPr="008F112F">
              <w:rPr>
                <w:rFonts w:ascii="Times New Roman" w:eastAsia="Times New Roman" w:hAnsi="Times New Roman" w:cs="Times New Roman"/>
                <w:sz w:val="20"/>
                <w:szCs w:val="20"/>
              </w:rPr>
              <w:t>od skrzy</w:t>
            </w:r>
            <w:r w:rsidR="008F112F">
              <w:rPr>
                <w:rFonts w:ascii="Times New Roman" w:eastAsia="Times New Roman" w:hAnsi="Times New Roman" w:cs="Times New Roman"/>
                <w:sz w:val="20"/>
                <w:szCs w:val="20"/>
              </w:rPr>
              <w:t>ż</w:t>
            </w:r>
            <w:r w:rsidR="008F112F" w:rsidRPr="008F112F">
              <w:rPr>
                <w:rFonts w:ascii="Times New Roman" w:eastAsia="Times New Roman" w:hAnsi="Times New Roman" w:cs="Times New Roman"/>
                <w:sz w:val="20"/>
                <w:szCs w:val="20"/>
              </w:rPr>
              <w:t>owania wzrokowego</w:t>
            </w:r>
            <w:r w:rsidR="008F112F">
              <w:rPr>
                <w:rFonts w:ascii="Times New Roman" w:eastAsia="Times New Roman" w:hAnsi="Times New Roman" w:cs="Times New Roman"/>
                <w:sz w:val="20"/>
                <w:szCs w:val="20"/>
              </w:rPr>
              <w:t xml:space="preserve"> </w:t>
            </w:r>
            <w:r w:rsidR="008F112F" w:rsidRPr="008F112F">
              <w:rPr>
                <w:rFonts w:ascii="Times New Roman" w:eastAsia="Times New Roman" w:hAnsi="Times New Roman" w:cs="Times New Roman"/>
                <w:sz w:val="20"/>
                <w:szCs w:val="20"/>
              </w:rPr>
              <w:t>jest mniejsza ni</w:t>
            </w:r>
            <w:r w:rsidR="008F112F">
              <w:rPr>
                <w:rFonts w:ascii="Times New Roman" w:eastAsia="Times New Roman" w:hAnsi="Times New Roman" w:cs="Times New Roman"/>
                <w:sz w:val="20"/>
                <w:szCs w:val="20"/>
              </w:rPr>
              <w:t>ż</w:t>
            </w:r>
            <w:r w:rsidR="008F112F" w:rsidRPr="008F112F">
              <w:rPr>
                <w:rFonts w:ascii="Times New Roman" w:eastAsia="Times New Roman" w:hAnsi="Times New Roman" w:cs="Times New Roman"/>
                <w:sz w:val="20"/>
                <w:szCs w:val="20"/>
              </w:rPr>
              <w:t xml:space="preserve"> 2 mm</w:t>
            </w:r>
            <w:r w:rsidRPr="00FD48F5">
              <w:rPr>
                <w:rFonts w:ascii="Times New Roman" w:eastAsia="Times New Roman" w:hAnsi="Times New Roman" w:cs="Times New Roman"/>
                <w:sz w:val="20"/>
                <w:szCs w:val="20"/>
              </w:rPr>
              <w:t>);</w:t>
            </w:r>
          </w:p>
          <w:p w14:paraId="5C29EE8F" w14:textId="6771C0FB" w:rsidR="005063BD" w:rsidRPr="00FD48F5" w:rsidRDefault="00F729FE" w:rsidP="00B72F8D">
            <w:pPr>
              <w:pStyle w:val="Akapitzlist"/>
              <w:numPr>
                <w:ilvl w:val="2"/>
                <w:numId w:val="3"/>
              </w:numPr>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lastRenderedPageBreak/>
              <w:t>badania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laboratoryjne: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ocena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stężenia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glukozy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osoczu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krwi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żylnej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czczo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oraz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odsetek</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hemoglobiny</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glikowanej</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(HbA1c),</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stężenie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sodu,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potasu,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magnezu,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kreatyniny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GFR;</w:t>
            </w:r>
          </w:p>
          <w:p w14:paraId="4FB1C44E" w14:textId="0F43F167" w:rsidR="005063BD" w:rsidRPr="00FD48F5" w:rsidRDefault="00F729FE" w:rsidP="00B72F8D">
            <w:pPr>
              <w:pStyle w:val="Akapitzlist"/>
              <w:numPr>
                <w:ilvl w:val="2"/>
                <w:numId w:val="3"/>
              </w:numPr>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ocena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funkcji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wątroby: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aktywność</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AspAT</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AlAT</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oraz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bilirubiny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całkowitej;</w:t>
            </w:r>
          </w:p>
          <w:p w14:paraId="71C4D4CD" w14:textId="7C0BC9EB" w:rsidR="005063BD" w:rsidRPr="00FD48F5" w:rsidRDefault="00F729FE" w:rsidP="00B72F8D">
            <w:pPr>
              <w:pStyle w:val="Akapitzlist"/>
              <w:numPr>
                <w:ilvl w:val="2"/>
                <w:numId w:val="3"/>
              </w:numPr>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ocena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ultrasonograficzna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jamy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brzusznej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szczególnym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uwzględnieniem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pęcherzyka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żółciowego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dróg</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żółciowych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(jeśli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była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wykonywana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okresie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3</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poprzedzających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miesięcy);</w:t>
            </w:r>
          </w:p>
          <w:p w14:paraId="2724AEF7" w14:textId="20C8475E" w:rsidR="000F4BBD" w:rsidRPr="00FD48F5" w:rsidRDefault="00F729FE" w:rsidP="00B72F8D">
            <w:pPr>
              <w:pStyle w:val="Akapitzlist"/>
              <w:numPr>
                <w:ilvl w:val="2"/>
                <w:numId w:val="3"/>
              </w:numPr>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ocena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układu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krążenia: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ocena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ciśnienia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tętniczego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oraz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badanie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EKG</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uważną</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oceną</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odstępu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QT</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oraz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ewentualnych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zaburzeń</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rytmu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serca,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razie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wątpliwości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obciążającego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wywiadu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zakresie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chorób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układu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krążenia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konsultacja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kardiologiczna.</w:t>
            </w:r>
          </w:p>
          <w:p w14:paraId="06A3596C" w14:textId="77777777" w:rsidR="00522286" w:rsidRPr="00FD48F5" w:rsidRDefault="00522286" w:rsidP="00FD48F5">
            <w:pPr>
              <w:pStyle w:val="Akapitzlist"/>
              <w:spacing w:after="60"/>
              <w:ind w:left="454" w:right="45"/>
              <w:contextualSpacing w:val="0"/>
              <w:jc w:val="both"/>
              <w:rPr>
                <w:rFonts w:ascii="Times New Roman" w:eastAsia="Times New Roman" w:hAnsi="Times New Roman" w:cs="Times New Roman"/>
                <w:sz w:val="20"/>
                <w:szCs w:val="20"/>
              </w:rPr>
            </w:pPr>
          </w:p>
          <w:p w14:paraId="45590230" w14:textId="7A19CF47" w:rsidR="00F729FE" w:rsidRPr="00FD48F5" w:rsidRDefault="00F729FE" w:rsidP="00B72F8D">
            <w:pPr>
              <w:pStyle w:val="Akapitzlist"/>
              <w:numPr>
                <w:ilvl w:val="1"/>
                <w:numId w:val="3"/>
              </w:numPr>
              <w:spacing w:after="60"/>
              <w:ind w:right="45"/>
              <w:contextualSpacing w:val="0"/>
              <w:jc w:val="both"/>
              <w:rPr>
                <w:rFonts w:ascii="Times New Roman" w:eastAsia="Times New Roman" w:hAnsi="Times New Roman" w:cs="Times New Roman"/>
                <w:b/>
                <w:sz w:val="20"/>
                <w:szCs w:val="20"/>
              </w:rPr>
            </w:pPr>
            <w:r w:rsidRPr="00FD48F5">
              <w:rPr>
                <w:rFonts w:ascii="Times New Roman" w:eastAsia="Times New Roman" w:hAnsi="Times New Roman" w:cs="Times New Roman"/>
                <w:b/>
                <w:sz w:val="20"/>
                <w:szCs w:val="20"/>
              </w:rPr>
              <w:t>Monitorowanie</w:t>
            </w:r>
            <w:r w:rsidR="00711AEC">
              <w:rPr>
                <w:rFonts w:ascii="Times New Roman" w:eastAsia="Times New Roman" w:hAnsi="Times New Roman" w:cs="Times New Roman"/>
                <w:b/>
                <w:sz w:val="20"/>
                <w:szCs w:val="20"/>
              </w:rPr>
              <w:t xml:space="preserve"> </w:t>
            </w:r>
            <w:r w:rsidRPr="00FD48F5">
              <w:rPr>
                <w:rFonts w:ascii="Times New Roman" w:eastAsia="Times New Roman" w:hAnsi="Times New Roman" w:cs="Times New Roman"/>
                <w:b/>
                <w:sz w:val="20"/>
                <w:szCs w:val="20"/>
              </w:rPr>
              <w:t>leczenia</w:t>
            </w:r>
            <w:r w:rsidR="00711AEC">
              <w:rPr>
                <w:rFonts w:ascii="Times New Roman" w:eastAsia="Times New Roman" w:hAnsi="Times New Roman" w:cs="Times New Roman"/>
                <w:b/>
                <w:sz w:val="20"/>
                <w:szCs w:val="20"/>
              </w:rPr>
              <w:t xml:space="preserve"> </w:t>
            </w:r>
            <w:proofErr w:type="spellStart"/>
            <w:r w:rsidR="000F4BBD" w:rsidRPr="00FD48F5">
              <w:rPr>
                <w:rFonts w:ascii="Times New Roman" w:eastAsia="Times New Roman" w:hAnsi="Times New Roman" w:cs="Times New Roman"/>
                <w:b/>
                <w:sz w:val="20"/>
                <w:szCs w:val="20"/>
              </w:rPr>
              <w:t>pasyreotydem</w:t>
            </w:r>
            <w:proofErr w:type="spellEnd"/>
          </w:p>
          <w:p w14:paraId="02B5B7B8" w14:textId="2D6FB858" w:rsidR="005063BD" w:rsidRPr="00FD48F5" w:rsidRDefault="00F729FE" w:rsidP="00B72F8D">
            <w:pPr>
              <w:pStyle w:val="Akapitzlist"/>
              <w:numPr>
                <w:ilvl w:val="2"/>
                <w:numId w:val="3"/>
              </w:numPr>
              <w:tabs>
                <w:tab w:val="left" w:pos="317"/>
              </w:tabs>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po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3</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miesiącach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od</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rozpoczęcia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(3</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dawki</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pasyreotydu</w:t>
            </w:r>
            <w:proofErr w:type="spellEnd"/>
            <w:r w:rsidRPr="00FD48F5">
              <w:rPr>
                <w:rFonts w:ascii="Times New Roman" w:eastAsia="Times New Roman" w:hAnsi="Times New Roman" w:cs="Times New Roman"/>
                <w:sz w:val="20"/>
                <w:szCs w:val="20"/>
              </w:rPr>
              <w:t>)</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należy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wykonać</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ocenę</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stężenia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stężenia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IGF-1</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surowicy.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Oznaczenia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IGF-1</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należy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powtarzać</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okresie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pasyreotydem</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3</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miesiące;</w:t>
            </w:r>
          </w:p>
          <w:p w14:paraId="1055BDE0" w14:textId="19F23A67" w:rsidR="005063BD" w:rsidRPr="00FD48F5" w:rsidRDefault="00F729FE" w:rsidP="00B72F8D">
            <w:pPr>
              <w:pStyle w:val="Akapitzlist"/>
              <w:numPr>
                <w:ilvl w:val="2"/>
                <w:numId w:val="3"/>
              </w:numPr>
              <w:tabs>
                <w:tab w:val="left" w:pos="317"/>
              </w:tabs>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po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6</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12</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miesiącach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od</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rozpoczęcia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należy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wykonać</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badanie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rezonansu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magnetycznego</w:t>
            </w:r>
            <w:r w:rsidR="00711AEC">
              <w:rPr>
                <w:rFonts w:ascii="Times New Roman" w:eastAsia="Times New Roman" w:hAnsi="Times New Roman" w:cs="Times New Roman"/>
                <w:sz w:val="20"/>
                <w:szCs w:val="20"/>
              </w:rPr>
              <w:t xml:space="preserve"> </w:t>
            </w:r>
            <w:r w:rsidR="006675A9" w:rsidRPr="00FD48F5">
              <w:rPr>
                <w:rFonts w:ascii="Times New Roman" w:eastAsia="Times New Roman" w:hAnsi="Times New Roman" w:cs="Times New Roman"/>
                <w:sz w:val="20"/>
                <w:szCs w:val="20"/>
              </w:rPr>
              <w:t>okolicy</w:t>
            </w:r>
            <w:r w:rsidR="00711AEC">
              <w:rPr>
                <w:rFonts w:ascii="Times New Roman" w:eastAsia="Times New Roman" w:hAnsi="Times New Roman" w:cs="Times New Roman"/>
                <w:sz w:val="20"/>
                <w:szCs w:val="20"/>
              </w:rPr>
              <w:t xml:space="preserve"> </w:t>
            </w:r>
            <w:r w:rsidR="006675A9" w:rsidRPr="00FD48F5">
              <w:rPr>
                <w:rFonts w:ascii="Times New Roman" w:eastAsia="Times New Roman" w:hAnsi="Times New Roman" w:cs="Times New Roman"/>
                <w:sz w:val="20"/>
                <w:szCs w:val="20"/>
              </w:rPr>
              <w:t>podwzgórzowo-przysadkowej</w:t>
            </w:r>
            <w:r w:rsidRPr="00FD48F5">
              <w:rPr>
                <w:rFonts w:ascii="Times New Roman" w:eastAsia="Times New Roman" w:hAnsi="Times New Roman" w:cs="Times New Roman"/>
                <w:sz w:val="20"/>
                <w:szCs w:val="20"/>
              </w:rPr>
              <w:t>.</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Począwszy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od</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w:t>
            </w:r>
            <w:r w:rsidR="00FD77A4" w:rsidRPr="00FD48F5">
              <w:rPr>
                <w:rFonts w:ascii="Times New Roman" w:eastAsia="Times New Roman" w:hAnsi="Times New Roman" w:cs="Times New Roman"/>
                <w:sz w:val="20"/>
                <w:szCs w:val="20"/>
              </w:rPr>
              <w:t>rugiego</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roku</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badanie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wykon</w:t>
            </w:r>
            <w:r w:rsidR="00F24DC6" w:rsidRPr="00FD48F5">
              <w:rPr>
                <w:rFonts w:ascii="Times New Roman" w:eastAsia="Times New Roman" w:hAnsi="Times New Roman" w:cs="Times New Roman"/>
                <w:sz w:val="20"/>
                <w:szCs w:val="20"/>
              </w:rPr>
              <w:t>uje</w:t>
            </w:r>
            <w:r w:rsidR="00711AEC">
              <w:rPr>
                <w:rFonts w:ascii="Times New Roman" w:eastAsia="Times New Roman" w:hAnsi="Times New Roman" w:cs="Times New Roman"/>
                <w:sz w:val="20"/>
                <w:szCs w:val="20"/>
              </w:rPr>
              <w:t xml:space="preserve"> </w:t>
            </w:r>
            <w:r w:rsidR="00F24DC6" w:rsidRPr="00FD48F5">
              <w:rPr>
                <w:rFonts w:ascii="Times New Roman" w:eastAsia="Times New Roman" w:hAnsi="Times New Roman" w:cs="Times New Roman"/>
                <w:sz w:val="20"/>
                <w:szCs w:val="20"/>
              </w:rPr>
              <w:t>się</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12</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miesięcy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też</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niezwłocznie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sytuacji</w:t>
            </w:r>
            <w:r w:rsidR="00711AEC">
              <w:rPr>
                <w:rFonts w:ascii="Times New Roman" w:eastAsia="Times New Roman" w:hAnsi="Times New Roman" w:cs="Times New Roman"/>
                <w:sz w:val="20"/>
                <w:szCs w:val="20"/>
              </w:rPr>
              <w:t xml:space="preserve"> </w:t>
            </w:r>
            <w:r w:rsidR="00F24DC6" w:rsidRPr="00FD48F5">
              <w:rPr>
                <w:rFonts w:ascii="Times New Roman" w:eastAsia="Times New Roman" w:hAnsi="Times New Roman" w:cs="Times New Roman"/>
                <w:sz w:val="20"/>
                <w:szCs w:val="20"/>
              </w:rPr>
              <w:t>pogorszenia</w:t>
            </w:r>
            <w:r w:rsidR="00711AEC">
              <w:rPr>
                <w:rFonts w:ascii="Times New Roman" w:eastAsia="Times New Roman" w:hAnsi="Times New Roman" w:cs="Times New Roman"/>
                <w:sz w:val="20"/>
                <w:szCs w:val="20"/>
              </w:rPr>
              <w:t xml:space="preserve"> </w:t>
            </w:r>
            <w:r w:rsidR="00F24DC6" w:rsidRPr="00FD48F5">
              <w:rPr>
                <w:rFonts w:ascii="Times New Roman" w:eastAsia="Times New Roman" w:hAnsi="Times New Roman" w:cs="Times New Roman"/>
                <w:sz w:val="20"/>
                <w:szCs w:val="20"/>
              </w:rPr>
              <w:t>pola</w:t>
            </w:r>
            <w:r w:rsidR="00711AEC">
              <w:rPr>
                <w:rFonts w:ascii="Times New Roman" w:eastAsia="Times New Roman" w:hAnsi="Times New Roman" w:cs="Times New Roman"/>
                <w:sz w:val="20"/>
                <w:szCs w:val="20"/>
              </w:rPr>
              <w:t xml:space="preserve"> </w:t>
            </w:r>
            <w:r w:rsidR="00F24DC6" w:rsidRPr="00FD48F5">
              <w:rPr>
                <w:rFonts w:ascii="Times New Roman" w:eastAsia="Times New Roman" w:hAnsi="Times New Roman" w:cs="Times New Roman"/>
                <w:sz w:val="20"/>
                <w:szCs w:val="20"/>
              </w:rPr>
              <w:t>widzenia</w:t>
            </w:r>
            <w:r w:rsidR="009717CC" w:rsidRPr="00FD48F5">
              <w:rPr>
                <w:rFonts w:ascii="Times New Roman" w:eastAsia="Times New Roman" w:hAnsi="Times New Roman" w:cs="Times New Roman"/>
                <w:sz w:val="20"/>
                <w:szCs w:val="20"/>
              </w:rPr>
              <w:t>.</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przypadku</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przeciwwskazań</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wykonania</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rezonansu</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magnetycznego</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bądź</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braku</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możliwości</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wykonania</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tego</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badania</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z</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innych</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przyczyn,</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badaniem</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które</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należy</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wykonać</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jest</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tomografia</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komputerowa;</w:t>
            </w:r>
          </w:p>
          <w:p w14:paraId="4461FE6A" w14:textId="1612365C" w:rsidR="005063BD" w:rsidRPr="00FD48F5" w:rsidRDefault="00F729FE" w:rsidP="00B72F8D">
            <w:pPr>
              <w:pStyle w:val="Akapitzlist"/>
              <w:numPr>
                <w:ilvl w:val="2"/>
                <w:numId w:val="3"/>
              </w:numPr>
              <w:tabs>
                <w:tab w:val="left" w:pos="317"/>
              </w:tabs>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oznaczanie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stężenia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glukozy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krwi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ocena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stężenia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glukozy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osoczu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czczo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tydzień</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przez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pierwsze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trzy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miesiące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od</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podania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leku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następnie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okresowo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zgodnie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wskazaniami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klinicznymi,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także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ciągu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pierwszych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4</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lastRenderedPageBreak/>
              <w:t>tygodni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każdym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zwiększeniu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dawki.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Ponadto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należy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monitorować</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wartość</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stężenia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glukozy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osoczu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czczo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4</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tygodniach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od</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zakończenia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leczenia;</w:t>
            </w:r>
          </w:p>
          <w:p w14:paraId="7E69F049" w14:textId="667B409E" w:rsidR="005063BD" w:rsidRPr="00FD48F5" w:rsidRDefault="00F729FE" w:rsidP="00B72F8D">
            <w:pPr>
              <w:pStyle w:val="Akapitzlist"/>
              <w:numPr>
                <w:ilvl w:val="2"/>
                <w:numId w:val="3"/>
              </w:numPr>
              <w:tabs>
                <w:tab w:val="left" w:pos="317"/>
              </w:tabs>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ocena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odsetka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HbA1c</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3</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miesiącach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od</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podania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leku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następnie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3</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miesiące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pierwszym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roku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oraz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rzadziej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niż</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raz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6</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miesięcy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począwszy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od</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drugiego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roku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leczenia</w:t>
            </w:r>
            <w:r w:rsidR="00FD77A4" w:rsidRPr="00FD48F5">
              <w:rPr>
                <w:rFonts w:ascii="Times New Roman" w:eastAsia="Times New Roman" w:hAnsi="Times New Roman" w:cs="Times New Roman"/>
                <w:sz w:val="20"/>
                <w:szCs w:val="20"/>
              </w:rPr>
              <w:t>.</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Ponadto</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należy</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monitorować</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wartość</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stężenia</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HbA1c</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po</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3</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tygodniach</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od</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zakończenia</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leczenia</w:t>
            </w:r>
            <w:r w:rsidRPr="00FD48F5">
              <w:rPr>
                <w:rFonts w:ascii="Times New Roman" w:eastAsia="Times New Roman" w:hAnsi="Times New Roman" w:cs="Times New Roman"/>
                <w:sz w:val="20"/>
                <w:szCs w:val="20"/>
              </w:rPr>
              <w:t>;</w:t>
            </w:r>
          </w:p>
          <w:p w14:paraId="4134212C" w14:textId="1A87DFEC" w:rsidR="005063BD" w:rsidRPr="00FD48F5" w:rsidRDefault="00F729FE" w:rsidP="00B72F8D">
            <w:pPr>
              <w:pStyle w:val="Akapitzlist"/>
              <w:numPr>
                <w:ilvl w:val="2"/>
                <w:numId w:val="3"/>
              </w:numPr>
              <w:tabs>
                <w:tab w:val="left" w:pos="317"/>
              </w:tabs>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oznaczenie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aktywności</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AspAT</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AlAT</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oraz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stężenia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bilirubiny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całkowitej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1</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2</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tygodniach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od</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podania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pierwszej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dawki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leku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zwiększenia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jego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dawki,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następnie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częstością</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1</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miesiąc</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przez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3</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miesiące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Następne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monitorowanie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powinno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odbyć</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się</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zależności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od</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potrzeb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klinicznych;</w:t>
            </w:r>
          </w:p>
          <w:p w14:paraId="07E96A2E" w14:textId="59582BD4" w:rsidR="005063BD" w:rsidRPr="00FD48F5" w:rsidRDefault="00F729FE" w:rsidP="00B72F8D">
            <w:pPr>
              <w:pStyle w:val="Akapitzlist"/>
              <w:numPr>
                <w:ilvl w:val="2"/>
                <w:numId w:val="3"/>
              </w:numPr>
              <w:tabs>
                <w:tab w:val="left" w:pos="317"/>
              </w:tabs>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badanie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EKG</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oceną</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odstępu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QT</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3</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tygodniach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od</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rozpoczęcia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zwiększenia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dawki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leku,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następnie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1</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miesiąc</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przez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3</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miesiące,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potem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rzadziej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niż</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raz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6</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miesięcy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trakcie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trwania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częściej,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zależności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od</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wskazań</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klinicznych;</w:t>
            </w:r>
          </w:p>
          <w:p w14:paraId="209B2E58" w14:textId="16DA3379" w:rsidR="005063BD" w:rsidRPr="00FD48F5" w:rsidRDefault="00F729FE" w:rsidP="00B72F8D">
            <w:pPr>
              <w:pStyle w:val="Akapitzlist"/>
              <w:numPr>
                <w:ilvl w:val="2"/>
                <w:numId w:val="3"/>
              </w:numPr>
              <w:tabs>
                <w:tab w:val="left" w:pos="317"/>
              </w:tabs>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USG</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pęcherzyka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dróg</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żółciowych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rzadziej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niż</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raz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6</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miesięcy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okresie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6</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miesięcy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jego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zakończeniu;</w:t>
            </w:r>
          </w:p>
          <w:p w14:paraId="7C4DB251" w14:textId="016E2DBA" w:rsidR="005063BD" w:rsidRPr="00FD48F5" w:rsidRDefault="00F729FE" w:rsidP="00B72F8D">
            <w:pPr>
              <w:pStyle w:val="Akapitzlist"/>
              <w:numPr>
                <w:ilvl w:val="2"/>
                <w:numId w:val="3"/>
              </w:numPr>
              <w:tabs>
                <w:tab w:val="left" w:pos="317"/>
              </w:tabs>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oznaczenie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poziomu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magnezu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potasu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według</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wskazań</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klinicznych;</w:t>
            </w:r>
          </w:p>
          <w:p w14:paraId="4BBED126" w14:textId="1C8FDE9F" w:rsidR="005063BD" w:rsidRPr="00BF7721" w:rsidRDefault="00F729FE" w:rsidP="00BF7721">
            <w:pPr>
              <w:pStyle w:val="Akapitzlist"/>
              <w:numPr>
                <w:ilvl w:val="2"/>
                <w:numId w:val="3"/>
              </w:numPr>
              <w:tabs>
                <w:tab w:val="left" w:pos="317"/>
              </w:tabs>
              <w:spacing w:after="60"/>
              <w:ind w:right="45"/>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ocena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pola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widzenia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przypadku</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makrogruczolaków</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przysadki</w:t>
            </w:r>
            <w:r w:rsidR="00891596">
              <w:rPr>
                <w:rFonts w:ascii="Times New Roman" w:eastAsia="Times New Roman" w:hAnsi="Times New Roman" w:cs="Times New Roman"/>
                <w:sz w:val="20"/>
                <w:szCs w:val="20"/>
              </w:rPr>
              <w:t>,</w:t>
            </w:r>
            <w:r w:rsidR="00711AEC">
              <w:rPr>
                <w:rFonts w:ascii="Times New Roman" w:eastAsia="Times New Roman" w:hAnsi="Times New Roman" w:cs="Times New Roman"/>
                <w:sz w:val="20"/>
                <w:szCs w:val="20"/>
              </w:rPr>
              <w:t xml:space="preserve"> </w:t>
            </w:r>
            <w:r w:rsidR="00891596" w:rsidRPr="00891596">
              <w:rPr>
                <w:rFonts w:ascii="Times New Roman" w:eastAsia="Times New Roman" w:hAnsi="Times New Roman" w:cs="Times New Roman"/>
                <w:sz w:val="20"/>
                <w:szCs w:val="20"/>
              </w:rPr>
              <w:t>których odległość od skrzyżowania wzrokowego</w:t>
            </w:r>
            <w:r w:rsidR="00891596">
              <w:rPr>
                <w:rFonts w:ascii="Times New Roman" w:eastAsia="Times New Roman" w:hAnsi="Times New Roman" w:cs="Times New Roman"/>
                <w:sz w:val="20"/>
                <w:szCs w:val="20"/>
              </w:rPr>
              <w:t xml:space="preserve"> </w:t>
            </w:r>
            <w:r w:rsidR="00891596" w:rsidRPr="00BF7721">
              <w:rPr>
                <w:rFonts w:ascii="Times New Roman" w:eastAsia="Times New Roman" w:hAnsi="Times New Roman" w:cs="Times New Roman"/>
                <w:sz w:val="20"/>
                <w:szCs w:val="20"/>
              </w:rPr>
              <w:t>jest mniejsza ni</w:t>
            </w:r>
            <w:r w:rsidR="00891596">
              <w:rPr>
                <w:rFonts w:ascii="Times New Roman" w:eastAsia="Times New Roman" w:hAnsi="Times New Roman" w:cs="Times New Roman"/>
                <w:sz w:val="20"/>
                <w:szCs w:val="20"/>
              </w:rPr>
              <w:t>ż</w:t>
            </w:r>
            <w:r w:rsidR="00891596" w:rsidRPr="00BF7721">
              <w:rPr>
                <w:rFonts w:ascii="Times New Roman" w:eastAsia="Times New Roman" w:hAnsi="Times New Roman" w:cs="Times New Roman"/>
                <w:sz w:val="20"/>
                <w:szCs w:val="20"/>
              </w:rPr>
              <w:t xml:space="preserve"> 2 mm</w:t>
            </w:r>
            <w:r w:rsidR="00CB1112">
              <w:rPr>
                <w:rFonts w:ascii="Times New Roman" w:eastAsia="Times New Roman" w:hAnsi="Times New Roman" w:cs="Times New Roman"/>
                <w:sz w:val="20"/>
                <w:szCs w:val="20"/>
              </w:rPr>
              <w:t xml:space="preserve">, </w:t>
            </w:r>
            <w:r w:rsidRPr="00BF7721">
              <w:rPr>
                <w:rFonts w:ascii="Times New Roman" w:eastAsia="Times New Roman" w:hAnsi="Times New Roman" w:cs="Times New Roman"/>
                <w:sz w:val="20"/>
                <w:szCs w:val="20"/>
              </w:rPr>
              <w:t>nie</w:t>
            </w:r>
            <w:r w:rsidR="00711AEC" w:rsidRPr="00BF7721">
              <w:rPr>
                <w:rFonts w:ascii="Times New Roman" w:eastAsia="Times New Roman" w:hAnsi="Times New Roman" w:cs="Times New Roman"/>
                <w:sz w:val="20"/>
                <w:szCs w:val="20"/>
              </w:rPr>
              <w:t xml:space="preserve"> </w:t>
            </w:r>
            <w:r w:rsidRPr="00BF7721">
              <w:rPr>
                <w:rFonts w:ascii="Times New Roman" w:eastAsia="Times New Roman" w:hAnsi="Times New Roman" w:cs="Times New Roman"/>
                <w:sz w:val="20"/>
                <w:szCs w:val="20"/>
              </w:rPr>
              <w:t>rzadziej</w:t>
            </w:r>
            <w:r w:rsidR="00711AEC" w:rsidRPr="00BF7721">
              <w:rPr>
                <w:rFonts w:ascii="Times New Roman" w:eastAsia="Times New Roman" w:hAnsi="Times New Roman" w:cs="Times New Roman"/>
                <w:sz w:val="20"/>
                <w:szCs w:val="20"/>
              </w:rPr>
              <w:t xml:space="preserve"> </w:t>
            </w:r>
            <w:r w:rsidRPr="00BF7721">
              <w:rPr>
                <w:rFonts w:ascii="Times New Roman" w:eastAsia="Times New Roman" w:hAnsi="Times New Roman" w:cs="Times New Roman"/>
                <w:sz w:val="20"/>
                <w:szCs w:val="20"/>
              </w:rPr>
              <w:t>niż</w:t>
            </w:r>
            <w:r w:rsidR="00711AEC" w:rsidRPr="00BF7721">
              <w:rPr>
                <w:rFonts w:ascii="Times New Roman" w:eastAsia="Times New Roman" w:hAnsi="Times New Roman" w:cs="Times New Roman"/>
                <w:sz w:val="20"/>
                <w:szCs w:val="20"/>
              </w:rPr>
              <w:t xml:space="preserve"> </w:t>
            </w:r>
            <w:r w:rsidRPr="00BF7721">
              <w:rPr>
                <w:rFonts w:ascii="Times New Roman" w:eastAsia="Times New Roman" w:hAnsi="Times New Roman" w:cs="Times New Roman"/>
                <w:sz w:val="20"/>
                <w:szCs w:val="20"/>
              </w:rPr>
              <w:t>1</w:t>
            </w:r>
            <w:r w:rsidR="00711AEC" w:rsidRPr="00BF7721">
              <w:rPr>
                <w:rFonts w:ascii="Times New Roman" w:eastAsia="Times New Roman" w:hAnsi="Times New Roman" w:cs="Times New Roman"/>
                <w:sz w:val="20"/>
                <w:szCs w:val="20"/>
              </w:rPr>
              <w:t xml:space="preserve"> </w:t>
            </w:r>
            <w:r w:rsidRPr="00BF7721">
              <w:rPr>
                <w:rFonts w:ascii="Times New Roman" w:eastAsia="Times New Roman" w:hAnsi="Times New Roman" w:cs="Times New Roman"/>
                <w:sz w:val="20"/>
                <w:szCs w:val="20"/>
              </w:rPr>
              <w:t>raz</w:t>
            </w:r>
            <w:r w:rsidR="00711AEC" w:rsidRPr="00BF7721">
              <w:rPr>
                <w:rFonts w:ascii="Times New Roman" w:eastAsia="Times New Roman" w:hAnsi="Times New Roman" w:cs="Times New Roman"/>
                <w:sz w:val="20"/>
                <w:szCs w:val="20"/>
              </w:rPr>
              <w:t xml:space="preserve"> </w:t>
            </w:r>
            <w:r w:rsidRPr="00BF7721">
              <w:rPr>
                <w:rFonts w:ascii="Times New Roman" w:eastAsia="Times New Roman" w:hAnsi="Times New Roman" w:cs="Times New Roman"/>
                <w:sz w:val="20"/>
                <w:szCs w:val="20"/>
              </w:rPr>
              <w:t>do</w:t>
            </w:r>
            <w:r w:rsidR="00711AEC" w:rsidRPr="00BF7721">
              <w:rPr>
                <w:rFonts w:ascii="Times New Roman" w:eastAsia="Times New Roman" w:hAnsi="Times New Roman" w:cs="Times New Roman"/>
                <w:sz w:val="20"/>
                <w:szCs w:val="20"/>
              </w:rPr>
              <w:t xml:space="preserve"> </w:t>
            </w:r>
            <w:r w:rsidRPr="00BF7721">
              <w:rPr>
                <w:rFonts w:ascii="Times New Roman" w:eastAsia="Times New Roman" w:hAnsi="Times New Roman" w:cs="Times New Roman"/>
                <w:sz w:val="20"/>
                <w:szCs w:val="20"/>
              </w:rPr>
              <w:t>roku</w:t>
            </w:r>
            <w:r w:rsidR="00711AEC" w:rsidRPr="00BF7721">
              <w:rPr>
                <w:rFonts w:ascii="Times New Roman" w:eastAsia="Times New Roman" w:hAnsi="Times New Roman" w:cs="Times New Roman"/>
                <w:sz w:val="20"/>
                <w:szCs w:val="20"/>
              </w:rPr>
              <w:t xml:space="preserve"> </w:t>
            </w:r>
            <w:r w:rsidRPr="00BF7721">
              <w:rPr>
                <w:rFonts w:ascii="Times New Roman" w:eastAsia="Times New Roman" w:hAnsi="Times New Roman" w:cs="Times New Roman"/>
                <w:sz w:val="20"/>
                <w:szCs w:val="20"/>
              </w:rPr>
              <w:t>i</w:t>
            </w:r>
            <w:r w:rsidR="00711AEC" w:rsidRPr="00BF7721">
              <w:rPr>
                <w:rFonts w:ascii="Times New Roman" w:eastAsia="Times New Roman" w:hAnsi="Times New Roman" w:cs="Times New Roman"/>
                <w:sz w:val="20"/>
                <w:szCs w:val="20"/>
              </w:rPr>
              <w:t xml:space="preserve"> </w:t>
            </w:r>
            <w:r w:rsidRPr="00BF7721">
              <w:rPr>
                <w:rFonts w:ascii="Times New Roman" w:eastAsia="Times New Roman" w:hAnsi="Times New Roman" w:cs="Times New Roman"/>
                <w:sz w:val="20"/>
                <w:szCs w:val="20"/>
              </w:rPr>
              <w:t>w</w:t>
            </w:r>
            <w:r w:rsidR="00711AEC" w:rsidRPr="00BF7721">
              <w:rPr>
                <w:rFonts w:ascii="Times New Roman" w:eastAsia="Times New Roman" w:hAnsi="Times New Roman" w:cs="Times New Roman"/>
                <w:sz w:val="20"/>
                <w:szCs w:val="20"/>
              </w:rPr>
              <w:t xml:space="preserve"> </w:t>
            </w:r>
            <w:r w:rsidR="00CB1112">
              <w:rPr>
                <w:rFonts w:ascii="Times New Roman" w:eastAsia="Times New Roman" w:hAnsi="Times New Roman" w:cs="Times New Roman"/>
                <w:sz w:val="20"/>
                <w:szCs w:val="20"/>
              </w:rPr>
              <w:t xml:space="preserve">każdym </w:t>
            </w:r>
            <w:r w:rsidRPr="00BF7721">
              <w:rPr>
                <w:rFonts w:ascii="Times New Roman" w:eastAsia="Times New Roman" w:hAnsi="Times New Roman" w:cs="Times New Roman"/>
                <w:sz w:val="20"/>
                <w:szCs w:val="20"/>
              </w:rPr>
              <w:t>przypadku</w:t>
            </w:r>
            <w:r w:rsidR="00711AEC" w:rsidRPr="00BF7721">
              <w:rPr>
                <w:rFonts w:ascii="Times New Roman" w:eastAsia="Times New Roman" w:hAnsi="Times New Roman" w:cs="Times New Roman"/>
                <w:sz w:val="20"/>
                <w:szCs w:val="20"/>
              </w:rPr>
              <w:t xml:space="preserve"> </w:t>
            </w:r>
            <w:r w:rsidRPr="00BF7721">
              <w:rPr>
                <w:rFonts w:ascii="Times New Roman" w:eastAsia="Times New Roman" w:hAnsi="Times New Roman" w:cs="Times New Roman"/>
                <w:sz w:val="20"/>
                <w:szCs w:val="20"/>
              </w:rPr>
              <w:t>wystąpienia</w:t>
            </w:r>
            <w:r w:rsidR="00711AEC" w:rsidRPr="00BF7721">
              <w:rPr>
                <w:rFonts w:ascii="Times New Roman" w:eastAsia="Times New Roman" w:hAnsi="Times New Roman" w:cs="Times New Roman"/>
                <w:sz w:val="20"/>
                <w:szCs w:val="20"/>
              </w:rPr>
              <w:t xml:space="preserve"> </w:t>
            </w:r>
            <w:r w:rsidRPr="00BF7721">
              <w:rPr>
                <w:rFonts w:ascii="Times New Roman" w:eastAsia="Times New Roman" w:hAnsi="Times New Roman" w:cs="Times New Roman"/>
                <w:sz w:val="20"/>
                <w:szCs w:val="20"/>
              </w:rPr>
              <w:t>nowych</w:t>
            </w:r>
            <w:r w:rsidR="00711AEC" w:rsidRPr="00BF7721">
              <w:rPr>
                <w:rFonts w:ascii="Times New Roman" w:eastAsia="Times New Roman" w:hAnsi="Times New Roman" w:cs="Times New Roman"/>
                <w:sz w:val="20"/>
                <w:szCs w:val="20"/>
              </w:rPr>
              <w:t xml:space="preserve"> </w:t>
            </w:r>
            <w:r w:rsidRPr="00BF7721">
              <w:rPr>
                <w:rFonts w:ascii="Times New Roman" w:eastAsia="Times New Roman" w:hAnsi="Times New Roman" w:cs="Times New Roman"/>
                <w:sz w:val="20"/>
                <w:szCs w:val="20"/>
              </w:rPr>
              <w:t>ubytków</w:t>
            </w:r>
            <w:r w:rsidR="00711AEC" w:rsidRPr="00BF7721">
              <w:rPr>
                <w:rFonts w:ascii="Times New Roman" w:eastAsia="Times New Roman" w:hAnsi="Times New Roman" w:cs="Times New Roman"/>
                <w:sz w:val="20"/>
                <w:szCs w:val="20"/>
              </w:rPr>
              <w:t xml:space="preserve"> </w:t>
            </w:r>
            <w:r w:rsidRPr="00BF7721">
              <w:rPr>
                <w:rFonts w:ascii="Times New Roman" w:eastAsia="Times New Roman" w:hAnsi="Times New Roman" w:cs="Times New Roman"/>
                <w:sz w:val="20"/>
                <w:szCs w:val="20"/>
              </w:rPr>
              <w:t>w</w:t>
            </w:r>
            <w:r w:rsidR="00711AEC" w:rsidRPr="00BF7721">
              <w:rPr>
                <w:rFonts w:ascii="Times New Roman" w:eastAsia="Times New Roman" w:hAnsi="Times New Roman" w:cs="Times New Roman"/>
                <w:sz w:val="20"/>
                <w:szCs w:val="20"/>
              </w:rPr>
              <w:t xml:space="preserve"> </w:t>
            </w:r>
            <w:r w:rsidRPr="00BF7721">
              <w:rPr>
                <w:rFonts w:ascii="Times New Roman" w:eastAsia="Times New Roman" w:hAnsi="Times New Roman" w:cs="Times New Roman"/>
                <w:sz w:val="20"/>
                <w:szCs w:val="20"/>
              </w:rPr>
              <w:t>polu</w:t>
            </w:r>
            <w:r w:rsidR="00711AEC" w:rsidRPr="00BF7721">
              <w:rPr>
                <w:rFonts w:ascii="Times New Roman" w:eastAsia="Times New Roman" w:hAnsi="Times New Roman" w:cs="Times New Roman"/>
                <w:sz w:val="20"/>
                <w:szCs w:val="20"/>
              </w:rPr>
              <w:t xml:space="preserve"> </w:t>
            </w:r>
            <w:r w:rsidRPr="00BF7721">
              <w:rPr>
                <w:rFonts w:ascii="Times New Roman" w:eastAsia="Times New Roman" w:hAnsi="Times New Roman" w:cs="Times New Roman"/>
                <w:sz w:val="20"/>
                <w:szCs w:val="20"/>
              </w:rPr>
              <w:t>widzenia</w:t>
            </w:r>
            <w:r w:rsidR="00711AEC" w:rsidRPr="00BF7721">
              <w:rPr>
                <w:rFonts w:ascii="Times New Roman" w:eastAsia="Times New Roman" w:hAnsi="Times New Roman" w:cs="Times New Roman"/>
                <w:sz w:val="20"/>
                <w:szCs w:val="20"/>
              </w:rPr>
              <w:t xml:space="preserve"> </w:t>
            </w:r>
            <w:r w:rsidRPr="00BF7721">
              <w:rPr>
                <w:rFonts w:ascii="Times New Roman" w:eastAsia="Times New Roman" w:hAnsi="Times New Roman" w:cs="Times New Roman"/>
                <w:sz w:val="20"/>
                <w:szCs w:val="20"/>
              </w:rPr>
              <w:t>lub</w:t>
            </w:r>
            <w:r w:rsidR="00711AEC" w:rsidRPr="00BF7721">
              <w:rPr>
                <w:rFonts w:ascii="Times New Roman" w:eastAsia="Times New Roman" w:hAnsi="Times New Roman" w:cs="Times New Roman"/>
                <w:sz w:val="20"/>
                <w:szCs w:val="20"/>
              </w:rPr>
              <w:t xml:space="preserve"> </w:t>
            </w:r>
            <w:r w:rsidRPr="00BF7721">
              <w:rPr>
                <w:rFonts w:ascii="Times New Roman" w:eastAsia="Times New Roman" w:hAnsi="Times New Roman" w:cs="Times New Roman"/>
                <w:sz w:val="20"/>
                <w:szCs w:val="20"/>
              </w:rPr>
              <w:t>subiektywnego</w:t>
            </w:r>
            <w:r w:rsidR="00711AEC" w:rsidRPr="00BF7721">
              <w:rPr>
                <w:rFonts w:ascii="Times New Roman" w:eastAsia="Times New Roman" w:hAnsi="Times New Roman" w:cs="Times New Roman"/>
                <w:sz w:val="20"/>
                <w:szCs w:val="20"/>
              </w:rPr>
              <w:t xml:space="preserve"> </w:t>
            </w:r>
            <w:r w:rsidRPr="00BF7721">
              <w:rPr>
                <w:rFonts w:ascii="Times New Roman" w:eastAsia="Times New Roman" w:hAnsi="Times New Roman" w:cs="Times New Roman"/>
                <w:sz w:val="20"/>
                <w:szCs w:val="20"/>
              </w:rPr>
              <w:t>pogorszenia</w:t>
            </w:r>
            <w:r w:rsidR="00711AEC" w:rsidRPr="00BF7721">
              <w:rPr>
                <w:rFonts w:ascii="Times New Roman" w:eastAsia="Times New Roman" w:hAnsi="Times New Roman" w:cs="Times New Roman"/>
                <w:sz w:val="20"/>
                <w:szCs w:val="20"/>
              </w:rPr>
              <w:t xml:space="preserve"> </w:t>
            </w:r>
            <w:r w:rsidRPr="00BF7721">
              <w:rPr>
                <w:rFonts w:ascii="Times New Roman" w:eastAsia="Times New Roman" w:hAnsi="Times New Roman" w:cs="Times New Roman"/>
                <w:sz w:val="20"/>
                <w:szCs w:val="20"/>
              </w:rPr>
              <w:t>pola</w:t>
            </w:r>
            <w:r w:rsidR="00711AEC" w:rsidRPr="00BF7721">
              <w:rPr>
                <w:rFonts w:ascii="Times New Roman" w:eastAsia="Times New Roman" w:hAnsi="Times New Roman" w:cs="Times New Roman"/>
                <w:sz w:val="20"/>
                <w:szCs w:val="20"/>
              </w:rPr>
              <w:t xml:space="preserve"> </w:t>
            </w:r>
            <w:r w:rsidRPr="00BF7721">
              <w:rPr>
                <w:rFonts w:ascii="Times New Roman" w:eastAsia="Times New Roman" w:hAnsi="Times New Roman" w:cs="Times New Roman"/>
                <w:sz w:val="20"/>
                <w:szCs w:val="20"/>
              </w:rPr>
              <w:t>widzenia;</w:t>
            </w:r>
          </w:p>
          <w:p w14:paraId="726A853B" w14:textId="06757607" w:rsidR="00F729FE" w:rsidRPr="00FD48F5" w:rsidRDefault="00F729FE" w:rsidP="00B72F8D">
            <w:pPr>
              <w:pStyle w:val="Akapitzlist"/>
              <w:numPr>
                <w:ilvl w:val="2"/>
                <w:numId w:val="3"/>
              </w:numPr>
              <w:tabs>
                <w:tab w:val="left" w:pos="317"/>
              </w:tabs>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ocena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wyrównania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czynności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nadnerczy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tarczycy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6</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miesięcy</w:t>
            </w:r>
            <w:r w:rsidR="009B7B78" w:rsidRPr="00FD48F5">
              <w:rPr>
                <w:rFonts w:ascii="Times New Roman" w:eastAsia="Times New Roman" w:hAnsi="Times New Roman" w:cs="Times New Roman"/>
                <w:sz w:val="20"/>
                <w:szCs w:val="20"/>
              </w:rPr>
              <w:t>;</w:t>
            </w:r>
          </w:p>
          <w:p w14:paraId="7B860DE2" w14:textId="1E037CAA" w:rsidR="009B7B78" w:rsidRPr="00FD48F5" w:rsidRDefault="009B7B78" w:rsidP="00B72F8D">
            <w:pPr>
              <w:pStyle w:val="Akapitzlist"/>
              <w:numPr>
                <w:ilvl w:val="2"/>
                <w:numId w:val="3"/>
              </w:numPr>
              <w:tabs>
                <w:tab w:val="left" w:pos="317"/>
              </w:tabs>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ocena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jakości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życia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12</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miesiącach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(np.</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skala</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AcroQoL</w:t>
            </w:r>
            <w:proofErr w:type="spellEnd"/>
            <w:r w:rsidRPr="00FD48F5">
              <w:rPr>
                <w:rFonts w:ascii="Times New Roman" w:eastAsia="Times New Roman" w:hAnsi="Times New Roman" w:cs="Times New Roman"/>
                <w:sz w:val="20"/>
                <w:szCs w:val="20"/>
              </w:rPr>
              <w:t>).</w:t>
            </w:r>
          </w:p>
          <w:p w14:paraId="2BE1F751" w14:textId="77777777" w:rsidR="00B72F8D" w:rsidRPr="00FD48F5" w:rsidRDefault="00B72F8D" w:rsidP="00FD48F5">
            <w:pPr>
              <w:pStyle w:val="Akapitzlist"/>
              <w:tabs>
                <w:tab w:val="left" w:pos="317"/>
              </w:tabs>
              <w:spacing w:after="60"/>
              <w:ind w:left="454" w:right="45"/>
              <w:contextualSpacing w:val="0"/>
              <w:jc w:val="both"/>
              <w:rPr>
                <w:rFonts w:ascii="Times New Roman" w:eastAsia="Times New Roman" w:hAnsi="Times New Roman" w:cs="Times New Roman"/>
                <w:sz w:val="20"/>
                <w:szCs w:val="20"/>
              </w:rPr>
            </w:pPr>
          </w:p>
          <w:p w14:paraId="60CF9534" w14:textId="4EFAEA24" w:rsidR="005063BD" w:rsidRPr="00FD48F5" w:rsidRDefault="005063BD" w:rsidP="00B72F8D">
            <w:pPr>
              <w:pStyle w:val="Akapitzlist"/>
              <w:numPr>
                <w:ilvl w:val="0"/>
                <w:numId w:val="3"/>
              </w:numPr>
              <w:spacing w:after="60"/>
              <w:ind w:right="45"/>
              <w:contextualSpacing w:val="0"/>
              <w:jc w:val="both"/>
              <w:rPr>
                <w:rFonts w:ascii="Times New Roman" w:eastAsia="Times New Roman" w:hAnsi="Times New Roman" w:cs="Times New Roman"/>
                <w:b/>
                <w:sz w:val="20"/>
                <w:szCs w:val="20"/>
              </w:rPr>
            </w:pPr>
            <w:r w:rsidRPr="00FD48F5">
              <w:rPr>
                <w:rFonts w:ascii="Times New Roman" w:eastAsia="Times New Roman" w:hAnsi="Times New Roman" w:cs="Times New Roman"/>
                <w:b/>
                <w:sz w:val="20"/>
                <w:szCs w:val="20"/>
              </w:rPr>
              <w:lastRenderedPageBreak/>
              <w:t>Leczenie</w:t>
            </w:r>
            <w:r w:rsidR="00711AEC">
              <w:rPr>
                <w:rFonts w:ascii="Times New Roman" w:eastAsia="Times New Roman" w:hAnsi="Times New Roman" w:cs="Times New Roman"/>
                <w:b/>
                <w:sz w:val="20"/>
                <w:szCs w:val="20"/>
              </w:rPr>
              <w:t xml:space="preserve"> </w:t>
            </w:r>
            <w:proofErr w:type="spellStart"/>
            <w:r w:rsidRPr="00FD48F5">
              <w:rPr>
                <w:rFonts w:ascii="Times New Roman" w:eastAsia="Times New Roman" w:hAnsi="Times New Roman" w:cs="Times New Roman"/>
                <w:b/>
                <w:sz w:val="20"/>
                <w:szCs w:val="20"/>
              </w:rPr>
              <w:t>pegwisomantem</w:t>
            </w:r>
            <w:proofErr w:type="spellEnd"/>
          </w:p>
          <w:p w14:paraId="169BE0B5" w14:textId="3EF2E05C" w:rsidR="009A655D" w:rsidRPr="00FD48F5" w:rsidRDefault="009A655D" w:rsidP="00B72F8D">
            <w:pPr>
              <w:pStyle w:val="Akapitzlist"/>
              <w:numPr>
                <w:ilvl w:val="1"/>
                <w:numId w:val="3"/>
              </w:numPr>
              <w:spacing w:after="60"/>
              <w:ind w:right="45"/>
              <w:contextualSpacing w:val="0"/>
              <w:jc w:val="both"/>
              <w:rPr>
                <w:rFonts w:ascii="Times New Roman" w:eastAsia="Times New Roman" w:hAnsi="Times New Roman" w:cs="Times New Roman"/>
                <w:b/>
                <w:sz w:val="20"/>
                <w:szCs w:val="20"/>
              </w:rPr>
            </w:pPr>
            <w:r w:rsidRPr="00FD48F5">
              <w:rPr>
                <w:rFonts w:ascii="Times New Roman" w:eastAsia="Times New Roman" w:hAnsi="Times New Roman" w:cs="Times New Roman"/>
                <w:b/>
                <w:sz w:val="20"/>
                <w:szCs w:val="20"/>
              </w:rPr>
              <w:t>Badania</w:t>
            </w:r>
            <w:r w:rsidR="00711AEC">
              <w:rPr>
                <w:rFonts w:ascii="Times New Roman" w:eastAsia="Times New Roman" w:hAnsi="Times New Roman" w:cs="Times New Roman"/>
                <w:b/>
                <w:sz w:val="20"/>
                <w:szCs w:val="20"/>
              </w:rPr>
              <w:t xml:space="preserve"> </w:t>
            </w:r>
            <w:r w:rsidRPr="00FD48F5">
              <w:rPr>
                <w:rFonts w:ascii="Times New Roman" w:eastAsia="Times New Roman" w:hAnsi="Times New Roman" w:cs="Times New Roman"/>
                <w:b/>
                <w:sz w:val="20"/>
                <w:szCs w:val="20"/>
              </w:rPr>
              <w:t>przy</w:t>
            </w:r>
            <w:r w:rsidR="00711AEC">
              <w:rPr>
                <w:rFonts w:ascii="Times New Roman" w:eastAsia="Times New Roman" w:hAnsi="Times New Roman" w:cs="Times New Roman"/>
                <w:b/>
                <w:sz w:val="20"/>
                <w:szCs w:val="20"/>
              </w:rPr>
              <w:t xml:space="preserve"> </w:t>
            </w:r>
            <w:r w:rsidRPr="00FD48F5">
              <w:rPr>
                <w:rFonts w:ascii="Times New Roman" w:eastAsia="Times New Roman" w:hAnsi="Times New Roman" w:cs="Times New Roman"/>
                <w:b/>
                <w:sz w:val="20"/>
                <w:szCs w:val="20"/>
              </w:rPr>
              <w:t>kwalifikacji</w:t>
            </w:r>
          </w:p>
          <w:p w14:paraId="75083A0C" w14:textId="0A866B6B" w:rsidR="005C3375" w:rsidRPr="00FD48F5" w:rsidRDefault="009A655D" w:rsidP="00B72F8D">
            <w:pPr>
              <w:pStyle w:val="Akapitzlist"/>
              <w:numPr>
                <w:ilvl w:val="2"/>
                <w:numId w:val="3"/>
              </w:numPr>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badanie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podmiotowe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przedmiotowe: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ocena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somatycznych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objawów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akromegalii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oraz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ewentualnych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powikłań;</w:t>
            </w:r>
            <w:r w:rsidR="00711AEC">
              <w:rPr>
                <w:rFonts w:ascii="Times New Roman" w:eastAsia="Times New Roman" w:hAnsi="Times New Roman" w:cs="Times New Roman"/>
                <w:sz w:val="20"/>
                <w:szCs w:val="20"/>
              </w:rPr>
              <w:t xml:space="preserve"> </w:t>
            </w:r>
          </w:p>
          <w:p w14:paraId="57A7C456" w14:textId="40E0435D" w:rsidR="009A655D" w:rsidRPr="00FD48F5" w:rsidRDefault="009A655D" w:rsidP="00B72F8D">
            <w:pPr>
              <w:pStyle w:val="Akapitzlist"/>
              <w:numPr>
                <w:ilvl w:val="2"/>
                <w:numId w:val="3"/>
              </w:numPr>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ocena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jakości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życia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(np.</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pomocą</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skali</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Acromegaly</w:t>
            </w:r>
            <w:proofErr w:type="spellEnd"/>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Quality</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of</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Life</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Questionnaire</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t>
            </w:r>
            <w:proofErr w:type="spellStart"/>
            <w:r w:rsidRPr="00FD48F5">
              <w:rPr>
                <w:rFonts w:ascii="Times New Roman" w:eastAsia="Times New Roman" w:hAnsi="Times New Roman" w:cs="Times New Roman"/>
                <w:sz w:val="20"/>
                <w:szCs w:val="20"/>
              </w:rPr>
              <w:t>AcroQol</w:t>
            </w:r>
            <w:proofErr w:type="spellEnd"/>
            <w:r w:rsidRPr="00FD48F5">
              <w:rPr>
                <w:rFonts w:ascii="Times New Roman" w:eastAsia="Times New Roman" w:hAnsi="Times New Roman" w:cs="Times New Roman"/>
                <w:sz w:val="20"/>
                <w:szCs w:val="20"/>
              </w:rPr>
              <w:t>).</w:t>
            </w:r>
          </w:p>
          <w:p w14:paraId="5A23F952" w14:textId="20F81F16" w:rsidR="005063BD" w:rsidRPr="00FD48F5" w:rsidRDefault="009A655D" w:rsidP="00B72F8D">
            <w:pPr>
              <w:pStyle w:val="Akapitzlist"/>
              <w:numPr>
                <w:ilvl w:val="2"/>
                <w:numId w:val="3"/>
              </w:numPr>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ocena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hormonalna:</w:t>
            </w:r>
            <w:r w:rsidR="00711AEC">
              <w:rPr>
                <w:rFonts w:ascii="Times New Roman" w:eastAsia="Times New Roman" w:hAnsi="Times New Roman" w:cs="Times New Roman"/>
                <w:sz w:val="20"/>
                <w:szCs w:val="20"/>
              </w:rPr>
              <w:t xml:space="preserve"> </w:t>
            </w:r>
            <w:r w:rsidR="00F24DC6" w:rsidRPr="00FD48F5">
              <w:rPr>
                <w:rFonts w:ascii="Times New Roman" w:eastAsia="Times New Roman" w:hAnsi="Times New Roman" w:cs="Times New Roman"/>
                <w:sz w:val="20"/>
                <w:szCs w:val="20"/>
              </w:rPr>
              <w:t>stężenie</w:t>
            </w:r>
            <w:r w:rsidR="00711AEC">
              <w:rPr>
                <w:rFonts w:ascii="Times New Roman" w:eastAsia="Times New Roman" w:hAnsi="Times New Roman" w:cs="Times New Roman"/>
                <w:sz w:val="20"/>
                <w:szCs w:val="20"/>
              </w:rPr>
              <w:t xml:space="preserve"> </w:t>
            </w:r>
            <w:r w:rsidR="00F24DC6" w:rsidRPr="00FD48F5">
              <w:rPr>
                <w:rFonts w:ascii="Times New Roman" w:eastAsia="Times New Roman" w:hAnsi="Times New Roman" w:cs="Times New Roman"/>
                <w:sz w:val="20"/>
                <w:szCs w:val="20"/>
              </w:rPr>
              <w:t>GH,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stężenie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IGF-1,</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ocena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wyrównania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czynności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nadnerczy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tarczycy;</w:t>
            </w:r>
          </w:p>
          <w:p w14:paraId="3120B613" w14:textId="08DC8C4D" w:rsidR="005063BD" w:rsidRPr="00FD48F5" w:rsidRDefault="009A655D" w:rsidP="00B72F8D">
            <w:pPr>
              <w:pStyle w:val="Akapitzlist"/>
              <w:numPr>
                <w:ilvl w:val="2"/>
                <w:numId w:val="3"/>
              </w:numPr>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rezonans</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magnetyczny</w:t>
            </w:r>
            <w:r w:rsidR="00711AEC">
              <w:rPr>
                <w:rFonts w:ascii="Times New Roman" w:eastAsia="Times New Roman" w:hAnsi="Times New Roman" w:cs="Times New Roman"/>
                <w:sz w:val="20"/>
                <w:szCs w:val="20"/>
              </w:rPr>
              <w:t xml:space="preserve"> </w:t>
            </w:r>
            <w:r w:rsidR="006675A9" w:rsidRPr="00FD48F5">
              <w:rPr>
                <w:rFonts w:ascii="Times New Roman" w:eastAsia="Times New Roman" w:hAnsi="Times New Roman" w:cs="Times New Roman"/>
                <w:sz w:val="20"/>
                <w:szCs w:val="20"/>
              </w:rPr>
              <w:t>okolicy</w:t>
            </w:r>
            <w:r w:rsidR="00711AEC">
              <w:rPr>
                <w:rFonts w:ascii="Times New Roman" w:eastAsia="Times New Roman" w:hAnsi="Times New Roman" w:cs="Times New Roman"/>
                <w:sz w:val="20"/>
                <w:szCs w:val="20"/>
              </w:rPr>
              <w:t xml:space="preserve"> </w:t>
            </w:r>
            <w:r w:rsidR="006675A9" w:rsidRPr="00FD48F5">
              <w:rPr>
                <w:rFonts w:ascii="Times New Roman" w:eastAsia="Times New Roman" w:hAnsi="Times New Roman" w:cs="Times New Roman"/>
                <w:sz w:val="20"/>
                <w:szCs w:val="20"/>
              </w:rPr>
              <w:t>podwzgórzowo-przysadkowej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użyciem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środka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kontrastowego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wykonany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użyciu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aparatu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spełniającego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normy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diagnostyki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przysadki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okresie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3</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miesięcy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poprzedzających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kwalifikację</w:t>
            </w:r>
            <w:r w:rsidR="009717CC" w:rsidRPr="00FD48F5">
              <w:rPr>
                <w:rFonts w:ascii="Times New Roman" w:eastAsia="Times New Roman" w:hAnsi="Times New Roman" w:cs="Times New Roman"/>
                <w:sz w:val="20"/>
                <w:szCs w:val="20"/>
              </w:rPr>
              <w:t>.</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przypadku</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przeciwwskazań</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wykonania</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rezonansu</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magnetycznego</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bądź</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braku</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możliwości</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wykonania</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tego</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badania</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z</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innych</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przyczyn,</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badaniem</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które</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należy</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wykonać</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jest</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tomografia</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komputerowa;</w:t>
            </w:r>
          </w:p>
          <w:p w14:paraId="4EF5D756" w14:textId="62192EA4" w:rsidR="005063BD" w:rsidRPr="00FD48F5" w:rsidRDefault="006675A9" w:rsidP="00B72F8D">
            <w:pPr>
              <w:pStyle w:val="Akapitzlist"/>
              <w:numPr>
                <w:ilvl w:val="2"/>
                <w:numId w:val="3"/>
              </w:numPr>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ocena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pola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widzenia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przypadku</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makrogruczolaka</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przysadki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(guz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średnicy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1</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cm</w:t>
            </w:r>
            <w:r w:rsidR="00E97250">
              <w:t xml:space="preserve"> </w:t>
            </w:r>
            <w:r w:rsidR="00E97250" w:rsidRPr="00E97250">
              <w:rPr>
                <w:rFonts w:ascii="Times New Roman" w:eastAsia="Times New Roman" w:hAnsi="Times New Roman" w:cs="Times New Roman"/>
                <w:sz w:val="20"/>
                <w:szCs w:val="20"/>
              </w:rPr>
              <w:t>jeśli w badaniu MR jego odległość od skrzyżowania wzrokowego jest mniejsza niż 2 mm</w:t>
            </w:r>
            <w:r w:rsidRPr="00FD48F5">
              <w:rPr>
                <w:rFonts w:ascii="Times New Roman" w:eastAsia="Times New Roman" w:hAnsi="Times New Roman" w:cs="Times New Roman"/>
                <w:sz w:val="20"/>
                <w:szCs w:val="20"/>
              </w:rPr>
              <w:t>);</w:t>
            </w:r>
          </w:p>
          <w:p w14:paraId="4852CF50" w14:textId="6853EE95" w:rsidR="00F24DC6" w:rsidRPr="00FD48F5" w:rsidRDefault="009A655D" w:rsidP="00B72F8D">
            <w:pPr>
              <w:pStyle w:val="Akapitzlist"/>
              <w:numPr>
                <w:ilvl w:val="2"/>
                <w:numId w:val="3"/>
              </w:numPr>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badania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laboratoryjne: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ocena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stężenia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glukozy</w:t>
            </w:r>
            <w:r w:rsidR="00711AEC">
              <w:rPr>
                <w:rFonts w:ascii="Times New Roman" w:eastAsia="Times New Roman" w:hAnsi="Times New Roman" w:cs="Times New Roman"/>
                <w:sz w:val="20"/>
                <w:szCs w:val="20"/>
              </w:rPr>
              <w:t xml:space="preserve"> </w:t>
            </w:r>
            <w:r w:rsidR="00F24DC6"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00F24DC6" w:rsidRPr="00FD48F5">
              <w:rPr>
                <w:rFonts w:ascii="Times New Roman" w:eastAsia="Times New Roman" w:hAnsi="Times New Roman" w:cs="Times New Roman"/>
                <w:sz w:val="20"/>
                <w:szCs w:val="20"/>
              </w:rPr>
              <w:t>osoczu</w:t>
            </w:r>
            <w:r w:rsidR="00711AEC">
              <w:rPr>
                <w:rFonts w:ascii="Times New Roman" w:eastAsia="Times New Roman" w:hAnsi="Times New Roman" w:cs="Times New Roman"/>
                <w:sz w:val="20"/>
                <w:szCs w:val="20"/>
              </w:rPr>
              <w:t xml:space="preserve"> </w:t>
            </w:r>
            <w:r w:rsidR="00F24DC6" w:rsidRPr="00FD48F5">
              <w:rPr>
                <w:rFonts w:ascii="Times New Roman" w:eastAsia="Times New Roman" w:hAnsi="Times New Roman" w:cs="Times New Roman"/>
                <w:sz w:val="20"/>
                <w:szCs w:val="20"/>
              </w:rPr>
              <w:t>krwi</w:t>
            </w:r>
            <w:r w:rsidR="00711AEC">
              <w:rPr>
                <w:rFonts w:ascii="Times New Roman" w:eastAsia="Times New Roman" w:hAnsi="Times New Roman" w:cs="Times New Roman"/>
                <w:sz w:val="20"/>
                <w:szCs w:val="20"/>
              </w:rPr>
              <w:t xml:space="preserve"> </w:t>
            </w:r>
            <w:r w:rsidR="00F24DC6" w:rsidRPr="00FD48F5">
              <w:rPr>
                <w:rFonts w:ascii="Times New Roman" w:eastAsia="Times New Roman" w:hAnsi="Times New Roman" w:cs="Times New Roman"/>
                <w:sz w:val="20"/>
                <w:szCs w:val="20"/>
              </w:rPr>
              <w:t>żylnej</w:t>
            </w:r>
            <w:r w:rsidR="00711AEC">
              <w:rPr>
                <w:rFonts w:ascii="Times New Roman" w:eastAsia="Times New Roman" w:hAnsi="Times New Roman" w:cs="Times New Roman"/>
                <w:sz w:val="20"/>
                <w:szCs w:val="20"/>
              </w:rPr>
              <w:t xml:space="preserve"> </w:t>
            </w:r>
            <w:r w:rsidR="00F24DC6" w:rsidRPr="00FD48F5">
              <w:rPr>
                <w:rFonts w:ascii="Times New Roman" w:eastAsia="Times New Roman" w:hAnsi="Times New Roman" w:cs="Times New Roman"/>
                <w:sz w:val="20"/>
                <w:szCs w:val="20"/>
              </w:rPr>
              <w:t>na</w:t>
            </w:r>
            <w:r w:rsidR="00711AEC">
              <w:rPr>
                <w:rFonts w:ascii="Times New Roman" w:eastAsia="Times New Roman" w:hAnsi="Times New Roman" w:cs="Times New Roman"/>
                <w:sz w:val="20"/>
                <w:szCs w:val="20"/>
              </w:rPr>
              <w:t xml:space="preserve"> </w:t>
            </w:r>
            <w:r w:rsidR="00F24DC6" w:rsidRPr="00FD48F5">
              <w:rPr>
                <w:rFonts w:ascii="Times New Roman" w:eastAsia="Times New Roman" w:hAnsi="Times New Roman" w:cs="Times New Roman"/>
                <w:sz w:val="20"/>
                <w:szCs w:val="20"/>
              </w:rPr>
              <w:t>czczo</w:t>
            </w:r>
            <w:r w:rsidR="006E5C7F" w:rsidRPr="00FD48F5">
              <w:rPr>
                <w:rFonts w:ascii="Times New Roman" w:eastAsia="Times New Roman" w:hAnsi="Times New Roman" w:cs="Times New Roman"/>
                <w:sz w:val="20"/>
                <w:szCs w:val="20"/>
              </w:rPr>
              <w:t>,</w:t>
            </w:r>
            <w:r w:rsidR="00711AEC">
              <w:rPr>
                <w:rFonts w:ascii="Times New Roman" w:eastAsia="Times New Roman" w:hAnsi="Times New Roman" w:cs="Times New Roman"/>
                <w:sz w:val="20"/>
                <w:szCs w:val="20"/>
              </w:rPr>
              <w:t xml:space="preserve"> </w:t>
            </w:r>
            <w:proofErr w:type="spellStart"/>
            <w:r w:rsidR="006E5C7F" w:rsidRPr="00FD48F5">
              <w:rPr>
                <w:rFonts w:ascii="Times New Roman" w:eastAsia="Times New Roman" w:hAnsi="Times New Roman" w:cs="Times New Roman"/>
                <w:sz w:val="20"/>
                <w:szCs w:val="20"/>
              </w:rPr>
              <w:t>eGFR</w:t>
            </w:r>
            <w:proofErr w:type="spellEnd"/>
            <w:r w:rsidR="00711AEC">
              <w:rPr>
                <w:rFonts w:ascii="Times New Roman" w:eastAsia="Times New Roman" w:hAnsi="Times New Roman" w:cs="Times New Roman"/>
                <w:sz w:val="20"/>
                <w:szCs w:val="20"/>
              </w:rPr>
              <w:t xml:space="preserve"> </w:t>
            </w:r>
            <w:r w:rsidR="006E5C7F"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006E5C7F" w:rsidRPr="00FD48F5">
              <w:rPr>
                <w:rFonts w:ascii="Times New Roman" w:hAnsi="Times New Roman" w:cs="Times New Roman"/>
                <w:sz w:val="20"/>
                <w:szCs w:val="20"/>
              </w:rPr>
              <w:t>wydalanie</w:t>
            </w:r>
            <w:r w:rsidR="00711AEC">
              <w:rPr>
                <w:rFonts w:ascii="Times New Roman" w:hAnsi="Times New Roman" w:cs="Times New Roman"/>
                <w:sz w:val="20"/>
                <w:szCs w:val="20"/>
              </w:rPr>
              <w:t xml:space="preserve"> </w:t>
            </w:r>
            <w:r w:rsidR="006E5C7F" w:rsidRPr="00FD48F5">
              <w:rPr>
                <w:rFonts w:ascii="Times New Roman" w:hAnsi="Times New Roman" w:cs="Times New Roman"/>
                <w:sz w:val="20"/>
                <w:szCs w:val="20"/>
              </w:rPr>
              <w:t>białka</w:t>
            </w:r>
            <w:r w:rsidR="00711AEC">
              <w:rPr>
                <w:rFonts w:ascii="Times New Roman" w:hAnsi="Times New Roman" w:cs="Times New Roman"/>
                <w:sz w:val="20"/>
                <w:szCs w:val="20"/>
              </w:rPr>
              <w:t xml:space="preserve"> </w:t>
            </w:r>
            <w:r w:rsidR="006E5C7F" w:rsidRPr="00FD48F5">
              <w:rPr>
                <w:rFonts w:ascii="Times New Roman" w:hAnsi="Times New Roman" w:cs="Times New Roman"/>
                <w:sz w:val="20"/>
                <w:szCs w:val="20"/>
              </w:rPr>
              <w:t>z</w:t>
            </w:r>
            <w:r w:rsidR="00711AEC">
              <w:rPr>
                <w:rFonts w:ascii="Times New Roman" w:hAnsi="Times New Roman" w:cs="Times New Roman"/>
                <w:sz w:val="20"/>
                <w:szCs w:val="20"/>
              </w:rPr>
              <w:t xml:space="preserve"> </w:t>
            </w:r>
            <w:r w:rsidR="006E5C7F" w:rsidRPr="00FD48F5">
              <w:rPr>
                <w:rFonts w:ascii="Times New Roman" w:hAnsi="Times New Roman" w:cs="Times New Roman"/>
                <w:sz w:val="20"/>
                <w:szCs w:val="20"/>
              </w:rPr>
              <w:t>moczem</w:t>
            </w:r>
            <w:r w:rsidR="00F24DC6" w:rsidRPr="00FD48F5">
              <w:rPr>
                <w:rFonts w:ascii="Times New Roman" w:eastAsia="Times New Roman" w:hAnsi="Times New Roman" w:cs="Times New Roman"/>
                <w:sz w:val="20"/>
                <w:szCs w:val="20"/>
              </w:rPr>
              <w:t>;</w:t>
            </w:r>
          </w:p>
          <w:p w14:paraId="2BE81E6F" w14:textId="7E5C3EB8" w:rsidR="000F4BBD" w:rsidRPr="00FD48F5" w:rsidRDefault="009A655D" w:rsidP="00B72F8D">
            <w:pPr>
              <w:pStyle w:val="Akapitzlist"/>
              <w:numPr>
                <w:ilvl w:val="2"/>
                <w:numId w:val="3"/>
              </w:numPr>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ocena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funkcji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wątroby: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aktywność</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AspAT</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AlAT</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oraz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bilirubiny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całkowitej;</w:t>
            </w:r>
          </w:p>
          <w:p w14:paraId="738FB9A4" w14:textId="77777777" w:rsidR="00522286" w:rsidRPr="00FD48F5" w:rsidRDefault="00522286" w:rsidP="00FD48F5">
            <w:pPr>
              <w:pStyle w:val="Akapitzlist"/>
              <w:spacing w:after="60"/>
              <w:ind w:left="454" w:right="45"/>
              <w:contextualSpacing w:val="0"/>
              <w:jc w:val="both"/>
              <w:rPr>
                <w:rFonts w:ascii="Times New Roman" w:eastAsia="Times New Roman" w:hAnsi="Times New Roman" w:cs="Times New Roman"/>
                <w:sz w:val="20"/>
                <w:szCs w:val="20"/>
              </w:rPr>
            </w:pPr>
          </w:p>
          <w:p w14:paraId="02E45129" w14:textId="1218645E" w:rsidR="000F4BBD" w:rsidRPr="00FD48F5" w:rsidRDefault="005063BD" w:rsidP="00B72F8D">
            <w:pPr>
              <w:pStyle w:val="Akapitzlist"/>
              <w:numPr>
                <w:ilvl w:val="1"/>
                <w:numId w:val="3"/>
              </w:numPr>
              <w:tabs>
                <w:tab w:val="left" w:pos="317"/>
              </w:tabs>
              <w:spacing w:after="60"/>
              <w:ind w:right="45"/>
              <w:contextualSpacing w:val="0"/>
              <w:jc w:val="both"/>
              <w:rPr>
                <w:rFonts w:ascii="Times New Roman" w:eastAsia="Times New Roman" w:hAnsi="Times New Roman" w:cs="Times New Roman"/>
                <w:b/>
                <w:sz w:val="20"/>
                <w:szCs w:val="20"/>
              </w:rPr>
            </w:pPr>
            <w:r w:rsidRPr="00FD48F5">
              <w:rPr>
                <w:rFonts w:ascii="Times New Roman" w:eastAsia="Times New Roman" w:hAnsi="Times New Roman" w:cs="Times New Roman"/>
                <w:b/>
                <w:sz w:val="20"/>
                <w:szCs w:val="20"/>
              </w:rPr>
              <w:t>Monitorowanie</w:t>
            </w:r>
            <w:r w:rsidR="00711AEC">
              <w:rPr>
                <w:rFonts w:ascii="Times New Roman" w:eastAsia="Times New Roman" w:hAnsi="Times New Roman" w:cs="Times New Roman"/>
                <w:b/>
                <w:sz w:val="20"/>
                <w:szCs w:val="20"/>
              </w:rPr>
              <w:t xml:space="preserve"> </w:t>
            </w:r>
            <w:r w:rsidRPr="00FD48F5">
              <w:rPr>
                <w:rFonts w:ascii="Times New Roman" w:eastAsia="Times New Roman" w:hAnsi="Times New Roman" w:cs="Times New Roman"/>
                <w:b/>
                <w:sz w:val="20"/>
                <w:szCs w:val="20"/>
              </w:rPr>
              <w:t>leczenia</w:t>
            </w:r>
          </w:p>
          <w:p w14:paraId="0C0A344A" w14:textId="682EC018" w:rsidR="000F4BBD" w:rsidRPr="00FD48F5" w:rsidRDefault="000F4BBD" w:rsidP="00B72F8D">
            <w:pPr>
              <w:pStyle w:val="Akapitzlist"/>
              <w:numPr>
                <w:ilvl w:val="2"/>
                <w:numId w:val="3"/>
              </w:numPr>
              <w:tabs>
                <w:tab w:val="left" w:pos="317"/>
              </w:tabs>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stężenie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IGF-1</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surow</w:t>
            </w:r>
            <w:r w:rsidR="00F24DC6" w:rsidRPr="00FD48F5">
              <w:rPr>
                <w:rFonts w:ascii="Times New Roman" w:eastAsia="Times New Roman" w:hAnsi="Times New Roman" w:cs="Times New Roman"/>
                <w:sz w:val="20"/>
                <w:szCs w:val="20"/>
              </w:rPr>
              <w:t>icy</w:t>
            </w:r>
            <w:r w:rsidR="00711AEC">
              <w:rPr>
                <w:rFonts w:ascii="Times New Roman" w:eastAsia="Times New Roman" w:hAnsi="Times New Roman" w:cs="Times New Roman"/>
                <w:sz w:val="20"/>
                <w:szCs w:val="20"/>
              </w:rPr>
              <w:t xml:space="preserve"> </w:t>
            </w:r>
            <w:r w:rsidR="00F24DC6" w:rsidRPr="00FD48F5">
              <w:rPr>
                <w:rFonts w:ascii="Times New Roman" w:eastAsia="Times New Roman" w:hAnsi="Times New Roman" w:cs="Times New Roman"/>
                <w:sz w:val="20"/>
                <w:szCs w:val="20"/>
              </w:rPr>
              <w:t>mierzone</w:t>
            </w:r>
            <w:r w:rsidR="00711AEC">
              <w:rPr>
                <w:rFonts w:ascii="Times New Roman" w:eastAsia="Times New Roman" w:hAnsi="Times New Roman" w:cs="Times New Roman"/>
                <w:sz w:val="20"/>
                <w:szCs w:val="20"/>
              </w:rPr>
              <w:t xml:space="preserve"> </w:t>
            </w:r>
            <w:r w:rsidR="00F24DC6" w:rsidRPr="00FD48F5">
              <w:rPr>
                <w:rFonts w:ascii="Times New Roman" w:eastAsia="Times New Roman" w:hAnsi="Times New Roman" w:cs="Times New Roman"/>
                <w:sz w:val="20"/>
                <w:szCs w:val="20"/>
              </w:rPr>
              <w:t>co</w:t>
            </w:r>
            <w:r w:rsidR="00711AEC">
              <w:rPr>
                <w:rFonts w:ascii="Times New Roman" w:eastAsia="Times New Roman" w:hAnsi="Times New Roman" w:cs="Times New Roman"/>
                <w:sz w:val="20"/>
                <w:szCs w:val="20"/>
              </w:rPr>
              <w:t xml:space="preserve"> </w:t>
            </w:r>
            <w:r w:rsidR="00F24DC6" w:rsidRPr="00FD48F5">
              <w:rPr>
                <w:rFonts w:ascii="Times New Roman" w:eastAsia="Times New Roman" w:hAnsi="Times New Roman" w:cs="Times New Roman"/>
                <w:sz w:val="20"/>
                <w:szCs w:val="20"/>
              </w:rPr>
              <w:t>4</w:t>
            </w:r>
            <w:r w:rsidR="00711AEC">
              <w:rPr>
                <w:rFonts w:ascii="Times New Roman" w:eastAsia="Times New Roman" w:hAnsi="Times New Roman" w:cs="Times New Roman"/>
                <w:sz w:val="20"/>
                <w:szCs w:val="20"/>
              </w:rPr>
              <w:t xml:space="preserve"> </w:t>
            </w:r>
            <w:r w:rsidR="00F24DC6" w:rsidRPr="00FD48F5">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00F24DC6" w:rsidRPr="00FD48F5">
              <w:rPr>
                <w:rFonts w:ascii="Times New Roman" w:eastAsia="Times New Roman" w:hAnsi="Times New Roman" w:cs="Times New Roman"/>
                <w:sz w:val="20"/>
                <w:szCs w:val="20"/>
              </w:rPr>
              <w:t>6</w:t>
            </w:r>
            <w:r w:rsidR="00711AEC">
              <w:rPr>
                <w:rFonts w:ascii="Times New Roman" w:eastAsia="Times New Roman" w:hAnsi="Times New Roman" w:cs="Times New Roman"/>
                <w:sz w:val="20"/>
                <w:szCs w:val="20"/>
              </w:rPr>
              <w:t xml:space="preserve"> </w:t>
            </w:r>
            <w:r w:rsidR="00F24DC6" w:rsidRPr="00FD48F5">
              <w:rPr>
                <w:rFonts w:ascii="Times New Roman" w:eastAsia="Times New Roman" w:hAnsi="Times New Roman" w:cs="Times New Roman"/>
                <w:sz w:val="20"/>
                <w:szCs w:val="20"/>
              </w:rPr>
              <w:t>tygodni</w:t>
            </w:r>
            <w:r w:rsidR="00711AEC">
              <w:rPr>
                <w:rFonts w:ascii="Times New Roman" w:eastAsia="Times New Roman" w:hAnsi="Times New Roman" w:cs="Times New Roman"/>
                <w:sz w:val="20"/>
                <w:szCs w:val="20"/>
              </w:rPr>
              <w:t xml:space="preserve"> </w:t>
            </w:r>
            <w:r w:rsidR="00F24DC6"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00F24DC6" w:rsidRPr="00FD48F5">
              <w:rPr>
                <w:rFonts w:ascii="Times New Roman" w:eastAsia="Times New Roman" w:hAnsi="Times New Roman" w:cs="Times New Roman"/>
                <w:sz w:val="20"/>
                <w:szCs w:val="20"/>
              </w:rPr>
              <w:t>czasie</w:t>
            </w:r>
            <w:r w:rsidR="00711AEC">
              <w:rPr>
                <w:rFonts w:ascii="Times New Roman" w:eastAsia="Times New Roman" w:hAnsi="Times New Roman" w:cs="Times New Roman"/>
                <w:sz w:val="20"/>
                <w:szCs w:val="20"/>
              </w:rPr>
              <w:t xml:space="preserve"> </w:t>
            </w:r>
            <w:r w:rsidR="00F24DC6" w:rsidRPr="00FD48F5">
              <w:rPr>
                <w:rFonts w:ascii="Times New Roman" w:eastAsia="Times New Roman" w:hAnsi="Times New Roman" w:cs="Times New Roman"/>
                <w:sz w:val="20"/>
                <w:szCs w:val="20"/>
              </w:rPr>
              <w:t>stopniowego</w:t>
            </w:r>
            <w:r w:rsidR="00711AEC">
              <w:rPr>
                <w:rFonts w:ascii="Times New Roman" w:eastAsia="Times New Roman" w:hAnsi="Times New Roman" w:cs="Times New Roman"/>
                <w:sz w:val="20"/>
                <w:szCs w:val="20"/>
              </w:rPr>
              <w:t xml:space="preserve"> </w:t>
            </w:r>
            <w:r w:rsidR="00F24DC6" w:rsidRPr="00FD48F5">
              <w:rPr>
                <w:rFonts w:ascii="Times New Roman" w:eastAsia="Times New Roman" w:hAnsi="Times New Roman" w:cs="Times New Roman"/>
                <w:sz w:val="20"/>
                <w:szCs w:val="20"/>
              </w:rPr>
              <w:t>zwiększania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dawk</w:t>
            </w:r>
            <w:r w:rsidR="00F24DC6"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00F24DC6" w:rsidRPr="00FD48F5">
              <w:rPr>
                <w:rFonts w:ascii="Times New Roman" w:eastAsia="Times New Roman" w:hAnsi="Times New Roman" w:cs="Times New Roman"/>
                <w:sz w:val="20"/>
                <w:szCs w:val="20"/>
              </w:rPr>
              <w:t>leku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celem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uzyskania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optymalnej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kontroli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terapeutycznej,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następnie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ocena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3</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miesiące;</w:t>
            </w:r>
          </w:p>
          <w:p w14:paraId="7E84BCAB" w14:textId="31060628" w:rsidR="000F4BBD" w:rsidRPr="00FD48F5" w:rsidRDefault="000F4BBD" w:rsidP="00B72F8D">
            <w:pPr>
              <w:pStyle w:val="Akapitzlist"/>
              <w:numPr>
                <w:ilvl w:val="2"/>
                <w:numId w:val="3"/>
              </w:numPr>
              <w:tabs>
                <w:tab w:val="left" w:pos="317"/>
              </w:tabs>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po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6</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12</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miesiącach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od</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rozpoczęcia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wykonanie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rezonansu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magnetycznego</w:t>
            </w:r>
            <w:r w:rsidR="00711AEC">
              <w:rPr>
                <w:rFonts w:ascii="Times New Roman" w:eastAsia="Times New Roman" w:hAnsi="Times New Roman" w:cs="Times New Roman"/>
                <w:sz w:val="20"/>
                <w:szCs w:val="20"/>
              </w:rPr>
              <w:t xml:space="preserve"> </w:t>
            </w:r>
            <w:r w:rsidR="006675A9" w:rsidRPr="00FD48F5">
              <w:rPr>
                <w:rFonts w:ascii="Times New Roman" w:eastAsia="Times New Roman" w:hAnsi="Times New Roman" w:cs="Times New Roman"/>
                <w:sz w:val="20"/>
                <w:szCs w:val="20"/>
              </w:rPr>
              <w:t>okolicy</w:t>
            </w:r>
            <w:r w:rsidR="00711AEC">
              <w:rPr>
                <w:rFonts w:ascii="Times New Roman" w:eastAsia="Times New Roman" w:hAnsi="Times New Roman" w:cs="Times New Roman"/>
                <w:sz w:val="20"/>
                <w:szCs w:val="20"/>
              </w:rPr>
              <w:t xml:space="preserve"> </w:t>
            </w:r>
            <w:r w:rsidR="006675A9" w:rsidRPr="00FD48F5">
              <w:rPr>
                <w:rFonts w:ascii="Times New Roman" w:eastAsia="Times New Roman" w:hAnsi="Times New Roman" w:cs="Times New Roman"/>
                <w:sz w:val="20"/>
                <w:szCs w:val="20"/>
              </w:rPr>
              <w:t>podwzgórzowo-</w:t>
            </w:r>
            <w:r w:rsidR="006675A9" w:rsidRPr="00FD48F5">
              <w:rPr>
                <w:rFonts w:ascii="Times New Roman" w:eastAsia="Times New Roman" w:hAnsi="Times New Roman" w:cs="Times New Roman"/>
                <w:sz w:val="20"/>
                <w:szCs w:val="20"/>
              </w:rPr>
              <w:lastRenderedPageBreak/>
              <w:t>przysadkowej</w:t>
            </w:r>
            <w:r w:rsidRPr="00FD48F5">
              <w:rPr>
                <w:rFonts w:ascii="Times New Roman" w:eastAsia="Times New Roman" w:hAnsi="Times New Roman" w:cs="Times New Roman"/>
                <w:sz w:val="20"/>
                <w:szCs w:val="20"/>
              </w:rPr>
              <w:t>.</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Począwszy</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od</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drugiego</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roku</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badanie</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wykonuje</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się</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co</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12</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miesięcy</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też</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niezwłocznie</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sytuacji</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pogorszenia</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pola</w:t>
            </w:r>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widzenia</w:t>
            </w:r>
            <w:r w:rsidR="009717CC" w:rsidRPr="00FD48F5">
              <w:rPr>
                <w:rFonts w:ascii="Times New Roman" w:eastAsia="Times New Roman" w:hAnsi="Times New Roman" w:cs="Times New Roman"/>
                <w:sz w:val="20"/>
                <w:szCs w:val="20"/>
              </w:rPr>
              <w:t>.</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przypadku</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przeciwwskazań</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wykonania</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rezonansu</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magnetycznego</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bądź</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braku</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możliwości</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wykonania</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tego</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badania</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z</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innych</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przyczyn,</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badaniem</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które</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należy</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wykonać</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jest</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tomografia</w:t>
            </w:r>
            <w:r w:rsidR="00711AEC">
              <w:rPr>
                <w:rFonts w:ascii="Times New Roman" w:eastAsia="Times New Roman" w:hAnsi="Times New Roman" w:cs="Times New Roman"/>
                <w:sz w:val="20"/>
                <w:szCs w:val="20"/>
              </w:rPr>
              <w:t xml:space="preserve"> </w:t>
            </w:r>
            <w:r w:rsidR="009717CC" w:rsidRPr="00FD48F5">
              <w:rPr>
                <w:rFonts w:ascii="Times New Roman" w:eastAsia="Times New Roman" w:hAnsi="Times New Roman" w:cs="Times New Roman"/>
                <w:sz w:val="20"/>
                <w:szCs w:val="20"/>
              </w:rPr>
              <w:t>komputerowa;</w:t>
            </w:r>
          </w:p>
          <w:p w14:paraId="4546EF63" w14:textId="7B8FA44A" w:rsidR="000F4BBD" w:rsidRPr="00FD48F5" w:rsidRDefault="000F4BBD" w:rsidP="00B72F8D">
            <w:pPr>
              <w:pStyle w:val="Akapitzlist"/>
              <w:numPr>
                <w:ilvl w:val="2"/>
                <w:numId w:val="3"/>
              </w:numPr>
              <w:tabs>
                <w:tab w:val="left" w:pos="317"/>
              </w:tabs>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oznaczenie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aktywności</w:t>
            </w:r>
            <w:r w:rsidR="00711AEC">
              <w:rPr>
                <w:rFonts w:ascii="Times New Roman" w:eastAsia="Times New Roman" w:hAnsi="Times New Roman" w:cs="Times New Roman"/>
                <w:sz w:val="20"/>
                <w:szCs w:val="20"/>
              </w:rPr>
              <w:t xml:space="preserve"> </w:t>
            </w:r>
            <w:proofErr w:type="spellStart"/>
            <w:r w:rsidR="00FD77A4" w:rsidRPr="00FD48F5">
              <w:rPr>
                <w:rFonts w:ascii="Times New Roman" w:eastAsia="Times New Roman" w:hAnsi="Times New Roman" w:cs="Times New Roman"/>
                <w:sz w:val="20"/>
                <w:szCs w:val="20"/>
              </w:rPr>
              <w:t>AspAT</w:t>
            </w:r>
            <w:proofErr w:type="spellEnd"/>
            <w:r w:rsidR="00711AEC">
              <w:rPr>
                <w:rFonts w:ascii="Times New Roman" w:eastAsia="Times New Roman" w:hAnsi="Times New Roman" w:cs="Times New Roman"/>
                <w:sz w:val="20"/>
                <w:szCs w:val="20"/>
              </w:rPr>
              <w:t xml:space="preserve"> </w:t>
            </w:r>
            <w:r w:rsidR="00FD77A4"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AlAT</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surowicy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4</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6</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tygodni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przez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sześć</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pierwszych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miesięcy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terapii</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pegwisomantem</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oraz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przypadku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objawów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sugerujących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ryzyko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wystąpienia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zapalenia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wątroby;</w:t>
            </w:r>
          </w:p>
          <w:p w14:paraId="09BE20E5" w14:textId="15221B35" w:rsidR="006E5C7F" w:rsidRPr="00FD48F5" w:rsidRDefault="006E5C7F" w:rsidP="00B72F8D">
            <w:pPr>
              <w:pStyle w:val="Akapitzlist"/>
              <w:numPr>
                <w:ilvl w:val="2"/>
                <w:numId w:val="3"/>
              </w:numPr>
              <w:tabs>
                <w:tab w:val="left" w:pos="317"/>
              </w:tabs>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po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3</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miesiącach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od</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rozpoczęcia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wykonanie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oznaczenia</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eGFR</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hAnsi="Times New Roman" w:cs="Times New Roman"/>
                <w:sz w:val="20"/>
                <w:szCs w:val="20"/>
              </w:rPr>
              <w:t>wydalanie</w:t>
            </w:r>
            <w:r w:rsidR="00711AEC">
              <w:rPr>
                <w:rFonts w:ascii="Times New Roman" w:hAnsi="Times New Roman" w:cs="Times New Roman"/>
                <w:sz w:val="20"/>
                <w:szCs w:val="20"/>
              </w:rPr>
              <w:t xml:space="preserve"> </w:t>
            </w:r>
            <w:r w:rsidRPr="00FD48F5">
              <w:rPr>
                <w:rFonts w:ascii="Times New Roman" w:hAnsi="Times New Roman" w:cs="Times New Roman"/>
                <w:sz w:val="20"/>
                <w:szCs w:val="20"/>
              </w:rPr>
              <w:t>białka</w:t>
            </w:r>
            <w:r w:rsidR="00711AEC">
              <w:rPr>
                <w:rFonts w:ascii="Times New Roman" w:hAnsi="Times New Roman" w:cs="Times New Roman"/>
                <w:sz w:val="20"/>
                <w:szCs w:val="20"/>
              </w:rPr>
              <w:t xml:space="preserve"> </w:t>
            </w:r>
            <w:r w:rsidRPr="00FD48F5">
              <w:rPr>
                <w:rFonts w:ascii="Times New Roman" w:hAnsi="Times New Roman" w:cs="Times New Roman"/>
                <w:sz w:val="20"/>
                <w:szCs w:val="20"/>
              </w:rPr>
              <w:t>z</w:t>
            </w:r>
            <w:r w:rsidR="00711AEC">
              <w:rPr>
                <w:rFonts w:ascii="Times New Roman" w:hAnsi="Times New Roman" w:cs="Times New Roman"/>
                <w:sz w:val="20"/>
                <w:szCs w:val="20"/>
              </w:rPr>
              <w:t xml:space="preserve"> </w:t>
            </w:r>
            <w:r w:rsidRPr="00FD48F5">
              <w:rPr>
                <w:rFonts w:ascii="Times New Roman" w:hAnsi="Times New Roman" w:cs="Times New Roman"/>
                <w:sz w:val="20"/>
                <w:szCs w:val="20"/>
              </w:rPr>
              <w:t>moczem,</w:t>
            </w:r>
            <w:r w:rsidR="00711AEC">
              <w:rPr>
                <w:rFonts w:ascii="Times New Roman" w:hAnsi="Times New Roman" w:cs="Times New Roman"/>
                <w:sz w:val="20"/>
                <w:szCs w:val="20"/>
              </w:rPr>
              <w:t xml:space="preserve"> </w:t>
            </w:r>
            <w:r w:rsidRPr="00FD48F5">
              <w:rPr>
                <w:rFonts w:ascii="Times New Roman" w:hAnsi="Times New Roman" w:cs="Times New Roman"/>
                <w:sz w:val="20"/>
                <w:szCs w:val="20"/>
              </w:rPr>
              <w:t>a</w:t>
            </w:r>
            <w:r w:rsidR="00711AEC">
              <w:rPr>
                <w:rFonts w:ascii="Times New Roman" w:hAnsi="Times New Roman" w:cs="Times New Roman"/>
                <w:sz w:val="20"/>
                <w:szCs w:val="20"/>
              </w:rPr>
              <w:t xml:space="preserve"> </w:t>
            </w:r>
            <w:r w:rsidRPr="00FD48F5">
              <w:rPr>
                <w:rFonts w:ascii="Times New Roman" w:hAnsi="Times New Roman" w:cs="Times New Roman"/>
                <w:sz w:val="20"/>
                <w:szCs w:val="20"/>
              </w:rPr>
              <w:t>następnie</w:t>
            </w:r>
            <w:r w:rsidR="00711AEC">
              <w:rPr>
                <w:rFonts w:ascii="Times New Roman" w:hAnsi="Times New Roman" w:cs="Times New Roman"/>
                <w:sz w:val="20"/>
                <w:szCs w:val="20"/>
              </w:rPr>
              <w:t xml:space="preserve"> </w:t>
            </w:r>
            <w:r w:rsidRPr="00FD48F5">
              <w:rPr>
                <w:rFonts w:ascii="Times New Roman" w:hAnsi="Times New Roman" w:cs="Times New Roman"/>
                <w:sz w:val="20"/>
                <w:szCs w:val="20"/>
              </w:rPr>
              <w:t>zgodnie</w:t>
            </w:r>
            <w:r w:rsidR="00711AEC">
              <w:rPr>
                <w:rFonts w:ascii="Times New Roman" w:hAnsi="Times New Roman" w:cs="Times New Roman"/>
                <w:sz w:val="20"/>
                <w:szCs w:val="20"/>
              </w:rPr>
              <w:t xml:space="preserve"> </w:t>
            </w:r>
            <w:r w:rsidRPr="00FD48F5">
              <w:rPr>
                <w:rFonts w:ascii="Times New Roman" w:hAnsi="Times New Roman" w:cs="Times New Roman"/>
                <w:sz w:val="20"/>
                <w:szCs w:val="20"/>
              </w:rPr>
              <w:t>ze</w:t>
            </w:r>
            <w:r w:rsidR="00711AEC">
              <w:rPr>
                <w:rFonts w:ascii="Times New Roman" w:hAnsi="Times New Roman" w:cs="Times New Roman"/>
                <w:sz w:val="20"/>
                <w:szCs w:val="20"/>
              </w:rPr>
              <w:t xml:space="preserve"> </w:t>
            </w:r>
            <w:r w:rsidRPr="00FD48F5">
              <w:rPr>
                <w:rFonts w:ascii="Times New Roman" w:hAnsi="Times New Roman" w:cs="Times New Roman"/>
                <w:sz w:val="20"/>
                <w:szCs w:val="20"/>
              </w:rPr>
              <w:t>wskazaniami</w:t>
            </w:r>
            <w:r w:rsidR="00711AEC">
              <w:rPr>
                <w:rFonts w:ascii="Times New Roman" w:hAnsi="Times New Roman" w:cs="Times New Roman"/>
                <w:sz w:val="20"/>
                <w:szCs w:val="20"/>
              </w:rPr>
              <w:t xml:space="preserve"> </w:t>
            </w:r>
            <w:r w:rsidRPr="00FD48F5">
              <w:rPr>
                <w:rFonts w:ascii="Times New Roman" w:hAnsi="Times New Roman" w:cs="Times New Roman"/>
                <w:sz w:val="20"/>
                <w:szCs w:val="20"/>
              </w:rPr>
              <w:t>klinicznymi</w:t>
            </w:r>
            <w:r w:rsidR="00711AEC">
              <w:rPr>
                <w:rFonts w:ascii="Times New Roman" w:hAnsi="Times New Roman" w:cs="Times New Roman"/>
                <w:sz w:val="20"/>
                <w:szCs w:val="20"/>
              </w:rPr>
              <w:t xml:space="preserve"> </w:t>
            </w:r>
            <w:r w:rsidRPr="00FD48F5">
              <w:rPr>
                <w:rFonts w:ascii="Times New Roman" w:hAnsi="Times New Roman" w:cs="Times New Roman"/>
                <w:sz w:val="20"/>
                <w:szCs w:val="20"/>
              </w:rPr>
              <w:t>lub</w:t>
            </w:r>
            <w:r w:rsidR="00711AEC">
              <w:rPr>
                <w:rFonts w:ascii="Times New Roman" w:hAnsi="Times New Roman" w:cs="Times New Roman"/>
                <w:sz w:val="20"/>
                <w:szCs w:val="20"/>
              </w:rPr>
              <w:t xml:space="preserve"> </w:t>
            </w:r>
            <w:r w:rsidRPr="00FD48F5">
              <w:rPr>
                <w:rFonts w:ascii="Times New Roman" w:hAnsi="Times New Roman" w:cs="Times New Roman"/>
                <w:sz w:val="20"/>
                <w:szCs w:val="20"/>
              </w:rPr>
              <w:t>co</w:t>
            </w:r>
            <w:r w:rsidR="00711AEC">
              <w:rPr>
                <w:rFonts w:ascii="Times New Roman" w:hAnsi="Times New Roman" w:cs="Times New Roman"/>
                <w:sz w:val="20"/>
                <w:szCs w:val="20"/>
              </w:rPr>
              <w:t xml:space="preserve"> </w:t>
            </w:r>
            <w:r w:rsidRPr="00FD48F5">
              <w:rPr>
                <w:rFonts w:ascii="Times New Roman" w:hAnsi="Times New Roman" w:cs="Times New Roman"/>
                <w:sz w:val="20"/>
                <w:szCs w:val="20"/>
              </w:rPr>
              <w:t>pół</w:t>
            </w:r>
            <w:r w:rsidR="00711AEC">
              <w:rPr>
                <w:rFonts w:ascii="Times New Roman" w:hAnsi="Times New Roman" w:cs="Times New Roman"/>
                <w:sz w:val="20"/>
                <w:szCs w:val="20"/>
              </w:rPr>
              <w:t xml:space="preserve"> </w:t>
            </w:r>
            <w:r w:rsidRPr="00FD48F5">
              <w:rPr>
                <w:rFonts w:ascii="Times New Roman" w:hAnsi="Times New Roman" w:cs="Times New Roman"/>
                <w:sz w:val="20"/>
                <w:szCs w:val="20"/>
              </w:rPr>
              <w:t>roku</w:t>
            </w:r>
            <w:r w:rsidR="00711AEC">
              <w:rPr>
                <w:rFonts w:ascii="Times New Roman" w:hAnsi="Times New Roman" w:cs="Times New Roman"/>
                <w:sz w:val="20"/>
                <w:szCs w:val="20"/>
              </w:rPr>
              <w:t xml:space="preserve"> </w:t>
            </w:r>
            <w:r w:rsidRPr="00FD48F5">
              <w:rPr>
                <w:rFonts w:ascii="Times New Roman" w:hAnsi="Times New Roman" w:cs="Times New Roman"/>
                <w:sz w:val="20"/>
                <w:szCs w:val="20"/>
              </w:rPr>
              <w:t>-</w:t>
            </w:r>
            <w:r w:rsidR="00711AEC">
              <w:rPr>
                <w:rFonts w:ascii="Times New Roman" w:hAnsi="Times New Roman" w:cs="Times New Roman"/>
                <w:sz w:val="20"/>
                <w:szCs w:val="20"/>
              </w:rPr>
              <w:t xml:space="preserve"> </w:t>
            </w:r>
            <w:r w:rsidRPr="00FD48F5">
              <w:rPr>
                <w:rFonts w:ascii="Times New Roman" w:hAnsi="Times New Roman" w:cs="Times New Roman"/>
                <w:sz w:val="20"/>
                <w:szCs w:val="20"/>
              </w:rPr>
              <w:t>w</w:t>
            </w:r>
            <w:r w:rsidR="00711AEC">
              <w:rPr>
                <w:rFonts w:ascii="Times New Roman" w:hAnsi="Times New Roman" w:cs="Times New Roman"/>
                <w:sz w:val="20"/>
                <w:szCs w:val="20"/>
              </w:rPr>
              <w:t xml:space="preserve"> </w:t>
            </w:r>
            <w:r w:rsidRPr="00FD48F5">
              <w:rPr>
                <w:rFonts w:ascii="Times New Roman" w:hAnsi="Times New Roman" w:cs="Times New Roman"/>
                <w:sz w:val="20"/>
                <w:szCs w:val="20"/>
              </w:rPr>
              <w:t>przypadku</w:t>
            </w:r>
            <w:r w:rsidR="00711AEC">
              <w:rPr>
                <w:rFonts w:ascii="Times New Roman" w:hAnsi="Times New Roman" w:cs="Times New Roman"/>
                <w:sz w:val="20"/>
                <w:szCs w:val="20"/>
              </w:rPr>
              <w:t xml:space="preserve"> </w:t>
            </w:r>
            <w:r w:rsidRPr="00FD48F5">
              <w:rPr>
                <w:rFonts w:ascii="Times New Roman" w:hAnsi="Times New Roman" w:cs="Times New Roman"/>
                <w:sz w:val="20"/>
                <w:szCs w:val="20"/>
              </w:rPr>
              <w:t>braku</w:t>
            </w:r>
            <w:r w:rsidR="00711AEC">
              <w:rPr>
                <w:rFonts w:ascii="Times New Roman" w:hAnsi="Times New Roman" w:cs="Times New Roman"/>
                <w:sz w:val="20"/>
                <w:szCs w:val="20"/>
              </w:rPr>
              <w:t xml:space="preserve"> </w:t>
            </w:r>
            <w:r w:rsidRPr="00FD48F5">
              <w:rPr>
                <w:rFonts w:ascii="Times New Roman" w:hAnsi="Times New Roman" w:cs="Times New Roman"/>
                <w:sz w:val="20"/>
                <w:szCs w:val="20"/>
              </w:rPr>
              <w:t>pogorszenia;</w:t>
            </w:r>
          </w:p>
          <w:p w14:paraId="4D5A7CA9" w14:textId="53FC007B" w:rsidR="000F4BBD" w:rsidRPr="00FD48F5" w:rsidRDefault="000F4BBD" w:rsidP="00B72F8D">
            <w:pPr>
              <w:pStyle w:val="Akapitzlist"/>
              <w:numPr>
                <w:ilvl w:val="2"/>
                <w:numId w:val="3"/>
              </w:numPr>
              <w:tabs>
                <w:tab w:val="left" w:pos="317"/>
              </w:tabs>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badania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laboratoryjne: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ocena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stężenia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glukozy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osoczu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krwi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żylnej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czczo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zgodnie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wskazaniami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klinicznymi;</w:t>
            </w:r>
          </w:p>
          <w:p w14:paraId="236D351D" w14:textId="0099183C" w:rsidR="000F4BBD" w:rsidRPr="00FD48F5" w:rsidRDefault="000F4BBD" w:rsidP="00B72F8D">
            <w:pPr>
              <w:pStyle w:val="Akapitzlist"/>
              <w:numPr>
                <w:ilvl w:val="2"/>
                <w:numId w:val="3"/>
              </w:numPr>
              <w:tabs>
                <w:tab w:val="left" w:pos="317"/>
              </w:tabs>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ocena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pola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widzenia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przypadku</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makrogruczolaków</w:t>
            </w:r>
            <w:proofErr w:type="spellEnd"/>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przysadki</w:t>
            </w:r>
            <w:r w:rsidR="00E97250">
              <w:rPr>
                <w:rFonts w:ascii="Times New Roman" w:eastAsia="Times New Roman" w:hAnsi="Times New Roman" w:cs="Times New Roman"/>
                <w:sz w:val="20"/>
                <w:szCs w:val="20"/>
              </w:rPr>
              <w:t>,</w:t>
            </w:r>
            <w:r w:rsidR="00E97250">
              <w:t xml:space="preserve"> </w:t>
            </w:r>
            <w:r w:rsidR="00E97250" w:rsidRPr="00E97250">
              <w:rPr>
                <w:rFonts w:ascii="Times New Roman" w:eastAsia="Times New Roman" w:hAnsi="Times New Roman" w:cs="Times New Roman"/>
                <w:sz w:val="20"/>
                <w:szCs w:val="20"/>
              </w:rPr>
              <w:t>których odległość od skrzyżowania wzrokowego jest mniejsza niż 2 mm,</w:t>
            </w:r>
            <w:r w:rsidR="00313940">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3</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miesiącach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następnie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rzadziej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niż</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1</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raz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roku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zawsze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przypadku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wystąpienia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nowych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ubytków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polu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widzenia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subiektywnego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pogorszenia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pola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widzenia;</w:t>
            </w:r>
          </w:p>
          <w:p w14:paraId="2F9B6B95" w14:textId="78324DCD" w:rsidR="000F4BBD" w:rsidRPr="00FD48F5" w:rsidRDefault="000F4BBD" w:rsidP="00B72F8D">
            <w:pPr>
              <w:pStyle w:val="Akapitzlist"/>
              <w:numPr>
                <w:ilvl w:val="2"/>
                <w:numId w:val="3"/>
              </w:numPr>
              <w:tabs>
                <w:tab w:val="left" w:pos="317"/>
              </w:tabs>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ocena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wyrównania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czynności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nadnerczy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tarczycy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6</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miesięcy;</w:t>
            </w:r>
          </w:p>
          <w:p w14:paraId="787B08FE" w14:textId="6847E835" w:rsidR="000F4BBD" w:rsidRPr="00FD48F5" w:rsidRDefault="000F4BBD" w:rsidP="00B72F8D">
            <w:pPr>
              <w:pStyle w:val="Akapitzlist"/>
              <w:numPr>
                <w:ilvl w:val="2"/>
                <w:numId w:val="3"/>
              </w:numPr>
              <w:tabs>
                <w:tab w:val="left" w:pos="317"/>
              </w:tabs>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ocena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jakości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życia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12</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miesiącach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(np.</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skala</w:t>
            </w:r>
            <w:r w:rsidR="00711AEC">
              <w:rPr>
                <w:rFonts w:ascii="Times New Roman" w:eastAsia="Times New Roman" w:hAnsi="Times New Roman" w:cs="Times New Roman"/>
                <w:sz w:val="20"/>
                <w:szCs w:val="20"/>
              </w:rPr>
              <w:t xml:space="preserve"> </w:t>
            </w:r>
            <w:proofErr w:type="spellStart"/>
            <w:r w:rsidRPr="00FD48F5">
              <w:rPr>
                <w:rFonts w:ascii="Times New Roman" w:eastAsia="Times New Roman" w:hAnsi="Times New Roman" w:cs="Times New Roman"/>
                <w:sz w:val="20"/>
                <w:szCs w:val="20"/>
              </w:rPr>
              <w:t>AcroQoL</w:t>
            </w:r>
            <w:proofErr w:type="spellEnd"/>
            <w:r w:rsidRPr="00FD48F5">
              <w:rPr>
                <w:rFonts w:ascii="Times New Roman" w:eastAsia="Times New Roman" w:hAnsi="Times New Roman" w:cs="Times New Roman"/>
                <w:sz w:val="20"/>
                <w:szCs w:val="20"/>
              </w:rPr>
              <w:t>).</w:t>
            </w:r>
          </w:p>
          <w:p w14:paraId="5D296DCD" w14:textId="77777777" w:rsidR="00522286" w:rsidRPr="00FD48F5" w:rsidRDefault="00522286" w:rsidP="00FD48F5">
            <w:pPr>
              <w:pStyle w:val="Akapitzlist"/>
              <w:tabs>
                <w:tab w:val="left" w:pos="317"/>
              </w:tabs>
              <w:spacing w:after="60"/>
              <w:ind w:left="454" w:right="45"/>
              <w:contextualSpacing w:val="0"/>
              <w:jc w:val="both"/>
              <w:rPr>
                <w:rFonts w:ascii="Times New Roman" w:eastAsia="Times New Roman" w:hAnsi="Times New Roman" w:cs="Times New Roman"/>
                <w:sz w:val="20"/>
                <w:szCs w:val="20"/>
              </w:rPr>
            </w:pPr>
          </w:p>
          <w:p w14:paraId="2314FE9F" w14:textId="16F8EBD5" w:rsidR="00F729FE" w:rsidRPr="00FD48F5" w:rsidRDefault="00F729FE" w:rsidP="00B72F8D">
            <w:pPr>
              <w:pStyle w:val="Akapitzlist"/>
              <w:numPr>
                <w:ilvl w:val="0"/>
                <w:numId w:val="3"/>
              </w:numPr>
              <w:spacing w:after="60"/>
              <w:ind w:right="45"/>
              <w:contextualSpacing w:val="0"/>
              <w:jc w:val="both"/>
              <w:rPr>
                <w:rFonts w:ascii="Times New Roman" w:eastAsia="Times New Roman" w:hAnsi="Times New Roman" w:cs="Times New Roman"/>
                <w:b/>
                <w:sz w:val="20"/>
                <w:szCs w:val="20"/>
              </w:rPr>
            </w:pPr>
            <w:r w:rsidRPr="00FD48F5">
              <w:rPr>
                <w:rFonts w:ascii="Times New Roman" w:eastAsia="Times New Roman" w:hAnsi="Times New Roman" w:cs="Times New Roman"/>
                <w:b/>
                <w:sz w:val="20"/>
                <w:szCs w:val="20"/>
              </w:rPr>
              <w:t>Monitorowanie</w:t>
            </w:r>
            <w:r w:rsidR="00711AEC">
              <w:rPr>
                <w:rFonts w:ascii="Times New Roman" w:eastAsia="Times New Roman" w:hAnsi="Times New Roman" w:cs="Times New Roman"/>
                <w:b/>
                <w:sz w:val="20"/>
                <w:szCs w:val="20"/>
              </w:rPr>
              <w:t xml:space="preserve"> </w:t>
            </w:r>
            <w:r w:rsidRPr="00FD48F5">
              <w:rPr>
                <w:rFonts w:ascii="Times New Roman" w:eastAsia="Times New Roman" w:hAnsi="Times New Roman" w:cs="Times New Roman"/>
                <w:b/>
                <w:sz w:val="20"/>
                <w:szCs w:val="20"/>
              </w:rPr>
              <w:t>programu</w:t>
            </w:r>
          </w:p>
          <w:p w14:paraId="7778E776" w14:textId="21E716F1" w:rsidR="00F729FE" w:rsidRPr="00FD48F5" w:rsidRDefault="00F729FE" w:rsidP="00B72F8D">
            <w:pPr>
              <w:pStyle w:val="Akapitzlist"/>
              <w:numPr>
                <w:ilvl w:val="2"/>
                <w:numId w:val="3"/>
              </w:numPr>
              <w:autoSpaceDE w:val="0"/>
              <w:autoSpaceDN w:val="0"/>
              <w:adjustRightInd w:val="0"/>
              <w:spacing w:after="60"/>
              <w:ind w:right="45"/>
              <w:contextualSpacing w:val="0"/>
              <w:jc w:val="both"/>
              <w:rPr>
                <w:rFonts w:ascii="Times New Roman" w:eastAsia="Times New Roman" w:hAnsi="Times New Roman" w:cs="Times New Roman"/>
                <w:sz w:val="20"/>
                <w:szCs w:val="20"/>
              </w:rPr>
            </w:pPr>
            <w:r w:rsidRPr="00FD48F5">
              <w:rPr>
                <w:rFonts w:ascii="Times New Roman" w:eastAsia="Times New Roman" w:hAnsi="Times New Roman" w:cs="Times New Roman"/>
                <w:sz w:val="20"/>
                <w:szCs w:val="20"/>
              </w:rPr>
              <w:t>gromadzenie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dokumentacji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medycznej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pacjenta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danych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dotyczących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monitorowania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każdorazowe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przedstawienie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żądanie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kontrolerów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Narodowego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Funduszu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Zdrowia;</w:t>
            </w:r>
          </w:p>
          <w:p w14:paraId="67466EBC" w14:textId="017EC541" w:rsidR="00522286" w:rsidRPr="00FD48F5" w:rsidRDefault="00F729FE" w:rsidP="00B72F8D">
            <w:pPr>
              <w:pStyle w:val="Akapitzlist"/>
              <w:numPr>
                <w:ilvl w:val="2"/>
                <w:numId w:val="3"/>
              </w:numPr>
              <w:autoSpaceDE w:val="0"/>
              <w:autoSpaceDN w:val="0"/>
              <w:adjustRightInd w:val="0"/>
              <w:spacing w:after="60"/>
              <w:ind w:right="45"/>
              <w:contextualSpacing w:val="0"/>
              <w:jc w:val="both"/>
              <w:rPr>
                <w:rFonts w:ascii="Times New Roman" w:hAnsi="Times New Roman" w:cs="Times New Roman"/>
                <w:sz w:val="20"/>
                <w:szCs w:val="20"/>
              </w:rPr>
            </w:pPr>
            <w:r w:rsidRPr="00FD48F5">
              <w:rPr>
                <w:rFonts w:ascii="Times New Roman" w:eastAsia="Times New Roman" w:hAnsi="Times New Roman" w:cs="Times New Roman"/>
                <w:sz w:val="20"/>
                <w:szCs w:val="20"/>
              </w:rPr>
              <w:lastRenderedPageBreak/>
              <w:t>uzupełnianie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danych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zawartych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rejestrze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(SMPT),</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dostępnym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pomocą</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aplikacji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internetowej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udostępnionej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przez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NFZ,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częstotliwością</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zgodną</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opisem</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programu</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oraz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zakończenie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leczenia;</w:t>
            </w:r>
          </w:p>
          <w:p w14:paraId="68FB8080" w14:textId="5D24A137" w:rsidR="00F729FE" w:rsidRPr="00FD48F5" w:rsidRDefault="00F729FE" w:rsidP="00B72F8D">
            <w:pPr>
              <w:pStyle w:val="Akapitzlist"/>
              <w:numPr>
                <w:ilvl w:val="2"/>
                <w:numId w:val="3"/>
              </w:numPr>
              <w:autoSpaceDE w:val="0"/>
              <w:autoSpaceDN w:val="0"/>
              <w:adjustRightInd w:val="0"/>
              <w:spacing w:after="60"/>
              <w:ind w:right="45"/>
              <w:contextualSpacing w:val="0"/>
              <w:jc w:val="both"/>
              <w:rPr>
                <w:rFonts w:ascii="Times New Roman" w:hAnsi="Times New Roman" w:cs="Times New Roman"/>
                <w:sz w:val="20"/>
                <w:szCs w:val="20"/>
              </w:rPr>
            </w:pPr>
            <w:r w:rsidRPr="00FD48F5">
              <w:rPr>
                <w:rFonts w:ascii="Times New Roman" w:eastAsia="Times New Roman" w:hAnsi="Times New Roman" w:cs="Times New Roman"/>
                <w:sz w:val="20"/>
                <w:szCs w:val="20"/>
              </w:rPr>
              <w:t>przekazywanie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informacji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sprawozdawczo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rozliczeniowych</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NFZ: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informacje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przekazuje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się</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do</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NFZ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formie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papierowej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lub</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formie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elektronicznej,</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zgodnie</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wymaganiami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opublikowanymi</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przez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Narodowy</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Fundusz</w:t>
            </w:r>
            <w:r w:rsidR="00711AEC">
              <w:rPr>
                <w:rFonts w:ascii="Times New Roman" w:eastAsia="Times New Roman" w:hAnsi="Times New Roman" w:cs="Times New Roman"/>
                <w:sz w:val="20"/>
                <w:szCs w:val="20"/>
              </w:rPr>
              <w:t xml:space="preserve"> </w:t>
            </w:r>
            <w:r w:rsidRPr="00FD48F5">
              <w:rPr>
                <w:rFonts w:ascii="Times New Roman" w:eastAsia="Times New Roman" w:hAnsi="Times New Roman" w:cs="Times New Roman"/>
                <w:sz w:val="20"/>
                <w:szCs w:val="20"/>
              </w:rPr>
              <w:t>Zdrowia.</w:t>
            </w:r>
            <w:r w:rsidR="00711AEC">
              <w:rPr>
                <w:rFonts w:ascii="Times New Roman" w:eastAsia="Times New Roman" w:hAnsi="Times New Roman" w:cs="Times New Roman"/>
                <w:sz w:val="20"/>
                <w:szCs w:val="20"/>
              </w:rPr>
              <w:t xml:space="preserve"> </w:t>
            </w:r>
          </w:p>
        </w:tc>
      </w:tr>
    </w:tbl>
    <w:p w14:paraId="5290BB84" w14:textId="77777777" w:rsidR="00097CEA" w:rsidRPr="006B1C2D" w:rsidRDefault="00097CEA" w:rsidP="0015336C">
      <w:pPr>
        <w:rPr>
          <w:rFonts w:ascii="Times New Roman" w:hAnsi="Times New Roman" w:cs="Times New Roman"/>
          <w:sz w:val="12"/>
          <w:szCs w:val="20"/>
        </w:rPr>
      </w:pPr>
    </w:p>
    <w:sectPr w:rsidR="00097CEA" w:rsidRPr="006B1C2D" w:rsidSect="00DC08AC">
      <w:footerReference w:type="default" r:id="rId8"/>
      <w:pgSz w:w="16838" w:h="11906" w:orient="landscape" w:code="9"/>
      <w:pgMar w:top="1588" w:right="720" w:bottom="1418"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9B6B8" w14:textId="77777777" w:rsidR="00304FB3" w:rsidRDefault="00304FB3" w:rsidP="00EA1DA5">
      <w:pPr>
        <w:spacing w:after="0" w:line="240" w:lineRule="auto"/>
      </w:pPr>
      <w:r>
        <w:separator/>
      </w:r>
    </w:p>
  </w:endnote>
  <w:endnote w:type="continuationSeparator" w:id="0">
    <w:p w14:paraId="4EB1F764" w14:textId="77777777" w:rsidR="00304FB3" w:rsidRDefault="00304FB3" w:rsidP="00EA1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87B29" w14:textId="77777777" w:rsidR="00FD2B5C" w:rsidRDefault="00FD2B5C">
    <w:pPr>
      <w:pStyle w:val="Stopka"/>
    </w:pPr>
  </w:p>
  <w:p w14:paraId="453987D2" w14:textId="77777777" w:rsidR="00CD3F29" w:rsidRPr="001B56AA" w:rsidRDefault="00CD3F29" w:rsidP="001B56AA">
    <w:pPr>
      <w:spacing w:after="0" w:line="240" w:lineRule="auto"/>
      <w:jc w:val="center"/>
      <w:rPr>
        <w:rFonts w:ascii="Times New Roman" w:eastAsia="Times New Roman" w:hAnsi="Times New Roman" w:cs="Times New Roman"/>
        <w:sz w:val="24"/>
        <w:szCs w:val="24"/>
        <w:lang w:eastAsia="pl-P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6A836" w14:textId="77777777" w:rsidR="00304FB3" w:rsidRDefault="00304FB3" w:rsidP="00EA1DA5">
      <w:pPr>
        <w:spacing w:after="0" w:line="240" w:lineRule="auto"/>
      </w:pPr>
      <w:r>
        <w:separator/>
      </w:r>
    </w:p>
  </w:footnote>
  <w:footnote w:type="continuationSeparator" w:id="0">
    <w:p w14:paraId="6C68FFCD" w14:textId="77777777" w:rsidR="00304FB3" w:rsidRDefault="00304FB3" w:rsidP="00EA1D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F5259"/>
    <w:multiLevelType w:val="multilevel"/>
    <w:tmpl w:val="4B8A4E5A"/>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rPr>
    </w:lvl>
    <w:lvl w:ilvl="2">
      <w:start w:val="1"/>
      <w:numFmt w:val="decimal"/>
      <w:suff w:val="space"/>
      <w:lvlText w:val="%3)"/>
      <w:lvlJc w:val="left"/>
      <w:pPr>
        <w:ind w:left="454" w:hanging="227"/>
      </w:pPr>
      <w:rPr>
        <w:rFonts w:hint="default"/>
        <w:b w:val="0"/>
        <w:bCs/>
      </w:rPr>
    </w:lvl>
    <w:lvl w:ilvl="3">
      <w:start w:val="1"/>
      <w:numFmt w:val="lowerLetter"/>
      <w:suff w:val="space"/>
      <w:lvlText w:val="%4)"/>
      <w:lvlJc w:val="left"/>
      <w:pPr>
        <w:ind w:left="680" w:hanging="226"/>
      </w:pPr>
      <w:rPr>
        <w:rFonts w:hint="default"/>
      </w:rPr>
    </w:lvl>
    <w:lvl w:ilvl="4">
      <w:start w:val="1"/>
      <w:numFmt w:val="bullet"/>
      <w:suff w:val="space"/>
      <w:lvlText w:val=""/>
      <w:lvlJc w:val="left"/>
      <w:pPr>
        <w:ind w:left="907" w:hanging="227"/>
      </w:pPr>
      <w:rPr>
        <w:rFonts w:ascii="Symbol" w:hAnsi="Symbol" w:hint="default"/>
      </w:rPr>
    </w:lvl>
    <w:lvl w:ilvl="5">
      <w:start w:val="1"/>
      <w:numFmt w:val="lowerRoman"/>
      <w:lvlText w:val="%6."/>
      <w:lvlJc w:val="left"/>
      <w:pPr>
        <w:ind w:left="1134" w:hanging="227"/>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 w15:restartNumberingAfterBreak="0">
    <w:nsid w:val="6F915423"/>
    <w:multiLevelType w:val="multilevel"/>
    <w:tmpl w:val="4B8A4E5A"/>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rPr>
    </w:lvl>
    <w:lvl w:ilvl="2">
      <w:start w:val="1"/>
      <w:numFmt w:val="decimal"/>
      <w:suff w:val="space"/>
      <w:lvlText w:val="%3)"/>
      <w:lvlJc w:val="left"/>
      <w:pPr>
        <w:ind w:left="454" w:hanging="227"/>
      </w:pPr>
      <w:rPr>
        <w:rFonts w:hint="default"/>
        <w:b w:val="0"/>
        <w:bCs/>
      </w:rPr>
    </w:lvl>
    <w:lvl w:ilvl="3">
      <w:start w:val="1"/>
      <w:numFmt w:val="lowerLetter"/>
      <w:suff w:val="space"/>
      <w:lvlText w:val="%4)"/>
      <w:lvlJc w:val="left"/>
      <w:pPr>
        <w:ind w:left="680" w:hanging="226"/>
      </w:pPr>
      <w:rPr>
        <w:rFonts w:hint="default"/>
      </w:rPr>
    </w:lvl>
    <w:lvl w:ilvl="4">
      <w:start w:val="1"/>
      <w:numFmt w:val="bullet"/>
      <w:suff w:val="space"/>
      <w:lvlText w:val=""/>
      <w:lvlJc w:val="left"/>
      <w:pPr>
        <w:ind w:left="907" w:hanging="227"/>
      </w:pPr>
      <w:rPr>
        <w:rFonts w:ascii="Symbol" w:hAnsi="Symbol" w:hint="default"/>
      </w:rPr>
    </w:lvl>
    <w:lvl w:ilvl="5">
      <w:start w:val="1"/>
      <w:numFmt w:val="lowerRoman"/>
      <w:lvlText w:val="%6."/>
      <w:lvlJc w:val="left"/>
      <w:pPr>
        <w:ind w:left="1134" w:hanging="227"/>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2" w15:restartNumberingAfterBreak="0">
    <w:nsid w:val="76114406"/>
    <w:multiLevelType w:val="multilevel"/>
    <w:tmpl w:val="4B8A4E5A"/>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rPr>
    </w:lvl>
    <w:lvl w:ilvl="2">
      <w:start w:val="1"/>
      <w:numFmt w:val="decimal"/>
      <w:suff w:val="space"/>
      <w:lvlText w:val="%3)"/>
      <w:lvlJc w:val="left"/>
      <w:pPr>
        <w:ind w:left="454" w:hanging="227"/>
      </w:pPr>
      <w:rPr>
        <w:rFonts w:hint="default"/>
        <w:b w:val="0"/>
        <w:bCs/>
      </w:rPr>
    </w:lvl>
    <w:lvl w:ilvl="3">
      <w:start w:val="1"/>
      <w:numFmt w:val="lowerLetter"/>
      <w:suff w:val="space"/>
      <w:lvlText w:val="%4)"/>
      <w:lvlJc w:val="left"/>
      <w:pPr>
        <w:ind w:left="680" w:hanging="226"/>
      </w:pPr>
      <w:rPr>
        <w:rFonts w:hint="default"/>
      </w:rPr>
    </w:lvl>
    <w:lvl w:ilvl="4">
      <w:start w:val="1"/>
      <w:numFmt w:val="bullet"/>
      <w:suff w:val="space"/>
      <w:lvlText w:val=""/>
      <w:lvlJc w:val="left"/>
      <w:pPr>
        <w:ind w:left="907" w:hanging="227"/>
      </w:pPr>
      <w:rPr>
        <w:rFonts w:ascii="Symbol" w:hAnsi="Symbol" w:hint="default"/>
      </w:rPr>
    </w:lvl>
    <w:lvl w:ilvl="5">
      <w:start w:val="1"/>
      <w:numFmt w:val="lowerRoman"/>
      <w:lvlText w:val="%6."/>
      <w:lvlJc w:val="left"/>
      <w:pPr>
        <w:ind w:left="1134" w:hanging="227"/>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481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CEA"/>
    <w:rsid w:val="0000774E"/>
    <w:rsid w:val="00016E7D"/>
    <w:rsid w:val="0001743B"/>
    <w:rsid w:val="0002328C"/>
    <w:rsid w:val="00026323"/>
    <w:rsid w:val="0004348E"/>
    <w:rsid w:val="0004522F"/>
    <w:rsid w:val="000754AD"/>
    <w:rsid w:val="0008481F"/>
    <w:rsid w:val="00090E05"/>
    <w:rsid w:val="00097CEA"/>
    <w:rsid w:val="000A3B50"/>
    <w:rsid w:val="000A4C13"/>
    <w:rsid w:val="000B54B9"/>
    <w:rsid w:val="000B720B"/>
    <w:rsid w:val="000C26A5"/>
    <w:rsid w:val="000F4BBD"/>
    <w:rsid w:val="00101159"/>
    <w:rsid w:val="00101A8D"/>
    <w:rsid w:val="00102D95"/>
    <w:rsid w:val="001122F3"/>
    <w:rsid w:val="00126BBB"/>
    <w:rsid w:val="00133F4C"/>
    <w:rsid w:val="00151EB2"/>
    <w:rsid w:val="0015336C"/>
    <w:rsid w:val="00171A23"/>
    <w:rsid w:val="001807E9"/>
    <w:rsid w:val="001833F6"/>
    <w:rsid w:val="00184FCE"/>
    <w:rsid w:val="001B1B22"/>
    <w:rsid w:val="001B56AA"/>
    <w:rsid w:val="001C3CCA"/>
    <w:rsid w:val="001D2025"/>
    <w:rsid w:val="001F2F3D"/>
    <w:rsid w:val="001F319F"/>
    <w:rsid w:val="001F726E"/>
    <w:rsid w:val="002026CD"/>
    <w:rsid w:val="002059F6"/>
    <w:rsid w:val="00207F6B"/>
    <w:rsid w:val="00211ACB"/>
    <w:rsid w:val="00230B01"/>
    <w:rsid w:val="00242455"/>
    <w:rsid w:val="002663B5"/>
    <w:rsid w:val="0026702E"/>
    <w:rsid w:val="0027547E"/>
    <w:rsid w:val="00282981"/>
    <w:rsid w:val="00291924"/>
    <w:rsid w:val="002A4ECE"/>
    <w:rsid w:val="002A6DAF"/>
    <w:rsid w:val="002B3FE9"/>
    <w:rsid w:val="002C6734"/>
    <w:rsid w:val="002D5B09"/>
    <w:rsid w:val="002E12A6"/>
    <w:rsid w:val="002E31C9"/>
    <w:rsid w:val="002F15EF"/>
    <w:rsid w:val="00302098"/>
    <w:rsid w:val="00304FB3"/>
    <w:rsid w:val="00313940"/>
    <w:rsid w:val="00320DBD"/>
    <w:rsid w:val="00320E06"/>
    <w:rsid w:val="00333F0F"/>
    <w:rsid w:val="00344669"/>
    <w:rsid w:val="0035088E"/>
    <w:rsid w:val="00367687"/>
    <w:rsid w:val="00392D9A"/>
    <w:rsid w:val="003A3258"/>
    <w:rsid w:val="003C53D3"/>
    <w:rsid w:val="003D1867"/>
    <w:rsid w:val="003D7CCF"/>
    <w:rsid w:val="003E4C68"/>
    <w:rsid w:val="004003FF"/>
    <w:rsid w:val="00403769"/>
    <w:rsid w:val="00412329"/>
    <w:rsid w:val="00440404"/>
    <w:rsid w:val="004605DF"/>
    <w:rsid w:val="004736A6"/>
    <w:rsid w:val="00475A61"/>
    <w:rsid w:val="004858FC"/>
    <w:rsid w:val="004E554D"/>
    <w:rsid w:val="00502DAD"/>
    <w:rsid w:val="005063BD"/>
    <w:rsid w:val="00511432"/>
    <w:rsid w:val="0052217A"/>
    <w:rsid w:val="00522286"/>
    <w:rsid w:val="005260AB"/>
    <w:rsid w:val="00531CEB"/>
    <w:rsid w:val="00543ED8"/>
    <w:rsid w:val="00553F95"/>
    <w:rsid w:val="0056759D"/>
    <w:rsid w:val="0057219F"/>
    <w:rsid w:val="005733DB"/>
    <w:rsid w:val="00587626"/>
    <w:rsid w:val="00587787"/>
    <w:rsid w:val="00587EC9"/>
    <w:rsid w:val="005A2A17"/>
    <w:rsid w:val="005B6F17"/>
    <w:rsid w:val="005C3375"/>
    <w:rsid w:val="005D0EF5"/>
    <w:rsid w:val="005E2AE0"/>
    <w:rsid w:val="005E3545"/>
    <w:rsid w:val="00604FC6"/>
    <w:rsid w:val="006133BA"/>
    <w:rsid w:val="0061367F"/>
    <w:rsid w:val="00614D81"/>
    <w:rsid w:val="0061787D"/>
    <w:rsid w:val="00626BA2"/>
    <w:rsid w:val="006319DB"/>
    <w:rsid w:val="00642468"/>
    <w:rsid w:val="006501FD"/>
    <w:rsid w:val="0066548C"/>
    <w:rsid w:val="006675A9"/>
    <w:rsid w:val="006778BC"/>
    <w:rsid w:val="006977EB"/>
    <w:rsid w:val="006A08EF"/>
    <w:rsid w:val="006B01A6"/>
    <w:rsid w:val="006B1671"/>
    <w:rsid w:val="006B1C2D"/>
    <w:rsid w:val="006B21DC"/>
    <w:rsid w:val="006C3862"/>
    <w:rsid w:val="006C67E6"/>
    <w:rsid w:val="006E3227"/>
    <w:rsid w:val="006E335B"/>
    <w:rsid w:val="006E5C7F"/>
    <w:rsid w:val="006F4E84"/>
    <w:rsid w:val="00711A63"/>
    <w:rsid w:val="00711AEC"/>
    <w:rsid w:val="00714D91"/>
    <w:rsid w:val="00776914"/>
    <w:rsid w:val="00785BB8"/>
    <w:rsid w:val="007A41E4"/>
    <w:rsid w:val="007B6CB2"/>
    <w:rsid w:val="007B7E5B"/>
    <w:rsid w:val="007C7350"/>
    <w:rsid w:val="007D1B66"/>
    <w:rsid w:val="007E28C9"/>
    <w:rsid w:val="007F61CD"/>
    <w:rsid w:val="00804B1A"/>
    <w:rsid w:val="008076DD"/>
    <w:rsid w:val="0081116F"/>
    <w:rsid w:val="008137BC"/>
    <w:rsid w:val="0083577B"/>
    <w:rsid w:val="00847A8D"/>
    <w:rsid w:val="008628A9"/>
    <w:rsid w:val="00863FA2"/>
    <w:rsid w:val="00874EB3"/>
    <w:rsid w:val="00891596"/>
    <w:rsid w:val="008A5465"/>
    <w:rsid w:val="008B2FB8"/>
    <w:rsid w:val="008C7CAA"/>
    <w:rsid w:val="008D3D48"/>
    <w:rsid w:val="008E23D0"/>
    <w:rsid w:val="008E3C9B"/>
    <w:rsid w:val="008F112F"/>
    <w:rsid w:val="009032E5"/>
    <w:rsid w:val="00906740"/>
    <w:rsid w:val="00921383"/>
    <w:rsid w:val="0092492F"/>
    <w:rsid w:val="009434BE"/>
    <w:rsid w:val="009440F9"/>
    <w:rsid w:val="009520EF"/>
    <w:rsid w:val="00960D19"/>
    <w:rsid w:val="00966741"/>
    <w:rsid w:val="009717CC"/>
    <w:rsid w:val="009815E4"/>
    <w:rsid w:val="00986B20"/>
    <w:rsid w:val="009878AF"/>
    <w:rsid w:val="00990321"/>
    <w:rsid w:val="00993C50"/>
    <w:rsid w:val="009A2A0C"/>
    <w:rsid w:val="009A4CE1"/>
    <w:rsid w:val="009A5CA2"/>
    <w:rsid w:val="009A655D"/>
    <w:rsid w:val="009B6E4C"/>
    <w:rsid w:val="009B7B78"/>
    <w:rsid w:val="009C34FF"/>
    <w:rsid w:val="009C3E5B"/>
    <w:rsid w:val="009E12DA"/>
    <w:rsid w:val="009F1387"/>
    <w:rsid w:val="00A362D3"/>
    <w:rsid w:val="00A36C05"/>
    <w:rsid w:val="00A45067"/>
    <w:rsid w:val="00A50EF9"/>
    <w:rsid w:val="00A704EC"/>
    <w:rsid w:val="00A9435D"/>
    <w:rsid w:val="00AB0E0C"/>
    <w:rsid w:val="00AB14AF"/>
    <w:rsid w:val="00AC0A47"/>
    <w:rsid w:val="00AC1C08"/>
    <w:rsid w:val="00AE5D08"/>
    <w:rsid w:val="00AF268E"/>
    <w:rsid w:val="00AF2FCC"/>
    <w:rsid w:val="00AF6904"/>
    <w:rsid w:val="00B03A31"/>
    <w:rsid w:val="00B07645"/>
    <w:rsid w:val="00B40E19"/>
    <w:rsid w:val="00B43979"/>
    <w:rsid w:val="00B5090C"/>
    <w:rsid w:val="00B51B21"/>
    <w:rsid w:val="00B72F8D"/>
    <w:rsid w:val="00B74261"/>
    <w:rsid w:val="00B750CC"/>
    <w:rsid w:val="00B8422E"/>
    <w:rsid w:val="00B967BB"/>
    <w:rsid w:val="00BA6901"/>
    <w:rsid w:val="00BA6C52"/>
    <w:rsid w:val="00BC029A"/>
    <w:rsid w:val="00BD08EF"/>
    <w:rsid w:val="00BD7F6C"/>
    <w:rsid w:val="00BE523D"/>
    <w:rsid w:val="00BF7721"/>
    <w:rsid w:val="00C02F73"/>
    <w:rsid w:val="00C119E3"/>
    <w:rsid w:val="00C138A1"/>
    <w:rsid w:val="00C166A1"/>
    <w:rsid w:val="00C2669C"/>
    <w:rsid w:val="00C32310"/>
    <w:rsid w:val="00C45D55"/>
    <w:rsid w:val="00C53B9F"/>
    <w:rsid w:val="00C63FF0"/>
    <w:rsid w:val="00C64FB5"/>
    <w:rsid w:val="00C66DFA"/>
    <w:rsid w:val="00C71A92"/>
    <w:rsid w:val="00C76D55"/>
    <w:rsid w:val="00C804A3"/>
    <w:rsid w:val="00C85CE2"/>
    <w:rsid w:val="00C876D4"/>
    <w:rsid w:val="00CA1D97"/>
    <w:rsid w:val="00CB0521"/>
    <w:rsid w:val="00CB1112"/>
    <w:rsid w:val="00CB413C"/>
    <w:rsid w:val="00CD3F29"/>
    <w:rsid w:val="00CD5BB3"/>
    <w:rsid w:val="00CE2AE2"/>
    <w:rsid w:val="00D11E58"/>
    <w:rsid w:val="00D17380"/>
    <w:rsid w:val="00D24802"/>
    <w:rsid w:val="00D31C4F"/>
    <w:rsid w:val="00D40121"/>
    <w:rsid w:val="00D41DF5"/>
    <w:rsid w:val="00D435DF"/>
    <w:rsid w:val="00D470DF"/>
    <w:rsid w:val="00D56B8C"/>
    <w:rsid w:val="00D7499A"/>
    <w:rsid w:val="00D831D4"/>
    <w:rsid w:val="00D841E6"/>
    <w:rsid w:val="00D90491"/>
    <w:rsid w:val="00DA42F4"/>
    <w:rsid w:val="00DC08AC"/>
    <w:rsid w:val="00DC135D"/>
    <w:rsid w:val="00DE6C55"/>
    <w:rsid w:val="00E04C99"/>
    <w:rsid w:val="00E05816"/>
    <w:rsid w:val="00E21710"/>
    <w:rsid w:val="00E334B6"/>
    <w:rsid w:val="00E370B0"/>
    <w:rsid w:val="00E40EA2"/>
    <w:rsid w:val="00E54496"/>
    <w:rsid w:val="00E70753"/>
    <w:rsid w:val="00E72CB6"/>
    <w:rsid w:val="00E97250"/>
    <w:rsid w:val="00EA1DA5"/>
    <w:rsid w:val="00EB75DF"/>
    <w:rsid w:val="00EC6693"/>
    <w:rsid w:val="00ED6613"/>
    <w:rsid w:val="00EF4B76"/>
    <w:rsid w:val="00EF71D4"/>
    <w:rsid w:val="00F20A3A"/>
    <w:rsid w:val="00F22117"/>
    <w:rsid w:val="00F24DC6"/>
    <w:rsid w:val="00F33D11"/>
    <w:rsid w:val="00F37C14"/>
    <w:rsid w:val="00F438F6"/>
    <w:rsid w:val="00F45ED6"/>
    <w:rsid w:val="00F56D6B"/>
    <w:rsid w:val="00F57FAD"/>
    <w:rsid w:val="00F71E5E"/>
    <w:rsid w:val="00F729FE"/>
    <w:rsid w:val="00F866BC"/>
    <w:rsid w:val="00FA0578"/>
    <w:rsid w:val="00FA139B"/>
    <w:rsid w:val="00FA1D99"/>
    <w:rsid w:val="00FD18A1"/>
    <w:rsid w:val="00FD2B5C"/>
    <w:rsid w:val="00FD48F5"/>
    <w:rsid w:val="00FD77A4"/>
    <w:rsid w:val="00FE4F2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8129"/>
    <o:shapelayout v:ext="edit">
      <o:idmap v:ext="edit" data="1"/>
    </o:shapelayout>
  </w:shapeDefaults>
  <w:decimalSymbol w:val=","/>
  <w:listSeparator w:val=";"/>
  <w14:docId w14:val="74E81878"/>
  <w15:docId w15:val="{6DA4CE29-1ACB-42CE-A4DC-5D4C78C33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6702E"/>
  </w:style>
  <w:style w:type="paragraph" w:styleId="Nagwek1">
    <w:name w:val="heading 1"/>
    <w:basedOn w:val="Normalny"/>
    <w:link w:val="Nagwek1Znak"/>
    <w:uiPriority w:val="9"/>
    <w:qFormat/>
    <w:rsid w:val="008A54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097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097CEA"/>
    <w:pPr>
      <w:ind w:left="720"/>
      <w:contextualSpacing/>
    </w:pPr>
  </w:style>
  <w:style w:type="paragraph" w:styleId="Tekstdymka">
    <w:name w:val="Balloon Text"/>
    <w:basedOn w:val="Normalny"/>
    <w:link w:val="TekstdymkaZnak"/>
    <w:uiPriority w:val="99"/>
    <w:semiHidden/>
    <w:unhideWhenUsed/>
    <w:rsid w:val="002F15E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F15EF"/>
    <w:rPr>
      <w:rFonts w:ascii="Tahoma" w:hAnsi="Tahoma" w:cs="Tahoma"/>
      <w:sz w:val="16"/>
      <w:szCs w:val="16"/>
    </w:rPr>
  </w:style>
  <w:style w:type="paragraph" w:styleId="Nagwek">
    <w:name w:val="header"/>
    <w:basedOn w:val="Normalny"/>
    <w:link w:val="NagwekZnak"/>
    <w:uiPriority w:val="99"/>
    <w:unhideWhenUsed/>
    <w:rsid w:val="00EA1DA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A1DA5"/>
  </w:style>
  <w:style w:type="paragraph" w:styleId="Stopka">
    <w:name w:val="footer"/>
    <w:basedOn w:val="Normalny"/>
    <w:link w:val="StopkaZnak"/>
    <w:uiPriority w:val="99"/>
    <w:unhideWhenUsed/>
    <w:rsid w:val="00EA1DA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A1DA5"/>
  </w:style>
  <w:style w:type="paragraph" w:styleId="Bezodstpw">
    <w:name w:val="No Spacing"/>
    <w:basedOn w:val="Normalny"/>
    <w:uiPriority w:val="1"/>
    <w:qFormat/>
    <w:rsid w:val="00090E05"/>
    <w:pPr>
      <w:autoSpaceDE w:val="0"/>
      <w:autoSpaceDN w:val="0"/>
      <w:adjustRightInd w:val="0"/>
      <w:spacing w:before="60" w:after="0" w:line="240" w:lineRule="auto"/>
      <w:jc w:val="both"/>
    </w:pPr>
    <w:rPr>
      <w:rFonts w:ascii="Times New Roman" w:eastAsia="Times New Roman" w:hAnsi="Times New Roman" w:cs="Times New Roman"/>
      <w:sz w:val="20"/>
      <w:szCs w:val="20"/>
      <w:lang w:val="en-GB" w:eastAsia="pl-PL"/>
    </w:rPr>
  </w:style>
  <w:style w:type="table" w:styleId="Jasnecieniowanie">
    <w:name w:val="Light Shading"/>
    <w:basedOn w:val="Standardowy"/>
    <w:uiPriority w:val="60"/>
    <w:rsid w:val="00090E05"/>
    <w:pPr>
      <w:spacing w:after="0" w:line="240" w:lineRule="auto"/>
    </w:pPr>
    <w:rPr>
      <w:rFonts w:ascii="Calibri" w:eastAsia="Calibri" w:hAnsi="Calibri" w:cs="Times New Roman"/>
      <w:color w:val="000000" w:themeColor="text1" w:themeShade="BF"/>
      <w:lang w:eastAsia="pl-P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Odwoaniedokomentarza">
    <w:name w:val="annotation reference"/>
    <w:basedOn w:val="Domylnaczcionkaakapitu"/>
    <w:uiPriority w:val="99"/>
    <w:semiHidden/>
    <w:unhideWhenUsed/>
    <w:rsid w:val="009A2A0C"/>
    <w:rPr>
      <w:sz w:val="16"/>
      <w:szCs w:val="16"/>
    </w:rPr>
  </w:style>
  <w:style w:type="paragraph" w:styleId="Tekstkomentarza">
    <w:name w:val="annotation text"/>
    <w:basedOn w:val="Normalny"/>
    <w:link w:val="TekstkomentarzaZnak"/>
    <w:uiPriority w:val="99"/>
    <w:semiHidden/>
    <w:unhideWhenUsed/>
    <w:rsid w:val="009A2A0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A2A0C"/>
    <w:rPr>
      <w:sz w:val="20"/>
      <w:szCs w:val="20"/>
    </w:rPr>
  </w:style>
  <w:style w:type="paragraph" w:styleId="Tematkomentarza">
    <w:name w:val="annotation subject"/>
    <w:basedOn w:val="Tekstkomentarza"/>
    <w:next w:val="Tekstkomentarza"/>
    <w:link w:val="TematkomentarzaZnak"/>
    <w:uiPriority w:val="99"/>
    <w:semiHidden/>
    <w:unhideWhenUsed/>
    <w:rsid w:val="009A2A0C"/>
    <w:rPr>
      <w:b/>
      <w:bCs/>
    </w:rPr>
  </w:style>
  <w:style w:type="character" w:customStyle="1" w:styleId="TematkomentarzaZnak">
    <w:name w:val="Temat komentarza Znak"/>
    <w:basedOn w:val="TekstkomentarzaZnak"/>
    <w:link w:val="Tematkomentarza"/>
    <w:uiPriority w:val="99"/>
    <w:semiHidden/>
    <w:rsid w:val="009A2A0C"/>
    <w:rPr>
      <w:b/>
      <w:bCs/>
      <w:sz w:val="20"/>
      <w:szCs w:val="20"/>
    </w:rPr>
  </w:style>
  <w:style w:type="paragraph" w:styleId="Tekstpodstawowy">
    <w:name w:val="Body Text"/>
    <w:aliases w:val="Body Text Char1,Body Text Char Char,Body Text Char1 Char Char,Body Text Char Char Char Char,Body Text Char1 Char Char Char Char,Body Text Char Char Char Char Char Char,Body Text Char1 Char Char Char Char Char Char"/>
    <w:basedOn w:val="Normalny"/>
    <w:link w:val="TekstpodstawowyZnak"/>
    <w:rsid w:val="00C85CE2"/>
    <w:pPr>
      <w:spacing w:after="0" w:line="240" w:lineRule="auto"/>
      <w:jc w:val="both"/>
    </w:pPr>
    <w:rPr>
      <w:rFonts w:ascii="Times New Roman" w:eastAsia="Times New Roman" w:hAnsi="Times New Roman" w:cs="Times New Roman"/>
      <w:sz w:val="24"/>
      <w:szCs w:val="24"/>
      <w:lang w:val="en-US" w:eastAsia="pl-PL"/>
    </w:rPr>
  </w:style>
  <w:style w:type="character" w:customStyle="1" w:styleId="TekstpodstawowyZnak">
    <w:name w:val="Tekst podstawowy Znak"/>
    <w:aliases w:val="Body Text Char1 Znak,Body Text Char Char Znak,Body Text Char1 Char Char Znak,Body Text Char Char Char Char Znak,Body Text Char1 Char Char Char Char Znak,Body Text Char Char Char Char Char Char Znak"/>
    <w:basedOn w:val="Domylnaczcionkaakapitu"/>
    <w:link w:val="Tekstpodstawowy"/>
    <w:rsid w:val="00C85CE2"/>
    <w:rPr>
      <w:rFonts w:ascii="Times New Roman" w:eastAsia="Times New Roman" w:hAnsi="Times New Roman" w:cs="Times New Roman"/>
      <w:sz w:val="24"/>
      <w:szCs w:val="24"/>
      <w:lang w:val="en-US" w:eastAsia="pl-PL"/>
    </w:rPr>
  </w:style>
  <w:style w:type="character" w:customStyle="1" w:styleId="st">
    <w:name w:val="st"/>
    <w:basedOn w:val="Domylnaczcionkaakapitu"/>
    <w:rsid w:val="00FA139B"/>
  </w:style>
  <w:style w:type="character" w:styleId="Uwydatnienie">
    <w:name w:val="Emphasis"/>
    <w:basedOn w:val="Domylnaczcionkaakapitu"/>
    <w:uiPriority w:val="20"/>
    <w:qFormat/>
    <w:rsid w:val="00FA139B"/>
    <w:rPr>
      <w:i/>
      <w:iCs/>
    </w:rPr>
  </w:style>
  <w:style w:type="paragraph" w:styleId="Poprawka">
    <w:name w:val="Revision"/>
    <w:hidden/>
    <w:uiPriority w:val="99"/>
    <w:semiHidden/>
    <w:rsid w:val="00FA139B"/>
    <w:pPr>
      <w:spacing w:after="0" w:line="240" w:lineRule="auto"/>
    </w:pPr>
  </w:style>
  <w:style w:type="character" w:customStyle="1" w:styleId="Nagwek1Znak">
    <w:name w:val="Nagłówek 1 Znak"/>
    <w:basedOn w:val="Domylnaczcionkaakapitu"/>
    <w:link w:val="Nagwek1"/>
    <w:uiPriority w:val="9"/>
    <w:rsid w:val="008A5465"/>
    <w:rPr>
      <w:rFonts w:ascii="Times New Roman" w:eastAsia="Times New Roman" w:hAnsi="Times New Roman" w:cs="Times New Roman"/>
      <w:b/>
      <w:bCs/>
      <w:kern w:val="36"/>
      <w:sz w:val="48"/>
      <w:szCs w:val="48"/>
      <w:lang w:eastAsia="pl-PL"/>
    </w:rPr>
  </w:style>
  <w:style w:type="paragraph" w:customStyle="1" w:styleId="Standard">
    <w:name w:val="Standard"/>
    <w:rsid w:val="00E72CB6"/>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6348">
      <w:bodyDiv w:val="1"/>
      <w:marLeft w:val="0"/>
      <w:marRight w:val="0"/>
      <w:marTop w:val="0"/>
      <w:marBottom w:val="0"/>
      <w:divBdr>
        <w:top w:val="none" w:sz="0" w:space="0" w:color="auto"/>
        <w:left w:val="none" w:sz="0" w:space="0" w:color="auto"/>
        <w:bottom w:val="none" w:sz="0" w:space="0" w:color="auto"/>
        <w:right w:val="none" w:sz="0" w:space="0" w:color="auto"/>
      </w:divBdr>
    </w:div>
    <w:div w:id="296183663">
      <w:bodyDiv w:val="1"/>
      <w:marLeft w:val="0"/>
      <w:marRight w:val="0"/>
      <w:marTop w:val="0"/>
      <w:marBottom w:val="0"/>
      <w:divBdr>
        <w:top w:val="none" w:sz="0" w:space="0" w:color="auto"/>
        <w:left w:val="none" w:sz="0" w:space="0" w:color="auto"/>
        <w:bottom w:val="none" w:sz="0" w:space="0" w:color="auto"/>
        <w:right w:val="none" w:sz="0" w:space="0" w:color="auto"/>
      </w:divBdr>
      <w:divsChild>
        <w:div w:id="1387529635">
          <w:marLeft w:val="0"/>
          <w:marRight w:val="0"/>
          <w:marTop w:val="0"/>
          <w:marBottom w:val="0"/>
          <w:divBdr>
            <w:top w:val="none" w:sz="0" w:space="0" w:color="auto"/>
            <w:left w:val="none" w:sz="0" w:space="0" w:color="auto"/>
            <w:bottom w:val="none" w:sz="0" w:space="0" w:color="auto"/>
            <w:right w:val="none" w:sz="0" w:space="0" w:color="auto"/>
          </w:divBdr>
        </w:div>
        <w:div w:id="1485853389">
          <w:marLeft w:val="0"/>
          <w:marRight w:val="0"/>
          <w:marTop w:val="0"/>
          <w:marBottom w:val="0"/>
          <w:divBdr>
            <w:top w:val="none" w:sz="0" w:space="0" w:color="auto"/>
            <w:left w:val="none" w:sz="0" w:space="0" w:color="auto"/>
            <w:bottom w:val="none" w:sz="0" w:space="0" w:color="auto"/>
            <w:right w:val="none" w:sz="0" w:space="0" w:color="auto"/>
          </w:divBdr>
        </w:div>
        <w:div w:id="873470666">
          <w:marLeft w:val="0"/>
          <w:marRight w:val="0"/>
          <w:marTop w:val="0"/>
          <w:marBottom w:val="0"/>
          <w:divBdr>
            <w:top w:val="none" w:sz="0" w:space="0" w:color="auto"/>
            <w:left w:val="none" w:sz="0" w:space="0" w:color="auto"/>
            <w:bottom w:val="none" w:sz="0" w:space="0" w:color="auto"/>
            <w:right w:val="none" w:sz="0" w:space="0" w:color="auto"/>
          </w:divBdr>
        </w:div>
        <w:div w:id="1507599100">
          <w:marLeft w:val="0"/>
          <w:marRight w:val="0"/>
          <w:marTop w:val="0"/>
          <w:marBottom w:val="0"/>
          <w:divBdr>
            <w:top w:val="none" w:sz="0" w:space="0" w:color="auto"/>
            <w:left w:val="none" w:sz="0" w:space="0" w:color="auto"/>
            <w:bottom w:val="none" w:sz="0" w:space="0" w:color="auto"/>
            <w:right w:val="none" w:sz="0" w:space="0" w:color="auto"/>
          </w:divBdr>
        </w:div>
        <w:div w:id="686179365">
          <w:marLeft w:val="0"/>
          <w:marRight w:val="0"/>
          <w:marTop w:val="0"/>
          <w:marBottom w:val="0"/>
          <w:divBdr>
            <w:top w:val="none" w:sz="0" w:space="0" w:color="auto"/>
            <w:left w:val="none" w:sz="0" w:space="0" w:color="auto"/>
            <w:bottom w:val="none" w:sz="0" w:space="0" w:color="auto"/>
            <w:right w:val="none" w:sz="0" w:space="0" w:color="auto"/>
          </w:divBdr>
        </w:div>
        <w:div w:id="1530490156">
          <w:marLeft w:val="0"/>
          <w:marRight w:val="0"/>
          <w:marTop w:val="0"/>
          <w:marBottom w:val="0"/>
          <w:divBdr>
            <w:top w:val="none" w:sz="0" w:space="0" w:color="auto"/>
            <w:left w:val="none" w:sz="0" w:space="0" w:color="auto"/>
            <w:bottom w:val="none" w:sz="0" w:space="0" w:color="auto"/>
            <w:right w:val="none" w:sz="0" w:space="0" w:color="auto"/>
          </w:divBdr>
        </w:div>
        <w:div w:id="1638299960">
          <w:marLeft w:val="0"/>
          <w:marRight w:val="0"/>
          <w:marTop w:val="0"/>
          <w:marBottom w:val="0"/>
          <w:divBdr>
            <w:top w:val="none" w:sz="0" w:space="0" w:color="auto"/>
            <w:left w:val="none" w:sz="0" w:space="0" w:color="auto"/>
            <w:bottom w:val="none" w:sz="0" w:space="0" w:color="auto"/>
            <w:right w:val="none" w:sz="0" w:space="0" w:color="auto"/>
          </w:divBdr>
        </w:div>
      </w:divsChild>
    </w:div>
    <w:div w:id="400562914">
      <w:bodyDiv w:val="1"/>
      <w:marLeft w:val="0"/>
      <w:marRight w:val="0"/>
      <w:marTop w:val="0"/>
      <w:marBottom w:val="0"/>
      <w:divBdr>
        <w:top w:val="none" w:sz="0" w:space="0" w:color="auto"/>
        <w:left w:val="none" w:sz="0" w:space="0" w:color="auto"/>
        <w:bottom w:val="none" w:sz="0" w:space="0" w:color="auto"/>
        <w:right w:val="none" w:sz="0" w:space="0" w:color="auto"/>
      </w:divBdr>
    </w:div>
    <w:div w:id="1080979461">
      <w:bodyDiv w:val="1"/>
      <w:marLeft w:val="0"/>
      <w:marRight w:val="0"/>
      <w:marTop w:val="0"/>
      <w:marBottom w:val="0"/>
      <w:divBdr>
        <w:top w:val="none" w:sz="0" w:space="0" w:color="auto"/>
        <w:left w:val="none" w:sz="0" w:space="0" w:color="auto"/>
        <w:bottom w:val="none" w:sz="0" w:space="0" w:color="auto"/>
        <w:right w:val="none" w:sz="0" w:space="0" w:color="auto"/>
      </w:divBdr>
    </w:div>
    <w:div w:id="183625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F4772-5BCB-41DC-8450-FBF1CC94F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2652</Words>
  <Characters>15917</Characters>
  <Application>Microsoft Office Word</Application>
  <DocSecurity>0</DocSecurity>
  <Lines>132</Lines>
  <Paragraphs>37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Nowak Magdalena</dc:creator>
  <cp:lastModifiedBy>Królak-Buzakowska Joanna</cp:lastModifiedBy>
  <cp:revision>3</cp:revision>
  <cp:lastPrinted>2020-01-30T06:29:00Z</cp:lastPrinted>
  <dcterms:created xsi:type="dcterms:W3CDTF">2021-06-10T14:09:00Z</dcterms:created>
  <dcterms:modified xsi:type="dcterms:W3CDTF">2021-06-10T14:13:00Z</dcterms:modified>
</cp:coreProperties>
</file>