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BBA1" w14:textId="1FBBC8E2" w:rsidR="000F36BB" w:rsidRDefault="000F36BB" w:rsidP="000F36B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Początki prawa humanitarnego</w:t>
      </w:r>
    </w:p>
    <w:p w14:paraId="53D553A2" w14:textId="78F08D6E" w:rsidR="000F36BB" w:rsidRPr="000F36BB" w:rsidRDefault="000F36BB" w:rsidP="000F36BB">
      <w:r w:rsidRPr="000F36BB">
        <w:rPr>
          <w:b/>
          <w:bCs/>
        </w:rPr>
        <w:t>1.</w:t>
      </w:r>
      <w:r>
        <w:rPr>
          <w:b/>
          <w:bCs/>
        </w:rPr>
        <w:t xml:space="preserve"> </w:t>
      </w:r>
      <w:r w:rsidRPr="000F36BB">
        <w:rPr>
          <w:b/>
          <w:bCs/>
        </w:rPr>
        <w:t>I wojna światowa</w:t>
      </w:r>
      <w:r w:rsidRPr="000F36BB">
        <w:t xml:space="preserve"> – Przed nią, wojny były traktowane jako przestrzeń nieograniczonego okrucieństwa. Jednak intensyfikacja konfliktów, zwłaszcza wielkiej wojny, ukazała konieczność jakichkolwiek regulacji, by chronić osoby spoza bezpośrednich działań wojennych.</w:t>
      </w:r>
    </w:p>
    <w:p w14:paraId="39F64D3C" w14:textId="3F6EAAD3" w:rsidR="000F36BB" w:rsidRPr="000F36BB" w:rsidRDefault="000F36BB" w:rsidP="000F36BB">
      <w:pPr>
        <w:rPr>
          <w:b/>
          <w:bCs/>
        </w:rPr>
      </w:pPr>
      <w:r>
        <w:rPr>
          <w:b/>
          <w:bCs/>
        </w:rPr>
        <w:t xml:space="preserve">2. </w:t>
      </w:r>
      <w:r w:rsidRPr="000F36BB">
        <w:rPr>
          <w:b/>
          <w:bCs/>
        </w:rPr>
        <w:t>Fundamenty:</w:t>
      </w:r>
    </w:p>
    <w:p w14:paraId="38FDD967" w14:textId="77777777" w:rsidR="000F36BB" w:rsidRPr="000F36BB" w:rsidRDefault="000F36BB" w:rsidP="000F36BB">
      <w:pPr>
        <w:numPr>
          <w:ilvl w:val="0"/>
          <w:numId w:val="1"/>
        </w:numPr>
      </w:pPr>
      <w:r w:rsidRPr="000F36BB">
        <w:t>Henry Dunant – szwajcarski przedsiębiorca i filantrop, który w 1859 roku był świadkiem bitwy pod Solferino (Włochy), gdzie zobaczył niewyobrażalne cierpienie rannych żołnierzy i cywilów.</w:t>
      </w:r>
    </w:p>
    <w:p w14:paraId="7D8A1FC1" w14:textId="77777777" w:rsidR="000F36BB" w:rsidRPr="000F36BB" w:rsidRDefault="000F36BB" w:rsidP="000F36BB">
      <w:pPr>
        <w:numPr>
          <w:ilvl w:val="0"/>
          <w:numId w:val="1"/>
        </w:numPr>
      </w:pPr>
      <w:r w:rsidRPr="000F36BB">
        <w:t>W wyniku tego doświadczenia, Dunant napisał książkę pt. „Wspomnienia z Solferino” (1862), w której apelował o utworzenie organizacji, która zajmowałaby się pomocą rannym na polu bitwy.</w:t>
      </w:r>
    </w:p>
    <w:p w14:paraId="7C652E30" w14:textId="77777777" w:rsidR="000F36BB" w:rsidRDefault="000F36BB" w:rsidP="000F36BB">
      <w:pPr>
        <w:numPr>
          <w:ilvl w:val="0"/>
          <w:numId w:val="1"/>
        </w:numPr>
      </w:pPr>
      <w:r w:rsidRPr="000F36BB">
        <w:t>Czerwony Krzyż powstał jako rezultat tych przemyśleń, w 1863 roku w Szwajcarii, w celu pomocy ofiarom konfliktów zbrojnych.</w:t>
      </w:r>
    </w:p>
    <w:p w14:paraId="65D3EE01" w14:textId="139C2FDB" w:rsidR="000F36BB" w:rsidRPr="000F36BB" w:rsidRDefault="000F36BB" w:rsidP="000F36BB">
      <w:r w:rsidRPr="000F36BB">
        <w:rPr>
          <w:b/>
          <w:bCs/>
        </w:rPr>
        <w:t>3.</w:t>
      </w:r>
      <w:r>
        <w:rPr>
          <w:b/>
          <w:bCs/>
        </w:rPr>
        <w:t xml:space="preserve"> </w:t>
      </w:r>
      <w:r w:rsidRPr="000F36BB">
        <w:rPr>
          <w:rFonts w:eastAsia="Times New Roman" w:cs="Times New Roman"/>
          <w:b/>
          <w:bCs/>
          <w:kern w:val="0"/>
          <w:lang w:eastAsia="pl-PL"/>
          <w14:ligatures w14:val="none"/>
        </w:rPr>
        <w:t>Pierwsza konwencja genewska (1864)</w:t>
      </w:r>
      <w:r w:rsidRPr="000F36BB">
        <w:rPr>
          <w:rFonts w:eastAsia="Times New Roman" w:cs="Times New Roman"/>
          <w:kern w:val="0"/>
          <w:lang w:eastAsia="pl-PL"/>
          <w14:ligatures w14:val="none"/>
        </w:rPr>
        <w:t>:</w:t>
      </w:r>
    </w:p>
    <w:p w14:paraId="0E5E77DB" w14:textId="77777777" w:rsidR="000F36BB" w:rsidRPr="000F36BB" w:rsidRDefault="000F36BB" w:rsidP="000F36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0F36BB">
        <w:rPr>
          <w:rFonts w:eastAsia="Times New Roman" w:cs="Times New Roman"/>
          <w:kern w:val="0"/>
          <w:lang w:eastAsia="pl-PL"/>
          <w14:ligatures w14:val="none"/>
        </w:rPr>
        <w:t xml:space="preserve">Na podstawie idei Dunanta w 1864 roku przyjęto </w:t>
      </w:r>
      <w:r w:rsidRPr="000F36BB">
        <w:rPr>
          <w:rFonts w:eastAsia="Times New Roman" w:cs="Times New Roman"/>
          <w:b/>
          <w:bCs/>
          <w:kern w:val="0"/>
          <w:lang w:eastAsia="pl-PL"/>
          <w14:ligatures w14:val="none"/>
        </w:rPr>
        <w:t>Pierwszą Konwencję Genewską</w:t>
      </w:r>
      <w:r w:rsidRPr="000F36BB">
        <w:rPr>
          <w:rFonts w:eastAsia="Times New Roman" w:cs="Times New Roman"/>
          <w:kern w:val="0"/>
          <w:lang w:eastAsia="pl-PL"/>
          <w14:ligatures w14:val="none"/>
        </w:rPr>
        <w:t xml:space="preserve">, która stanowiła </w:t>
      </w:r>
      <w:r w:rsidRPr="000F36BB">
        <w:rPr>
          <w:rFonts w:eastAsia="Times New Roman" w:cs="Times New Roman"/>
          <w:b/>
          <w:bCs/>
          <w:kern w:val="0"/>
          <w:lang w:eastAsia="pl-PL"/>
          <w14:ligatures w14:val="none"/>
        </w:rPr>
        <w:t>pierwsze międzynarodowe porozumienie</w:t>
      </w:r>
      <w:r w:rsidRPr="000F36BB">
        <w:rPr>
          <w:rFonts w:eastAsia="Times New Roman" w:cs="Times New Roman"/>
          <w:kern w:val="0"/>
          <w:lang w:eastAsia="pl-PL"/>
          <w14:ligatures w14:val="none"/>
        </w:rPr>
        <w:t xml:space="preserve"> dotyczące ochrony osób </w:t>
      </w:r>
      <w:r w:rsidRPr="000F36BB">
        <w:rPr>
          <w:rFonts w:eastAsia="Times New Roman" w:cs="Times New Roman"/>
          <w:b/>
          <w:bCs/>
          <w:kern w:val="0"/>
          <w:lang w:eastAsia="pl-PL"/>
          <w14:ligatures w14:val="none"/>
        </w:rPr>
        <w:t>rannych i chorych</w:t>
      </w:r>
      <w:r w:rsidRPr="000F36BB">
        <w:rPr>
          <w:rFonts w:eastAsia="Times New Roman" w:cs="Times New Roman"/>
          <w:kern w:val="0"/>
          <w:lang w:eastAsia="pl-PL"/>
          <w14:ligatures w14:val="none"/>
        </w:rPr>
        <w:t xml:space="preserve"> w armiach podczas działań wojennych.</w:t>
      </w:r>
    </w:p>
    <w:p w14:paraId="5928B7B7" w14:textId="77777777" w:rsidR="000F36BB" w:rsidRPr="000F36BB" w:rsidRDefault="000F36BB" w:rsidP="000F36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0F36BB">
        <w:rPr>
          <w:rFonts w:eastAsia="Times New Roman" w:cs="Times New Roman"/>
          <w:kern w:val="0"/>
          <w:lang w:eastAsia="pl-PL"/>
          <w14:ligatures w14:val="none"/>
        </w:rPr>
        <w:t>Był to fundament współczesnego prawa humanitarnego, który rozwijał się przez kolejne lata.</w:t>
      </w:r>
    </w:p>
    <w:p w14:paraId="0A1CD94D" w14:textId="4A7240A9" w:rsidR="000F36BB" w:rsidRDefault="008756B5" w:rsidP="008756B5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40"/>
          <w:szCs w:val="4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sz w:val="40"/>
          <w:szCs w:val="40"/>
          <w:lang w:eastAsia="pl-PL"/>
          <w14:ligatures w14:val="none"/>
        </w:rPr>
        <w:t>Zakazane narzędzia wojny</w:t>
      </w:r>
    </w:p>
    <w:p w14:paraId="5E93461E" w14:textId="76C15BC5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1. Amunicja kasetowa</w:t>
      </w:r>
    </w:p>
    <w:p w14:paraId="52F5C922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Konwencja o amunicji kasetowej, Dublin 2008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zakazana:</w:t>
      </w:r>
    </w:p>
    <w:p w14:paraId="3A320E32" w14:textId="08CEFB70" w:rsidR="008756B5" w:rsidRPr="008756B5" w:rsidRDefault="008756B5" w:rsidP="008756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Rozrzuca wiele małych bombek (subamunicji), które często nie wybuchają i pozostają aktywnymi minami, stanowiąc śmiertelne zagrożenie dla cywilów przez lata po zakończeniu konfliktu</w:t>
      </w:r>
    </w:p>
    <w:p w14:paraId="2D575CC5" w14:textId="77777777" w:rsidR="008756B5" w:rsidRPr="008756B5" w:rsidRDefault="008756B5" w:rsidP="008756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Brak precyzji – nie rozróżnia między celami wojskowymi a cywilnymi.</w:t>
      </w:r>
    </w:p>
    <w:p w14:paraId="62759635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002C85D0" w14:textId="2926E03F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2. Amunicja grzybkująca (rozprężna, „dum-dum”)</w:t>
      </w:r>
    </w:p>
    <w:p w14:paraId="47161AFC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Deklaracja Haska z 1899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zakazana:</w:t>
      </w:r>
    </w:p>
    <w:p w14:paraId="361605A6" w14:textId="77777777" w:rsidR="008756B5" w:rsidRPr="008756B5" w:rsidRDefault="008756B5" w:rsidP="008756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Taka amunicja rozpada się lub deformuje po uderzeniu, powodując rozległe rany, krwawienie i niepotrzebne cierpienie.</w:t>
      </w:r>
    </w:p>
    <w:p w14:paraId="790D53CB" w14:textId="5F170EA5" w:rsidR="008756B5" w:rsidRDefault="008756B5" w:rsidP="008756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Narusza zasadę humanitarnego traktowania kombatantów – mało efektywna militarnie, a wyjątkowo okrutna.</w:t>
      </w:r>
    </w:p>
    <w:p w14:paraId="2FADE5D1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37A053C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B48912E" w14:textId="63F5754F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3. Napalm</w:t>
      </w:r>
    </w:p>
    <w:p w14:paraId="29F67C7D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Protokół III do Konwencji ONZ o broniach konwencjonalnych, 1980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zakazany:</w:t>
      </w:r>
    </w:p>
    <w:p w14:paraId="70128BAB" w14:textId="77777777" w:rsidR="008756B5" w:rsidRPr="008756B5" w:rsidRDefault="008756B5" w:rsidP="008756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Powoduje długotrwałe i potworne oparzenia – nawet u tych, którzy nie są bezpośrednio trafieni.</w:t>
      </w:r>
    </w:p>
    <w:p w14:paraId="12850B2C" w14:textId="77777777" w:rsidR="008756B5" w:rsidRPr="008756B5" w:rsidRDefault="008756B5" w:rsidP="008756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Trudny do ugaszenia – przylega do ciała i dalej się pali.</w:t>
      </w:r>
    </w:p>
    <w:p w14:paraId="466FE732" w14:textId="2CD30FFB" w:rsidR="008756B5" w:rsidRPr="008756B5" w:rsidRDefault="008756B5" w:rsidP="008756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Szczególnie niebezpieczny w atakach na obszary zamieszkałe przez cywilów.</w:t>
      </w:r>
    </w:p>
    <w:p w14:paraId="72B25DF1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58F8B2C" w14:textId="1F63DDFE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4. Biały fosfor</w:t>
      </w:r>
    </w:p>
    <w:p w14:paraId="3A13989B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 (ograniczenie): Protokół III do Konwencji o broniach konwencjonalnych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ograniczony:</w:t>
      </w:r>
    </w:p>
    <w:p w14:paraId="1CD249C1" w14:textId="77777777" w:rsidR="008756B5" w:rsidRPr="008756B5" w:rsidRDefault="008756B5" w:rsidP="008756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kontakcie z powietrzem zaczyna się samozapłon, powodując straszliwe oparzenia.</w:t>
      </w:r>
    </w:p>
    <w:p w14:paraId="4A64239D" w14:textId="77777777" w:rsidR="008756B5" w:rsidRPr="008756B5" w:rsidRDefault="008756B5" w:rsidP="008756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Może być środkiem dymnym, ale jego użycie jako broni zapalającej wśród cywilów lub w miastach jest niedopuszczalne.</w:t>
      </w:r>
    </w:p>
    <w:p w14:paraId="538E61DA" w14:textId="0D7A6852" w:rsidR="008756B5" w:rsidRPr="008756B5" w:rsidRDefault="008756B5" w:rsidP="008756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Trudny do kontrolowania, działa niszcząco na ludzi i środowisko.</w:t>
      </w:r>
    </w:p>
    <w:p w14:paraId="61999EC2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84CD7EB" w14:textId="48B36CB2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5. Gazy bojowe (broń chemiczna)</w:t>
      </w:r>
    </w:p>
    <w:p w14:paraId="5703FF2D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Konwencja o broni chemicznej, 1993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zakazane:</w:t>
      </w:r>
    </w:p>
    <w:p w14:paraId="4F615303" w14:textId="77777777" w:rsidR="008756B5" w:rsidRPr="008756B5" w:rsidRDefault="008756B5" w:rsidP="008756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Prowadzą do dławienia, paraliżu układu nerwowego, ślepoty i śmierci w męczarniach.</w:t>
      </w:r>
    </w:p>
    <w:p w14:paraId="63BA88FB" w14:textId="77777777" w:rsidR="008756B5" w:rsidRPr="008756B5" w:rsidRDefault="008756B5" w:rsidP="008756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Nieprzewidywalne działanie – mogą uderzyć w przypadkowe ofiary, np. cywilów, żołnierzy własnej armii.</w:t>
      </w:r>
    </w:p>
    <w:p w14:paraId="7AAC8404" w14:textId="158CC8F4" w:rsidR="008756B5" w:rsidRPr="008756B5" w:rsidRDefault="008756B5" w:rsidP="008756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Powszechny sprzeciw wobec ich użycia po I wojnie światowej.</w:t>
      </w:r>
    </w:p>
    <w:p w14:paraId="22E33977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751783A" w14:textId="784BC5E4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6. Miny przeciwpiechotne</w:t>
      </w:r>
    </w:p>
    <w:p w14:paraId="1B7E1CC5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Konwencja Ottawska, 1997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zakazane:</w:t>
      </w:r>
    </w:p>
    <w:p w14:paraId="502260EC" w14:textId="77777777" w:rsidR="008756B5" w:rsidRPr="008756B5" w:rsidRDefault="008756B5" w:rsidP="008756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rozróżniają między żołnierzem a cywilem.</w:t>
      </w:r>
    </w:p>
    <w:p w14:paraId="51ED0FC8" w14:textId="77777777" w:rsidR="008756B5" w:rsidRPr="008756B5" w:rsidRDefault="008756B5" w:rsidP="008756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Pozostają aktywne przez dekady po konflikcie – dzieci, rolnicy, przechodnie giną lub zostają okaleczeni.</w:t>
      </w:r>
    </w:p>
    <w:p w14:paraId="5C7591A9" w14:textId="0BE1D6CD" w:rsidR="008756B5" w:rsidRPr="008756B5" w:rsidRDefault="008756B5" w:rsidP="008756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Ogromny wpływ na życie społeczne, gospodarcze i zdrowotne w regionach powojennych.</w:t>
      </w:r>
    </w:p>
    <w:p w14:paraId="2E1C4A30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561F463" w14:textId="59B259F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7. Lasery oślepiające</w:t>
      </w:r>
    </w:p>
    <w:p w14:paraId="39E93456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Protokół IV do Konwencji ONZ o niektórych broniach konwencjonalnych, 1995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zakazane:</w:t>
      </w:r>
    </w:p>
    <w:p w14:paraId="42898DD3" w14:textId="77777777" w:rsidR="008756B5" w:rsidRPr="008756B5" w:rsidRDefault="008756B5" w:rsidP="008756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Celowe oślepianie (stałe lub czasowe) jest uznawane za okaleczanie nieproporcjonalne do celu militarnego.</w:t>
      </w:r>
    </w:p>
    <w:p w14:paraId="3AF32CDC" w14:textId="00D6C7B4" w:rsidR="008756B5" w:rsidRPr="008756B5" w:rsidRDefault="008756B5" w:rsidP="008756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Narusza zasadę humanitaryzmu – uszkodzenie wzroku nie daje przewagi strategicznej, a powoduje trwałe cierpienie.</w:t>
      </w:r>
    </w:p>
    <w:p w14:paraId="0B909526" w14:textId="77777777" w:rsidR="008756B5" w:rsidRPr="008756B5" w:rsidRDefault="008756B5" w:rsidP="008756B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96844E7" w14:textId="623E030C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8. Bakteria dżumy jako broń biologiczna</w:t>
      </w:r>
    </w:p>
    <w:p w14:paraId="50280E03" w14:textId="77777777" w:rsidR="008756B5" w:rsidRPr="008756B5" w:rsidRDefault="008756B5" w:rsidP="008756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Zakaz: Protokół Genewski 1925 r., wzmocniony Konwencją o broni biologicznej 1972 r.</w:t>
      </w: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Dlaczego zakazana:</w:t>
      </w:r>
    </w:p>
    <w:p w14:paraId="2BAE567E" w14:textId="77777777" w:rsidR="008756B5" w:rsidRPr="008756B5" w:rsidRDefault="008756B5" w:rsidP="008756B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Nieprzewidywalna i niekontrolowana – może zdziesiątkować populacje, także poza strefą wojny.</w:t>
      </w:r>
    </w:p>
    <w:p w14:paraId="5A38EB99" w14:textId="77777777" w:rsidR="008756B5" w:rsidRPr="008756B5" w:rsidRDefault="008756B5" w:rsidP="008756B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Zagraża cywilizacji jako całości, nie tylko armii wroga.</w:t>
      </w:r>
    </w:p>
    <w:p w14:paraId="2E9F4A98" w14:textId="712A4ACC" w:rsidR="008756B5" w:rsidRPr="000F36BB" w:rsidRDefault="008756B5" w:rsidP="008756B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756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Użycie chorób jako broni uznano za sprzeczne z etyką i humanitaryzmem.</w:t>
      </w:r>
    </w:p>
    <w:p w14:paraId="2D438B0E" w14:textId="77777777" w:rsidR="000F36BB" w:rsidRPr="008756B5" w:rsidRDefault="000F36BB" w:rsidP="000F36BB">
      <w:pPr>
        <w:rPr>
          <w:sz w:val="18"/>
          <w:szCs w:val="18"/>
        </w:rPr>
      </w:pPr>
    </w:p>
    <w:sectPr w:rsidR="000F36BB" w:rsidRPr="008756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91D"/>
    <w:multiLevelType w:val="multilevel"/>
    <w:tmpl w:val="62E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0C8"/>
    <w:multiLevelType w:val="multilevel"/>
    <w:tmpl w:val="D8F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1676"/>
    <w:multiLevelType w:val="multilevel"/>
    <w:tmpl w:val="E79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A0DF6"/>
    <w:multiLevelType w:val="multilevel"/>
    <w:tmpl w:val="6D0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147E"/>
    <w:multiLevelType w:val="multilevel"/>
    <w:tmpl w:val="C87A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C60E1"/>
    <w:multiLevelType w:val="multilevel"/>
    <w:tmpl w:val="A7D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8621E"/>
    <w:multiLevelType w:val="multilevel"/>
    <w:tmpl w:val="BC7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7622D"/>
    <w:multiLevelType w:val="multilevel"/>
    <w:tmpl w:val="60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82696"/>
    <w:multiLevelType w:val="multilevel"/>
    <w:tmpl w:val="FC3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775F8"/>
    <w:multiLevelType w:val="multilevel"/>
    <w:tmpl w:val="DF2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02377">
    <w:abstractNumId w:val="3"/>
  </w:num>
  <w:num w:numId="2" w16cid:durableId="1359890189">
    <w:abstractNumId w:val="4"/>
  </w:num>
  <w:num w:numId="3" w16cid:durableId="1443261148">
    <w:abstractNumId w:val="5"/>
  </w:num>
  <w:num w:numId="4" w16cid:durableId="240219407">
    <w:abstractNumId w:val="6"/>
  </w:num>
  <w:num w:numId="5" w16cid:durableId="764420637">
    <w:abstractNumId w:val="1"/>
  </w:num>
  <w:num w:numId="6" w16cid:durableId="384718606">
    <w:abstractNumId w:val="7"/>
  </w:num>
  <w:num w:numId="7" w16cid:durableId="897208355">
    <w:abstractNumId w:val="9"/>
  </w:num>
  <w:num w:numId="8" w16cid:durableId="1134442315">
    <w:abstractNumId w:val="2"/>
  </w:num>
  <w:num w:numId="9" w16cid:durableId="57284218">
    <w:abstractNumId w:val="0"/>
  </w:num>
  <w:num w:numId="10" w16cid:durableId="35550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BB"/>
    <w:rsid w:val="000F36BB"/>
    <w:rsid w:val="002F0714"/>
    <w:rsid w:val="004D1212"/>
    <w:rsid w:val="008756B5"/>
    <w:rsid w:val="009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E18B"/>
  <w15:chartTrackingRefBased/>
  <w15:docId w15:val="{07BD44BE-35BC-4E30-91A0-401A15C5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F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3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3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36B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36B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36B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36B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36B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36B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36B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36B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36B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36B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36BB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0F36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557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2</cp:revision>
  <cp:lastPrinted>2025-05-02T21:14:00Z</cp:lastPrinted>
  <dcterms:created xsi:type="dcterms:W3CDTF">2025-05-02T19:38:00Z</dcterms:created>
  <dcterms:modified xsi:type="dcterms:W3CDTF">2026-03-19T08:57:00Z</dcterms:modified>
</cp:coreProperties>
</file>