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sNote"/>
        <w:jc w:val="left"/>
      </w:pPr>
      <w:r>
        <w:t>KIT DE SANEAMENTO CONCEITUAL E ESTRUTURAÇÃO DE PESQUISA</w:t>
      </w:r>
    </w:p>
    <w:p>
      <w:pPr>
        <w:pStyle w:val="TitleCustom"/>
        <w:jc w:val="left"/>
      </w:pPr>
      <w:r>
        <w:t>Rafaelia Execução</w:t>
        <w:br/>
        <w:t>versão acadêmico-operacional</w:t>
      </w:r>
    </w:p>
    <w:p>
      <w:pPr>
        <w:pStyle w:val="SubtitleCustom"/>
        <w:jc w:val="left"/>
      </w:pPr>
      <w:r>
        <w:t>Documento de reorganização técnica para separar engenharia verificável, ciência formal, hipóteses autorais e linguagem expressiva.</w:t>
      </w:r>
    </w:p>
    <w:p>
      <w:pPr>
        <w:spacing w:after="120"/>
        <w:pBdr>
          <w:bottom w:val="single" w:sz="8" w:space="1" w:color="CBD5E1"/>
        </w:pBdr>
      </w:pPr>
      <w:r>
        <w:t xml:space="preserve"> </w:t>
      </w:r>
    </w:p>
    <w:p>
      <w:pPr>
        <w:spacing w:after="120" w:line="283" w:lineRule="auto"/>
      </w:pPr>
      <w:r>
        <w:t>Objetivo: transformar um bloco de alta carga semântica em uma base séria, utilizável e defensável.</w:t>
      </w:r>
    </w:p>
    <w:p>
      <w:pPr>
        <w:spacing w:after="120" w:line="283" w:lineRule="auto"/>
      </w:pPr>
      <w:r>
        <w:t>Critério central: cada afirmação deve receber status epistemológico explícito.</w:t>
      </w:r>
    </w:p>
    <w:p>
      <w:pPr>
        <w:spacing w:after="120" w:line="283" w:lineRule="auto"/>
      </w:pPr>
      <w:r>
        <w:t>Saída esperada: texto saneado, framework de pesquisa, malha por áreas e matriz de classificação.</w:t>
      </w:r>
    </w:p>
    <w:p>
      <w:pPr>
        <w:pStyle w:val="SubtitleCustom"/>
      </w:pPr>
      <w:r>
        <w:t>Data: 21/04/2026</w:t>
      </w:r>
    </w:p>
    <w:p>
      <w:r>
        <w:br w:type="page"/>
      </w:r>
    </w:p>
    <w:p>
      <w:pPr>
        <w:pStyle w:val="Heading1Custom"/>
        <w:spacing w:before="120" w:after="120"/>
      </w:pPr>
      <w:r>
        <w:t>1. Reescrita séria do escopo</w:t>
      </w:r>
    </w:p>
    <w:p>
      <w:pPr>
        <w:spacing w:after="80" w:line="283" w:lineRule="auto"/>
      </w:pPr>
      <w:r>
        <w:t>Este projeto organiza, em camadas distintas, conhecimentos de sistemas computacionais, redes, engenharia reversa, aprendizado de máquina, física teórica e hipóteses autorais. O objetivo não é fundir indiscriminadamente todos esses domínios, mas construir uma arquitetura coerente que distinga, de forma explícita, conteúdos verificáveis, problemas científicos abertos, formulações especulativas e linguagem não literal.</w:t>
      </w:r>
    </w:p>
    <w:p>
      <w:pPr>
        <w:spacing w:after="80" w:line="283" w:lineRule="auto"/>
      </w:pPr>
      <w:r>
        <w:t>A unidade de trabalho do projeto não é a frase isolada, e sim a estabilidade conceitual sob mudança de contexto. Por isso, o critério principal de qualidade é a permanência de coerência entre níveis semântico, lógico, estrutural e contextual.</w:t>
      </w:r>
    </w:p>
    <w:p>
      <w:pPr>
        <w:spacing w:after="80" w:line="283" w:lineRule="auto"/>
      </w:pPr>
      <w:r>
        <w:t>Toda afirmação produzida dentro do projeto deve ser classificada em uma das seguintes categorias: fato estabelecido, modelo técnico verificável, hipótese científica aberta, hipótese autoral ou linguagem expressiva. Nenhuma proposição deve migrar de uma categoria para outra sem justificativa formal.</w:t>
      </w:r>
    </w:p>
    <w:p>
      <w:pPr>
        <w:pStyle w:val="Heading2Custom"/>
        <w:spacing w:before="80" w:after="40"/>
      </w:pPr>
      <w:r>
        <w:t>1.1 Objetivo geral</w:t>
      </w:r>
    </w:p>
    <w:p>
      <w:pPr>
        <w:spacing w:after="80" w:line="283" w:lineRule="auto"/>
      </w:pPr>
      <w:r>
        <w:t>Construir uma base integrada de estudo, formulação e validação que permita explorar temas de engenharia de sistemas, redes, observabilidade, física e modelagem conceitual sem perder rigor metodológico.</w:t>
      </w:r>
    </w:p>
    <w:p>
      <w:pPr>
        <w:pStyle w:val="Heading2Custom"/>
        <w:spacing w:before="80" w:after="40"/>
      </w:pPr>
      <w:r>
        <w:t>1.2 Objetivos específicos</w:t>
      </w:r>
    </w:p>
    <w:p>
      <w:pPr>
        <w:spacing w:after="80" w:line="283" w:lineRule="auto"/>
        <w:ind w:left="283" w:hanging="170"/>
      </w:pPr>
      <w:r>
        <w:t xml:space="preserve">• </w:t>
      </w:r>
      <w:r>
        <w:t>Mapear fundamentos verificáveis de sistemas operacionais, compilação, memória, redes e observabilidade.</w:t>
      </w:r>
    </w:p>
    <w:p>
      <w:pPr>
        <w:spacing w:after="80" w:line="283" w:lineRule="auto"/>
        <w:ind w:left="283" w:hanging="170"/>
      </w:pPr>
      <w:r>
        <w:t xml:space="preserve">• </w:t>
      </w:r>
      <w:r>
        <w:t>Consolidar uma trilha técnica de estudo baseada em fontes primárias, documentação e experimentação reproduzível.</w:t>
      </w:r>
    </w:p>
    <w:p>
      <w:pPr>
        <w:spacing w:after="80" w:line="283" w:lineRule="auto"/>
        <w:ind w:left="283" w:hanging="170"/>
      </w:pPr>
      <w:r>
        <w:t xml:space="preserve">• </w:t>
      </w:r>
      <w:r>
        <w:t>Separar conteúdo estabelecido, problema aberto e hipótese autoral.</w:t>
      </w:r>
    </w:p>
    <w:p>
      <w:pPr>
        <w:spacing w:after="80" w:line="283" w:lineRule="auto"/>
        <w:ind w:left="283" w:hanging="170"/>
      </w:pPr>
      <w:r>
        <w:t xml:space="preserve">• </w:t>
      </w:r>
      <w:r>
        <w:t>Formalizar hipóteses próprias em linguagem matemática mínima sempre que houver pretensão analítica.</w:t>
      </w:r>
    </w:p>
    <w:p>
      <w:pPr>
        <w:spacing w:after="80" w:line="283" w:lineRule="auto"/>
        <w:ind w:left="283" w:hanging="170"/>
      </w:pPr>
      <w:r>
        <w:t xml:space="preserve">• </w:t>
      </w:r>
      <w:r>
        <w:t>Definir métricas, critérios de validação e condições de refutação para as proposições centrais.</w:t>
      </w:r>
    </w:p>
    <w:p>
      <w:pPr>
        <w:pStyle w:val="Heading1Custom"/>
        <w:spacing w:before="120" w:after="120"/>
      </w:pPr>
      <w:r>
        <w:t>2. Taxonomia de afirmações</w:t>
      </w:r>
    </w:p>
    <w:p>
      <w:pPr>
        <w:spacing w:after="80" w:line="283" w:lineRule="auto"/>
      </w:pPr>
      <w:r>
        <w:t>A tabela abaixo deve ser usada como regra de saneamento para qualquer texto futuro do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0F766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Classe</w:t>
            </w:r>
          </w:p>
        </w:tc>
        <w:tc>
          <w:tcPr>
            <w:tcW w:type="dxa" w:w="2948"/>
            <w:shd w:fill="0F766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  <w:tc>
          <w:tcPr>
            <w:tcW w:type="dxa" w:w="3288"/>
            <w:shd w:fill="0F766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Exemplo aceitável</w:t>
            </w:r>
          </w:p>
        </w:tc>
        <w:tc>
          <w:tcPr>
            <w:tcW w:type="dxa" w:w="1871"/>
            <w:shd w:fill="0F766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Exigência mínima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CFDF5"/>
          </w:tcPr>
          <w:p>
            <w:pPr>
              <w:spacing w:after="40"/>
              <w:jc w:val="center"/>
            </w:pPr>
            <w:r>
              <w:rPr>
                <w:sz w:val="18"/>
              </w:rPr>
              <w:t>Fato estabelecido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Conhecimento amplamente aceito e sustentado por literatura robusta.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ASLR aumenta o custo de exploração.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Fonte primária ou literatura consolidada.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CFDF5"/>
          </w:tcPr>
          <w:p>
            <w:pPr>
              <w:spacing w:after="40"/>
              <w:jc w:val="center"/>
            </w:pPr>
            <w:r>
              <w:rPr>
                <w:sz w:val="18"/>
              </w:rPr>
              <w:t>Modelo técnico verificável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Afirmação operacional testável em laboratório.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Comparar overhead de tracing entre ferramentas.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Métrica, ambiente e procedimento.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CFDF5"/>
          </w:tcPr>
          <w:p>
            <w:pPr>
              <w:spacing w:after="40"/>
              <w:jc w:val="center"/>
            </w:pPr>
            <w:r>
              <w:rPr>
                <w:sz w:val="18"/>
              </w:rPr>
              <w:t>Hipótese científica aberta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Tema legítimo, porém ainda não resolvido.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Natureza da matéria escura.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Delimitar consenso e incerteza.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CFDF5"/>
          </w:tcPr>
          <w:p>
            <w:pPr>
              <w:spacing w:after="40"/>
              <w:jc w:val="center"/>
            </w:pPr>
            <w:r>
              <w:rPr>
                <w:sz w:val="18"/>
              </w:rPr>
              <w:t>Hipótese autoral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Proposição própria sem validação estabelecida.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Semântica como dinâmica de estado.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Definição, variável e teste mínimo.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CFDF5"/>
          </w:tcPr>
          <w:p>
            <w:pPr>
              <w:spacing w:after="40"/>
              <w:jc w:val="center"/>
            </w:pPr>
            <w:r>
              <w:rPr>
                <w:sz w:val="18"/>
              </w:rPr>
              <w:t>Linguagem expressiva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Formulação retórica ou conceitual sem literalidade técnica.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  <w:jc w:val="left"/>
            </w:pPr>
            <w:r>
              <w:rPr>
                <w:sz w:val="18"/>
              </w:rPr>
              <w:t>Verbo original do sistema.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Não usar como evidência técnica.</w:t>
            </w:r>
          </w:p>
        </w:tc>
      </w:tr>
    </w:tbl>
    <w:p>
      <w:pPr>
        <w:pStyle w:val="Heading1Custom"/>
        <w:spacing w:before="120" w:after="120"/>
      </w:pPr>
      <w:r>
        <w:t>3. Malha por áreas</w:t>
      </w:r>
    </w:p>
    <w:p>
      <w:pPr>
        <w:pStyle w:val="Heading2Custom"/>
        <w:spacing w:before="80" w:after="40"/>
      </w:pPr>
      <w:r>
        <w:t>3.1 Engenharia verificável</w:t>
      </w:r>
    </w:p>
    <w:p>
      <w:pPr>
        <w:spacing w:after="80" w:line="283" w:lineRule="auto"/>
        <w:ind w:left="283" w:hanging="170"/>
      </w:pPr>
      <w:r>
        <w:t xml:space="preserve">• </w:t>
      </w:r>
      <w:r>
        <w:t>Sistemas operacionais, kernel, syscalls, loaders, linkers, gestão de memória, ASLR, SSP, DEP, PIE.</w:t>
      </w:r>
    </w:p>
    <w:p>
      <w:pPr>
        <w:spacing w:after="80" w:line="283" w:lineRule="auto"/>
        <w:ind w:left="283" w:hanging="170"/>
      </w:pPr>
      <w:r>
        <w:t xml:space="preserve">• </w:t>
      </w:r>
      <w:r>
        <w:t>Debugging e observabilidade com GDB, LLDB, radare2, perf, strace, ftrace, eBPF e análise de crash.</w:t>
      </w:r>
    </w:p>
    <w:p>
      <w:pPr>
        <w:spacing w:after="80" w:line="283" w:lineRule="auto"/>
        <w:ind w:left="283" w:hanging="170"/>
      </w:pPr>
      <w:r>
        <w:t xml:space="preserve">• </w:t>
      </w:r>
      <w:r>
        <w:t>Redes e camada física: par trançado, impedância, jitter, BER, NEXT, FEXT, clock recovery, FEC, CRC.</w:t>
      </w:r>
    </w:p>
    <w:p>
      <w:pPr>
        <w:spacing w:after="80" w:line="283" w:lineRule="auto"/>
        <w:ind w:left="283" w:hanging="170"/>
      </w:pPr>
      <w:r>
        <w:t xml:space="preserve">• </w:t>
      </w:r>
      <w:r>
        <w:t>Máquinas virtuais, bytecode, JIT, emulação, ABI, calling conventions e formatos binários.</w:t>
      </w:r>
    </w:p>
    <w:p>
      <w:pPr>
        <w:pStyle w:val="Heading2Custom"/>
        <w:spacing w:before="80" w:after="40"/>
      </w:pPr>
      <w:r>
        <w:t>3.2 Ciência formal e problema aberto</w:t>
      </w:r>
    </w:p>
    <w:p>
      <w:pPr>
        <w:spacing w:after="80" w:line="283" w:lineRule="auto"/>
        <w:ind w:left="283" w:hanging="170"/>
      </w:pPr>
      <w:r>
        <w:t xml:space="preserve">• </w:t>
      </w:r>
      <w:r>
        <w:t>Física de baixas temperaturas, condensado de Bose–Einstein, decoerência, vácuo quântico.</w:t>
      </w:r>
    </w:p>
    <w:p>
      <w:pPr>
        <w:spacing w:after="80" w:line="283" w:lineRule="auto"/>
        <w:ind w:left="283" w:hanging="170"/>
      </w:pPr>
      <w:r>
        <w:t xml:space="preserve">• </w:t>
      </w:r>
      <w:r>
        <w:t>Matéria escura, partículas hipotéticas, teorias além do Modelo Padrão e dualidades.</w:t>
      </w:r>
    </w:p>
    <w:p>
      <w:pPr>
        <w:spacing w:after="80" w:line="283" w:lineRule="auto"/>
        <w:ind w:left="283" w:hanging="170"/>
      </w:pPr>
      <w:r>
        <w:t xml:space="preserve">• </w:t>
      </w:r>
      <w:r>
        <w:t>Estruturas geométricas em física matemática, como espaços de módulos, variedades especiais e objetos n-dimensionais.</w:t>
      </w:r>
    </w:p>
    <w:p>
      <w:pPr>
        <w:pStyle w:val="Heading2Custom"/>
        <w:spacing w:before="80" w:after="40"/>
      </w:pPr>
      <w:r>
        <w:t>3.3 Hipóteses autorais potencialmente formalizáveis</w:t>
      </w:r>
    </w:p>
    <w:p>
      <w:pPr>
        <w:spacing w:after="80" w:line="283" w:lineRule="auto"/>
        <w:ind w:left="283" w:hanging="170"/>
      </w:pPr>
      <w:r>
        <w:t xml:space="preserve">• </w:t>
      </w:r>
      <w:r>
        <w:t>Linguagem como transição entre estados.</w:t>
      </w:r>
    </w:p>
    <w:p>
      <w:pPr>
        <w:spacing w:after="80" w:line="283" w:lineRule="auto"/>
        <w:ind w:left="283" w:hanging="170"/>
      </w:pPr>
      <w:r>
        <w:t xml:space="preserve">• </w:t>
      </w:r>
      <w:r>
        <w:t>Coerência como estabilidade estrutural sob perturbação contextual.</w:t>
      </w:r>
    </w:p>
    <w:p>
      <w:pPr>
        <w:spacing w:after="80" w:line="283" w:lineRule="auto"/>
        <w:ind w:left="283" w:hanging="170"/>
      </w:pPr>
      <w:r>
        <w:t xml:space="preserve">• </w:t>
      </w:r>
      <w:r>
        <w:t>Ruído como fronteira de reorganização e não apenas falha.</w:t>
      </w:r>
    </w:p>
    <w:p>
      <w:pPr>
        <w:spacing w:after="80" w:line="283" w:lineRule="auto"/>
        <w:ind w:left="283" w:hanging="170"/>
      </w:pPr>
      <w:r>
        <w:t xml:space="preserve">• </w:t>
      </w:r>
      <w:r>
        <w:t>Inferência de intenção programática a partir de artefatos de software.</w:t>
      </w:r>
    </w:p>
    <w:p>
      <w:pPr>
        <w:pStyle w:val="Heading2Custom"/>
        <w:spacing w:before="80" w:after="40"/>
      </w:pPr>
      <w:r>
        <w:t>3.4 Linguagem expressiva</w:t>
      </w:r>
    </w:p>
    <w:p>
      <w:pPr>
        <w:spacing w:after="80" w:line="283" w:lineRule="auto"/>
      </w:pPr>
      <w:r>
        <w:t>Elementos de forte densidade simbólica podem ser mantidos em prefácios, manifestos ou notas de posicionamento. Eles não devem ser usados como premissa metodológica, variável experimental ou argumento probatório.</w:t>
      </w:r>
    </w:p>
    <w:p>
      <w:pPr>
        <w:pStyle w:val="Heading1Custom"/>
        <w:spacing w:before="120" w:after="120"/>
      </w:pPr>
      <w:r>
        <w:t>4. Saneamento de trechos críticos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1"/>
        <w:gridCol w:w="3211"/>
        <w:gridCol w:w="3211"/>
      </w:tblGrid>
      <w:tr>
        <w:tc>
          <w:tcPr>
            <w:tcW w:type="dxa" w:w="3402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Trecho original</w:t>
            </w:r>
          </w:p>
        </w:tc>
        <w:tc>
          <w:tcPr>
            <w:tcW w:type="dxa" w:w="4819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Tratamento recomendado</w:t>
            </w:r>
          </w:p>
        </w:tc>
        <w:tc>
          <w:tcPr>
            <w:tcW w:type="dxa" w:w="1701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“Intenção pura colapsa a função de onda universal”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Remover da seção técnica. Só pode retornar como hipótese autoral após definição formal, variável observável e protocolo de teste.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2E2"/>
          </w:tcPr>
          <w:p>
            <w:pPr>
              <w:spacing w:after="40"/>
              <w:jc w:val="center"/>
            </w:pPr>
            <w:r>
              <w:rPr>
                <w:sz w:val="18"/>
              </w:rPr>
              <w:t>Especulativo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“DNA como antena de interferência quântica”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Não tratar como fato. Exigir base experimental específica e delimitação físico-química rigorosa.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2E2"/>
          </w:tcPr>
          <w:p>
            <w:pPr>
              <w:spacing w:after="40"/>
              <w:jc w:val="center"/>
            </w:pPr>
            <w:r>
              <w:rPr>
                <w:sz w:val="18"/>
              </w:rPr>
              <w:t>Especulativo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“Reconstruir a intenção criadora do código”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Reescrever como inferência de intenção programática a partir de nomes, fluxo, comentários, histórico e comportamento.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F3C7"/>
          </w:tcPr>
          <w:p>
            <w:pPr>
              <w:spacing w:after="40"/>
              <w:jc w:val="center"/>
            </w:pPr>
            <w:r>
              <w:rPr>
                <w:sz w:val="18"/>
              </w:rPr>
              <w:t>Aproveitável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“Entender porque a aleatoriedade do endereço existe”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Manter como estudo de mecanismos de mitigação: ASLR, PIE, DEP, SSP e entropia prática.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FCE7"/>
          </w:tcPr>
          <w:p>
            <w:pPr>
              <w:spacing w:after="40"/>
              <w:jc w:val="center"/>
            </w:pPr>
            <w:r>
              <w:rPr>
                <w:sz w:val="18"/>
              </w:rPr>
              <w:t>Sólido</w:t>
            </w:r>
          </w:p>
        </w:tc>
      </w:tr>
    </w:tbl>
    <w:p>
      <w:pPr>
        <w:pStyle w:val="Heading1Custom"/>
        <w:spacing w:before="120" w:after="120"/>
      </w:pPr>
      <w:r>
        <w:t>5. Framework de pesquisa</w:t>
      </w:r>
    </w:p>
    <w:p>
      <w:pPr>
        <w:pStyle w:val="Heading2Custom"/>
        <w:spacing w:before="80" w:after="40"/>
      </w:pPr>
      <w:r>
        <w:t>5.1 Problema central</w:t>
      </w:r>
    </w:p>
    <w:p>
      <w:pPr>
        <w:spacing w:after="80" w:line="283" w:lineRule="auto"/>
      </w:pPr>
      <w:r>
        <w:t>Como construir um sistema conceitual que suporte variação de linguagem e contexto sem colapsar coerência entre camadas técnicas, formais e interpretativas?</w:t>
      </w:r>
    </w:p>
    <w:p>
      <w:pPr>
        <w:pStyle w:val="Heading2Custom"/>
        <w:spacing w:before="80" w:after="40"/>
      </w:pPr>
      <w:r>
        <w:t>5.2 Hipóteses de trabalho</w:t>
      </w:r>
    </w:p>
    <w:p>
      <w:pPr>
        <w:spacing w:after="80" w:line="283" w:lineRule="auto"/>
        <w:ind w:left="283" w:hanging="170"/>
      </w:pPr>
      <w:r>
        <w:t xml:space="preserve">• </w:t>
      </w:r>
      <w:r>
        <w:t>H1: Representações semânticas podem ser modeladas como transições de estado e avaliadas por estabilidade sob perturbação.</w:t>
      </w:r>
    </w:p>
    <w:p>
      <w:pPr>
        <w:spacing w:after="80" w:line="283" w:lineRule="auto"/>
        <w:ind w:left="283" w:hanging="170"/>
      </w:pPr>
      <w:r>
        <w:t xml:space="preserve">• </w:t>
      </w:r>
      <w:r>
        <w:t>H2: Parte do ruído interpretativo corresponde a regiões de fronteira entre estados estáveis, e não apenas a erro aleatório.</w:t>
      </w:r>
    </w:p>
    <w:p>
      <w:pPr>
        <w:spacing w:after="80" w:line="283" w:lineRule="auto"/>
        <w:ind w:left="283" w:hanging="170"/>
      </w:pPr>
      <w:r>
        <w:t xml:space="preserve">• </w:t>
      </w:r>
      <w:r>
        <w:t>H3: É possível inferir intenção programática com melhor desempenho quando se combinam sinais estáticos, dinâmicos e históricos.</w:t>
      </w:r>
    </w:p>
    <w:p>
      <w:pPr>
        <w:spacing w:after="80" w:line="283" w:lineRule="auto"/>
        <w:ind w:left="283" w:hanging="170"/>
      </w:pPr>
      <w:r>
        <w:t xml:space="preserve">• </w:t>
      </w:r>
      <w:r>
        <w:t>H4: A separação explícita entre fato, hipótese e linguagem expressiva reduz contradição em documentos de alta densidade conceitual.</w:t>
      </w:r>
    </w:p>
    <w:p>
      <w:pPr>
        <w:pStyle w:val="Heading2Custom"/>
        <w:spacing w:before="80" w:after="40"/>
      </w:pPr>
      <w:r>
        <w:t>5.3 Métricas iniciais</w:t>
      </w:r>
    </w:p>
    <w:p>
      <w:pPr>
        <w:spacing w:after="80" w:line="283" w:lineRule="auto"/>
        <w:ind w:left="283" w:hanging="170"/>
      </w:pPr>
      <w:r>
        <w:t xml:space="preserve">• </w:t>
      </w:r>
      <w:r>
        <w:t>Consistência semântica sob reescrita e mudança de contexto.</w:t>
      </w:r>
    </w:p>
    <w:p>
      <w:pPr>
        <w:spacing w:after="80" w:line="283" w:lineRule="auto"/>
        <w:ind w:left="283" w:hanging="170"/>
      </w:pPr>
      <w:r>
        <w:t xml:space="preserve">• </w:t>
      </w:r>
      <w:r>
        <w:t>Taxa de contradição entre camadas do documento.</w:t>
      </w:r>
    </w:p>
    <w:p>
      <w:pPr>
        <w:spacing w:after="80" w:line="283" w:lineRule="auto"/>
        <w:ind w:left="283" w:hanging="170"/>
      </w:pPr>
      <w:r>
        <w:t xml:space="preserve">• </w:t>
      </w:r>
      <w:r>
        <w:t>Recuperação de intenção em artefatos de software rotulados.</w:t>
      </w:r>
    </w:p>
    <w:p>
      <w:pPr>
        <w:spacing w:after="80" w:line="283" w:lineRule="auto"/>
        <w:ind w:left="283" w:hanging="170"/>
      </w:pPr>
      <w:r>
        <w:t xml:space="preserve">• </w:t>
      </w:r>
      <w:r>
        <w:t>Reprodutibilidade dos experimentos e clareza de classificação epistemológica.</w:t>
      </w:r>
    </w:p>
    <w:p>
      <w:pPr>
        <w:pStyle w:val="Heading2Custom"/>
        <w:spacing w:before="80" w:after="40"/>
      </w:pPr>
      <w:r>
        <w:t>5.4 Experimentos mínimos</w:t>
      </w:r>
    </w:p>
    <w:p>
      <w:pPr>
        <w:spacing w:after="80" w:line="283" w:lineRule="auto"/>
        <w:ind w:left="283" w:hanging="170"/>
      </w:pPr>
      <w:r>
        <w:t xml:space="preserve">• </w:t>
      </w:r>
      <w:r>
        <w:t>Montar um corpus com enunciados rotulados por classe epistemológica e medir taxa de classificação correta.</w:t>
      </w:r>
    </w:p>
    <w:p>
      <w:pPr>
        <w:spacing w:after="80" w:line="283" w:lineRule="auto"/>
        <w:ind w:left="283" w:hanging="170"/>
      </w:pPr>
      <w:r>
        <w:t xml:space="preserve">• </w:t>
      </w:r>
      <w:r>
        <w:t>Aplicar perturbações controladas de linguagem a textos técnicos e medir preservação de estrutura.</w:t>
      </w:r>
    </w:p>
    <w:p>
      <w:pPr>
        <w:spacing w:after="80" w:line="283" w:lineRule="auto"/>
        <w:ind w:left="283" w:hanging="170"/>
      </w:pPr>
      <w:r>
        <w:t xml:space="preserve">• </w:t>
      </w:r>
      <w:r>
        <w:t>Criar conjunto de funções ou módulos reais e testar inferência de intenção com sinais de código, comentários e histórico.</w:t>
      </w:r>
    </w:p>
    <w:p>
      <w:pPr>
        <w:spacing w:after="80" w:line="283" w:lineRule="auto"/>
        <w:ind w:left="283" w:hanging="170"/>
      </w:pPr>
      <w:r>
        <w:t xml:space="preserve">• </w:t>
      </w:r>
      <w:r>
        <w:t>Comparar textos antes e depois do saneamento e medir redução de ambiguidades críticas.</w:t>
      </w:r>
    </w:p>
    <w:p>
      <w:pPr>
        <w:pStyle w:val="Heading1Custom"/>
        <w:spacing w:before="120" w:after="120"/>
      </w:pPr>
      <w:r>
        <w:t>6. Roadmap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531"/>
            <w:shd w:fill="3341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type="dxa" w:w="3402"/>
            <w:shd w:fill="3341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2948"/>
            <w:shd w:fill="3341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Critério de pronto</w:t>
            </w:r>
          </w:p>
        </w:tc>
        <w:tc>
          <w:tcPr>
            <w:tcW w:type="dxa" w:w="2381"/>
            <w:shd w:fill="3341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Dependências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0–7 dias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Taxonomia consolidada e saneamento do texto-base.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  <w:t>Todas as afirmações classificadas.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Documento fonte.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8–21 dias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Matriz de hipóteses, métricas e experimentos.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  <w:t>Cada hipótese com variável e teste mínimo.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Taxonomia pronta.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22–45 dias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Protótipo de corpus e scripts de classificação.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  <w:t>Pipeline reproduzível.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Rotulagem inicial.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sz w:val="18"/>
              </w:rPr>
              <w:t>46–90 dias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Versão de paper técnico ou relatório de pesquisa.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18"/>
              </w:rPr>
              <w:t>Estrutura completa e resultados preliminares.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sz w:val="18"/>
              </w:rPr>
              <w:t>Dados e análise.</w:t>
            </w:r>
          </w:p>
        </w:tc>
      </w:tr>
    </w:tbl>
    <w:p>
      <w:pPr>
        <w:pStyle w:val="Heading1Custom"/>
        <w:spacing w:before="120" w:after="120"/>
      </w:pPr>
      <w:r>
        <w:t>7. Regra operacional permanente</w:t>
      </w:r>
    </w:p>
    <w:p>
      <w:pPr>
        <w:spacing w:after="80" w:line="283" w:lineRule="auto"/>
      </w:pPr>
      <w:r>
        <w:t>Antes de aceitar qualquer nova formulação, aplicar sempre as cinco perguntas de depuração: qual é a entidade, qual é a variável, qual é o mecanismo, como medir e como refutar. Se uma frase não responder a essas cinco perguntas, ela não entra na camada técnica.</w:t>
      </w:r>
    </w:p>
    <w:p>
      <w:pPr>
        <w:pStyle w:val="Heading1Custom"/>
        <w:spacing w:before="120" w:after="120"/>
      </w:pPr>
      <w:r>
        <w:t>8. Fechamento</w:t>
      </w:r>
    </w:p>
    <w:p>
      <w:pPr>
        <w:spacing w:after="80" w:line="283" w:lineRule="auto"/>
      </w:pPr>
      <w:r>
        <w:t>O material original possui potência de escopo, mas exigia separação disciplinar e regra de verificabilidade. Após o saneamento, ele passa a funcionar como base de pesquisa e não apenas como manifesto conceitual.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 Display" w:hAnsi="Aptos Display"/>
      <w:b/>
      <w:color w:val="1E293B"/>
      <w:sz w:val="44"/>
    </w:rPr>
  </w:style>
  <w:style w:type="paragraph" w:customStyle="1" w:styleId="SubtitleCustom">
    <w:name w:val="SubtitleCustom"/>
    <w:basedOn w:val="Normal"/>
    <w:rPr>
      <w:rFonts w:ascii="Aptos" w:hAnsi="Aptos"/>
      <w:color w:val="475569"/>
      <w:sz w:val="22"/>
    </w:rPr>
  </w:style>
  <w:style w:type="paragraph" w:customStyle="1" w:styleId="Heading1Custom">
    <w:name w:val="Heading1Custom"/>
    <w:basedOn w:val="Normal"/>
    <w:rPr>
      <w:rFonts w:ascii="Aptos Display" w:hAnsi="Aptos Display"/>
      <w:b/>
      <w:color w:val="164E63"/>
      <w:sz w:val="30"/>
    </w:rPr>
  </w:style>
  <w:style w:type="paragraph" w:customStyle="1" w:styleId="Heading2Custom">
    <w:name w:val="Heading2Custom"/>
    <w:basedOn w:val="Normal"/>
    <w:rPr>
      <w:rFonts w:ascii="Aptos" w:hAnsi="Aptos"/>
      <w:b/>
      <w:color w:val="0F172A"/>
      <w:sz w:val="23"/>
    </w:rPr>
  </w:style>
  <w:style w:type="paragraph" w:customStyle="1" w:styleId="SmallCapsNote">
    <w:name w:val="SmallCapsNote"/>
    <w:basedOn w:val="Normal"/>
    <w:rPr>
      <w:rFonts w:ascii="Aptos" w:hAnsi="Aptos"/>
      <w:smallCaps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