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firstLine="0"/>
        <w:jc w:val="center"/>
      </w:pPr>
      <w:r>
        <w:rPr>
          <w:rFonts w:ascii="Times New Roman" w:hAnsi="Times New Roman" w:eastAsia="Times New Roman"/>
          <w:b/>
          <w:i w:val="0"/>
          <w:sz w:val="30"/>
        </w:rPr>
        <w:t>Fronteiras de ruído em um modelo de semântica dinâmica</w:t>
      </w:r>
    </w:p>
    <w:p>
      <w:pPr>
        <w:spacing w:line="360" w:lineRule="auto" w:before="0" w:after="160"/>
        <w:ind w:firstLine="0"/>
        <w:jc w:val="center"/>
      </w:pPr>
      <w:r>
        <w:rPr>
          <w:rFonts w:ascii="Times New Roman" w:hAnsi="Times New Roman" w:eastAsia="Times New Roman"/>
          <w:b w:val="0"/>
          <w:i/>
          <w:sz w:val="22"/>
        </w:rPr>
        <w:t>Artigo 2 — estabilidade, colapso e robustez contextual</w:t>
      </w:r>
    </w:p>
    <w:p>
      <w:pPr>
        <w:pStyle w:val="Heading1"/>
      </w:pPr>
      <w:r>
        <w:t>Resumo</w:t>
      </w:r>
    </w:p>
    <w:p>
      <w:pPr>
        <w:spacing w:line="360" w:lineRule="auto" w:before="0" w:after="0"/>
        <w:ind w:firstLine="425"/>
        <w:jc w:val="both"/>
      </w:pPr>
      <w:r>
        <w:rPr>
          <w:rFonts w:ascii="Times New Roman" w:hAnsi="Times New Roman" w:eastAsia="Times New Roman"/>
          <w:b w:val="0"/>
          <w:i w:val="0"/>
          <w:sz w:val="24"/>
        </w:rPr>
        <w:t>Este artigo apresenta resultados simulados para um baseline de semântica dinâmica executado em Python. Os resultados mostram diferenciação clara entre regimes de ruído, com crescimento monotônico da taxa média de colapso e queda progressiva da estabilidade média. A faixa entre 0.17 e 0.29 emerge como região de reorganização informativa.</w:t>
      </w:r>
    </w:p>
    <w:p>
      <w:pPr>
        <w:pStyle w:val="Heading1"/>
      </w:pPr>
      <w:r>
        <w:t>1. Introdução</w:t>
      </w:r>
    </w:p>
    <w:p>
      <w:pPr>
        <w:spacing w:line="360" w:lineRule="auto" w:before="0" w:after="0"/>
        <w:ind w:firstLine="425"/>
        <w:jc w:val="both"/>
      </w:pPr>
      <w:r>
        <w:rPr>
          <w:rFonts w:ascii="Times New Roman" w:hAnsi="Times New Roman" w:eastAsia="Times New Roman"/>
          <w:b w:val="0"/>
          <w:i w:val="0"/>
          <w:sz w:val="24"/>
        </w:rPr>
        <w:t>O objetivo é testar se o baseline responde de forma estruturada ao ruído, em vez de variar aleatoriamente.</w:t>
      </w:r>
    </w:p>
    <w:p>
      <w:pPr>
        <w:spacing w:line="360" w:lineRule="auto" w:before="0" w:after="0"/>
        <w:ind w:firstLine="425"/>
        <w:jc w:val="both"/>
      </w:pPr>
      <w:r>
        <w:rPr>
          <w:rFonts w:ascii="Times New Roman" w:hAnsi="Times New Roman" w:eastAsia="Times New Roman"/>
          <w:b w:val="0"/>
          <w:i w:val="0"/>
          <w:sz w:val="24"/>
        </w:rPr>
        <w:t>A ênfase recai na capacidade das métricas de separar regimes.</w:t>
      </w:r>
    </w:p>
    <w:p>
      <w:pPr>
        <w:pStyle w:val="Heading1"/>
      </w:pPr>
      <w:r>
        <w:t>2. Método</w:t>
      </w:r>
    </w:p>
    <w:p>
      <w:pPr>
        <w:spacing w:line="360" w:lineRule="auto" w:before="0" w:after="0"/>
        <w:ind w:firstLine="425"/>
        <w:jc w:val="both"/>
      </w:pPr>
      <w:r>
        <w:rPr>
          <w:rFonts w:ascii="Times New Roman" w:hAnsi="Times New Roman" w:eastAsia="Times New Roman"/>
          <w:b w:val="0"/>
          <w:i w:val="0"/>
          <w:sz w:val="24"/>
        </w:rPr>
        <w:t>Foram executados quatro blocos: simulação única, Monte Carlo, varredura de fronteira e robustez contextual.</w:t>
      </w:r>
    </w:p>
    <w:p>
      <w:pPr>
        <w:spacing w:line="360" w:lineRule="auto" w:before="0" w:after="0"/>
        <w:ind w:firstLine="425"/>
        <w:jc w:val="both"/>
      </w:pPr>
      <w:r>
        <w:rPr>
          <w:rFonts w:ascii="Times New Roman" w:hAnsi="Times New Roman" w:eastAsia="Times New Roman"/>
          <w:b w:val="0"/>
          <w:i w:val="0"/>
          <w:sz w:val="24"/>
        </w:rPr>
        <w:t>Todos os scripts foram rodados no ambiente deste pacote, com saídas arquivadas para replicação.</w:t>
      </w:r>
    </w:p>
    <w:p>
      <w:pPr>
        <w:pStyle w:val="Heading1"/>
      </w:pPr>
      <w:r>
        <w:t>3. Resultados</w:t>
      </w:r>
    </w:p>
    <w:p>
      <w:pPr>
        <w:spacing w:line="360" w:lineRule="auto" w:before="0" w:after="0"/>
        <w:ind w:firstLine="425"/>
        <w:jc w:val="both"/>
      </w:pPr>
      <w:r>
        <w:rPr>
          <w:rFonts w:ascii="Times New Roman" w:hAnsi="Times New Roman" w:eastAsia="Times New Roman"/>
          <w:b w:val="0"/>
          <w:i w:val="0"/>
          <w:sz w:val="24"/>
        </w:rPr>
        <w:t>A taxa média de colapso sobe de 0.0000 no ruído 0.01 para 0.7493 no ruído 0.40.</w:t>
      </w:r>
    </w:p>
    <w:p>
      <w:pPr>
        <w:spacing w:line="360" w:lineRule="auto" w:before="0" w:after="0"/>
        <w:ind w:firstLine="425"/>
        <w:jc w:val="both"/>
      </w:pPr>
      <w:r>
        <w:rPr>
          <w:rFonts w:ascii="Times New Roman" w:hAnsi="Times New Roman" w:eastAsia="Times New Roman"/>
          <w:b w:val="0"/>
          <w:i w:val="0"/>
          <w:sz w:val="24"/>
        </w:rPr>
        <w:t>A estabilidade média cai de 0.9779 para 0.5712.</w:t>
      </w:r>
    </w:p>
    <w:p>
      <w:pPr>
        <w:spacing w:line="360" w:lineRule="auto" w:before="0" w:after="0"/>
        <w:ind w:firstLine="425"/>
        <w:jc w:val="both"/>
      </w:pPr>
      <w:r>
        <w:rPr>
          <w:rFonts w:ascii="Times New Roman" w:hAnsi="Times New Roman" w:eastAsia="Times New Roman"/>
          <w:b w:val="0"/>
          <w:i w:val="0"/>
          <w:sz w:val="24"/>
        </w:rPr>
        <w:t>A entropia cresce até 3.4849 e a faixa 0.17–0.29 concentra a transição informativa.</w:t>
      </w:r>
    </w:p>
    <w:p>
      <w:pPr>
        <w:spacing w:line="360" w:lineRule="auto" w:before="120" w:after="60"/>
        <w:ind w:firstLine="0"/>
        <w:jc w:val="center"/>
      </w:pPr>
      <w:r>
        <w:rPr>
          <w:rFonts w:ascii="Times New Roman" w:hAnsi="Times New Roman" w:eastAsia="Times New Roman"/>
          <w:b/>
          <w:i w:val="0"/>
          <w:sz w:val="22"/>
        </w:rPr>
        <w:t>Tabela 1 – Síntese Monte Carlo por nível de ruído</w:t>
      </w:r>
    </w:p>
    <w:tbl>
      <w:tblPr>
        <w:tblStyle w:val="TableGrid"/>
        <w:tblW w:type="auto" w:w="0"/>
        <w:jc w:val="center"/>
        <w:tblLook w:firstColumn="1" w:firstRow="1" w:lastColumn="0" w:lastRow="0" w:noHBand="0" w:noVBand="1" w:val="04A0"/>
      </w:tblPr>
      <w:tblGrid>
        <w:gridCol w:w="3248"/>
        <w:gridCol w:w="3248"/>
        <w:gridCol w:w="3248"/>
      </w:tblGrid>
      <w:tr>
        <w:tc>
          <w:tcPr>
            <w:tcW w:type="dxa" w:w="1417"/>
            <w:vAlign w:val="center"/>
            <w:shd w:fill="D9EAF7"/>
          </w:tcPr>
          <w:p>
            <w:pPr>
              <w:jc w:val="center"/>
            </w:pPr>
            <w:r>
              <w:rPr>
                <w:rFonts w:ascii="Times New Roman" w:hAnsi="Times New Roman" w:eastAsia="Times New Roman"/>
                <w:b/>
                <w:sz w:val="21"/>
              </w:rPr>
              <w:t>Ruído</w:t>
            </w:r>
          </w:p>
        </w:tc>
        <w:tc>
          <w:tcPr>
            <w:tcW w:type="dxa" w:w="1984"/>
            <w:vAlign w:val="center"/>
            <w:shd w:fill="D9EAF7"/>
          </w:tcPr>
          <w:p>
            <w:pPr>
              <w:jc w:val="center"/>
            </w:pPr>
            <w:r>
              <w:rPr>
                <w:rFonts w:ascii="Times New Roman" w:hAnsi="Times New Roman" w:eastAsia="Times New Roman"/>
                <w:b/>
                <w:sz w:val="21"/>
              </w:rPr>
              <w:t>Colapso médio</w:t>
            </w:r>
          </w:p>
        </w:tc>
        <w:tc>
          <w:tcPr>
            <w:tcW w:type="dxa" w:w="2268"/>
            <w:vAlign w:val="center"/>
            <w:shd w:fill="D9EAF7"/>
          </w:tcPr>
          <w:p>
            <w:pPr>
              <w:jc w:val="center"/>
            </w:pPr>
            <w:r>
              <w:rPr>
                <w:rFonts w:ascii="Times New Roman" w:hAnsi="Times New Roman" w:eastAsia="Times New Roman"/>
                <w:b/>
                <w:sz w:val="21"/>
              </w:rPr>
              <w:t>Estabilidade média</w:t>
            </w:r>
          </w:p>
        </w:tc>
      </w:tr>
      <w:tr>
        <w:tc>
          <w:tcPr>
            <w:tcW w:type="dxa" w:w="1417"/>
            <w:vAlign w:val="center"/>
          </w:tcPr>
          <w:p>
            <w:pPr>
              <w:jc w:val="center"/>
            </w:pPr>
            <w:r>
              <w:rPr>
                <w:rFonts w:ascii="Times New Roman" w:hAnsi="Times New Roman" w:eastAsia="Times New Roman"/>
                <w:b w:val="0"/>
                <w:sz w:val="21"/>
              </w:rPr>
              <w:t>0.0100</w:t>
            </w:r>
          </w:p>
        </w:tc>
        <w:tc>
          <w:tcPr>
            <w:tcW w:type="dxa" w:w="1984"/>
            <w:vAlign w:val="center"/>
          </w:tcPr>
          <w:p>
            <w:pPr>
              <w:jc w:val="center"/>
            </w:pPr>
            <w:r>
              <w:rPr>
                <w:rFonts w:ascii="Times New Roman" w:hAnsi="Times New Roman" w:eastAsia="Times New Roman"/>
                <w:b w:val="0"/>
                <w:sz w:val="21"/>
              </w:rPr>
              <w:t>0.0000</w:t>
            </w:r>
          </w:p>
        </w:tc>
        <w:tc>
          <w:tcPr>
            <w:tcW w:type="dxa" w:w="2268"/>
            <w:vAlign w:val="center"/>
          </w:tcPr>
          <w:p>
            <w:pPr>
              <w:jc w:val="center"/>
            </w:pPr>
            <w:r>
              <w:rPr>
                <w:rFonts w:ascii="Times New Roman" w:hAnsi="Times New Roman" w:eastAsia="Times New Roman"/>
                <w:b w:val="0"/>
                <w:sz w:val="21"/>
              </w:rPr>
              <w:t>0.9779</w:t>
            </w:r>
          </w:p>
        </w:tc>
      </w:tr>
      <w:tr>
        <w:tc>
          <w:tcPr>
            <w:tcW w:type="dxa" w:w="1417"/>
            <w:vAlign w:val="center"/>
          </w:tcPr>
          <w:p>
            <w:pPr>
              <w:jc w:val="center"/>
            </w:pPr>
            <w:r>
              <w:rPr>
                <w:rFonts w:ascii="Times New Roman" w:hAnsi="Times New Roman" w:eastAsia="Times New Roman"/>
                <w:b w:val="0"/>
                <w:sz w:val="21"/>
              </w:rPr>
              <w:t>0.0500</w:t>
            </w:r>
          </w:p>
        </w:tc>
        <w:tc>
          <w:tcPr>
            <w:tcW w:type="dxa" w:w="1984"/>
            <w:vAlign w:val="center"/>
          </w:tcPr>
          <w:p>
            <w:pPr>
              <w:jc w:val="center"/>
            </w:pPr>
            <w:r>
              <w:rPr>
                <w:rFonts w:ascii="Times New Roman" w:hAnsi="Times New Roman" w:eastAsia="Times New Roman"/>
                <w:b w:val="0"/>
                <w:sz w:val="21"/>
              </w:rPr>
              <w:t>0.0000</w:t>
            </w:r>
          </w:p>
        </w:tc>
        <w:tc>
          <w:tcPr>
            <w:tcW w:type="dxa" w:w="2268"/>
            <w:vAlign w:val="center"/>
          </w:tcPr>
          <w:p>
            <w:pPr>
              <w:jc w:val="center"/>
            </w:pPr>
            <w:r>
              <w:rPr>
                <w:rFonts w:ascii="Times New Roman" w:hAnsi="Times New Roman" w:eastAsia="Times New Roman"/>
                <w:b w:val="0"/>
                <w:sz w:val="21"/>
              </w:rPr>
              <w:t>0.9055</w:t>
            </w:r>
          </w:p>
        </w:tc>
      </w:tr>
      <w:tr>
        <w:tc>
          <w:tcPr>
            <w:tcW w:type="dxa" w:w="1417"/>
            <w:vAlign w:val="center"/>
          </w:tcPr>
          <w:p>
            <w:pPr>
              <w:jc w:val="center"/>
            </w:pPr>
            <w:r>
              <w:rPr>
                <w:rFonts w:ascii="Times New Roman" w:hAnsi="Times New Roman" w:eastAsia="Times New Roman"/>
                <w:b w:val="0"/>
                <w:sz w:val="21"/>
              </w:rPr>
              <w:t>0.1000</w:t>
            </w:r>
          </w:p>
        </w:tc>
        <w:tc>
          <w:tcPr>
            <w:tcW w:type="dxa" w:w="1984"/>
            <w:vAlign w:val="center"/>
          </w:tcPr>
          <w:p>
            <w:pPr>
              <w:jc w:val="center"/>
            </w:pPr>
            <w:r>
              <w:rPr>
                <w:rFonts w:ascii="Times New Roman" w:hAnsi="Times New Roman" w:eastAsia="Times New Roman"/>
                <w:b w:val="0"/>
                <w:sz w:val="21"/>
              </w:rPr>
              <w:t>0.0000</w:t>
            </w:r>
          </w:p>
        </w:tc>
        <w:tc>
          <w:tcPr>
            <w:tcW w:type="dxa" w:w="2268"/>
            <w:vAlign w:val="center"/>
          </w:tcPr>
          <w:p>
            <w:pPr>
              <w:jc w:val="center"/>
            </w:pPr>
            <w:r>
              <w:rPr>
                <w:rFonts w:ascii="Times New Roman" w:hAnsi="Times New Roman" w:eastAsia="Times New Roman"/>
                <w:b w:val="0"/>
                <w:sz w:val="21"/>
              </w:rPr>
              <w:t>0.8287</w:t>
            </w:r>
          </w:p>
        </w:tc>
      </w:tr>
      <w:tr>
        <w:tc>
          <w:tcPr>
            <w:tcW w:type="dxa" w:w="1417"/>
            <w:vAlign w:val="center"/>
          </w:tcPr>
          <w:p>
            <w:pPr>
              <w:jc w:val="center"/>
            </w:pPr>
            <w:r>
              <w:rPr>
                <w:rFonts w:ascii="Times New Roman" w:hAnsi="Times New Roman" w:eastAsia="Times New Roman"/>
                <w:b w:val="0"/>
                <w:sz w:val="21"/>
              </w:rPr>
              <w:t>0.1500</w:t>
            </w:r>
          </w:p>
        </w:tc>
        <w:tc>
          <w:tcPr>
            <w:tcW w:type="dxa" w:w="1984"/>
            <w:vAlign w:val="center"/>
          </w:tcPr>
          <w:p>
            <w:pPr>
              <w:jc w:val="center"/>
            </w:pPr>
            <w:r>
              <w:rPr>
                <w:rFonts w:ascii="Times New Roman" w:hAnsi="Times New Roman" w:eastAsia="Times New Roman"/>
                <w:b w:val="0"/>
                <w:sz w:val="21"/>
              </w:rPr>
              <w:t>0.0214</w:t>
            </w:r>
          </w:p>
        </w:tc>
        <w:tc>
          <w:tcPr>
            <w:tcW w:type="dxa" w:w="2268"/>
            <w:vAlign w:val="center"/>
          </w:tcPr>
          <w:p>
            <w:pPr>
              <w:jc w:val="center"/>
            </w:pPr>
            <w:r>
              <w:rPr>
                <w:rFonts w:ascii="Times New Roman" w:hAnsi="Times New Roman" w:eastAsia="Times New Roman"/>
                <w:b w:val="0"/>
                <w:sz w:val="21"/>
              </w:rPr>
              <w:t>0.7645</w:t>
            </w:r>
          </w:p>
        </w:tc>
      </w:tr>
      <w:tr>
        <w:tc>
          <w:tcPr>
            <w:tcW w:type="dxa" w:w="1417"/>
            <w:vAlign w:val="center"/>
          </w:tcPr>
          <w:p>
            <w:pPr>
              <w:jc w:val="center"/>
            </w:pPr>
            <w:r>
              <w:rPr>
                <w:rFonts w:ascii="Times New Roman" w:hAnsi="Times New Roman" w:eastAsia="Times New Roman"/>
                <w:b w:val="0"/>
                <w:sz w:val="21"/>
              </w:rPr>
              <w:t>0.2000</w:t>
            </w:r>
          </w:p>
        </w:tc>
        <w:tc>
          <w:tcPr>
            <w:tcW w:type="dxa" w:w="1984"/>
            <w:vAlign w:val="center"/>
          </w:tcPr>
          <w:p>
            <w:pPr>
              <w:jc w:val="center"/>
            </w:pPr>
            <w:r>
              <w:rPr>
                <w:rFonts w:ascii="Times New Roman" w:hAnsi="Times New Roman" w:eastAsia="Times New Roman"/>
                <w:b w:val="0"/>
                <w:sz w:val="21"/>
              </w:rPr>
              <w:t>0.1584</w:t>
            </w:r>
          </w:p>
        </w:tc>
        <w:tc>
          <w:tcPr>
            <w:tcW w:type="dxa" w:w="2268"/>
            <w:vAlign w:val="center"/>
          </w:tcPr>
          <w:p>
            <w:pPr>
              <w:jc w:val="center"/>
            </w:pPr>
            <w:r>
              <w:rPr>
                <w:rFonts w:ascii="Times New Roman" w:hAnsi="Times New Roman" w:eastAsia="Times New Roman"/>
                <w:b w:val="0"/>
                <w:sz w:val="21"/>
              </w:rPr>
              <w:t>0.7113</w:t>
            </w:r>
          </w:p>
        </w:tc>
      </w:tr>
      <w:tr>
        <w:tc>
          <w:tcPr>
            <w:tcW w:type="dxa" w:w="1417"/>
            <w:vAlign w:val="center"/>
          </w:tcPr>
          <w:p>
            <w:pPr>
              <w:jc w:val="center"/>
            </w:pPr>
            <w:r>
              <w:rPr>
                <w:rFonts w:ascii="Times New Roman" w:hAnsi="Times New Roman" w:eastAsia="Times New Roman"/>
                <w:b w:val="0"/>
                <w:sz w:val="21"/>
              </w:rPr>
              <w:t>0.3000</w:t>
            </w:r>
          </w:p>
        </w:tc>
        <w:tc>
          <w:tcPr>
            <w:tcW w:type="dxa" w:w="1984"/>
            <w:vAlign w:val="center"/>
          </w:tcPr>
          <w:p>
            <w:pPr>
              <w:jc w:val="center"/>
            </w:pPr>
            <w:r>
              <w:rPr>
                <w:rFonts w:ascii="Times New Roman" w:hAnsi="Times New Roman" w:eastAsia="Times New Roman"/>
                <w:b w:val="0"/>
                <w:sz w:val="21"/>
              </w:rPr>
              <w:t>0.5415</w:t>
            </w:r>
          </w:p>
        </w:tc>
        <w:tc>
          <w:tcPr>
            <w:tcW w:type="dxa" w:w="2268"/>
            <w:vAlign w:val="center"/>
          </w:tcPr>
          <w:p>
            <w:pPr>
              <w:jc w:val="center"/>
            </w:pPr>
            <w:r>
              <w:rPr>
                <w:rFonts w:ascii="Times New Roman" w:hAnsi="Times New Roman" w:eastAsia="Times New Roman"/>
                <w:b w:val="0"/>
                <w:sz w:val="21"/>
              </w:rPr>
              <w:t>0.6299</w:t>
            </w:r>
          </w:p>
        </w:tc>
      </w:tr>
      <w:tr>
        <w:tc>
          <w:tcPr>
            <w:tcW w:type="dxa" w:w="1417"/>
            <w:vAlign w:val="center"/>
          </w:tcPr>
          <w:p>
            <w:pPr>
              <w:jc w:val="center"/>
            </w:pPr>
            <w:r>
              <w:rPr>
                <w:rFonts w:ascii="Times New Roman" w:hAnsi="Times New Roman" w:eastAsia="Times New Roman"/>
                <w:b w:val="0"/>
                <w:sz w:val="21"/>
              </w:rPr>
              <w:t>0.4000</w:t>
            </w:r>
          </w:p>
        </w:tc>
        <w:tc>
          <w:tcPr>
            <w:tcW w:type="dxa" w:w="1984"/>
            <w:vAlign w:val="center"/>
          </w:tcPr>
          <w:p>
            <w:pPr>
              <w:jc w:val="center"/>
            </w:pPr>
            <w:r>
              <w:rPr>
                <w:rFonts w:ascii="Times New Roman" w:hAnsi="Times New Roman" w:eastAsia="Times New Roman"/>
                <w:b w:val="0"/>
                <w:sz w:val="21"/>
              </w:rPr>
              <w:t>0.7493</w:t>
            </w:r>
          </w:p>
        </w:tc>
        <w:tc>
          <w:tcPr>
            <w:tcW w:type="dxa" w:w="2268"/>
            <w:vAlign w:val="center"/>
          </w:tcPr>
          <w:p>
            <w:pPr>
              <w:jc w:val="center"/>
            </w:pPr>
            <w:r>
              <w:rPr>
                <w:rFonts w:ascii="Times New Roman" w:hAnsi="Times New Roman" w:eastAsia="Times New Roman"/>
                <w:b w:val="0"/>
                <w:sz w:val="21"/>
              </w:rPr>
              <w:t>0.5712</w:t>
            </w:r>
          </w:p>
        </w:tc>
      </w:tr>
    </w:tbl>
    <w:p/>
    <w:p>
      <w:pPr>
        <w:spacing w:line="360" w:lineRule="auto" w:before="120" w:after="60"/>
        <w:ind w:firstLine="0"/>
        <w:jc w:val="center"/>
      </w:pPr>
      <w:r>
        <w:rPr>
          <w:rFonts w:ascii="Times New Roman" w:hAnsi="Times New Roman" w:eastAsia="Times New Roman"/>
          <w:b/>
          <w:i w:val="0"/>
          <w:sz w:val="22"/>
        </w:rPr>
        <w:t>Tabela 2 – Fronteira de ruído</w:t>
      </w:r>
    </w:p>
    <w:tbl>
      <w:tblPr>
        <w:tblStyle w:val="TableGrid"/>
        <w:tblW w:type="auto" w:w="0"/>
        <w:jc w:val="center"/>
        <w:tblLook w:firstColumn="1" w:firstRow="1" w:lastColumn="0" w:lastRow="0" w:noHBand="0" w:noVBand="1" w:val="04A0"/>
      </w:tblPr>
      <w:tblGrid>
        <w:gridCol w:w="3248"/>
        <w:gridCol w:w="3248"/>
        <w:gridCol w:w="3248"/>
      </w:tblGrid>
      <w:tr>
        <w:tc>
          <w:tcPr>
            <w:tcW w:type="dxa" w:w="1417"/>
            <w:vAlign w:val="center"/>
            <w:shd w:fill="D9EAF7"/>
          </w:tcPr>
          <w:p>
            <w:pPr>
              <w:jc w:val="center"/>
            </w:pPr>
            <w:r>
              <w:rPr>
                <w:rFonts w:ascii="Times New Roman" w:hAnsi="Times New Roman" w:eastAsia="Times New Roman"/>
                <w:b/>
                <w:sz w:val="21"/>
              </w:rPr>
              <w:t>Ruído</w:t>
            </w:r>
          </w:p>
        </w:tc>
        <w:tc>
          <w:tcPr>
            <w:tcW w:type="dxa" w:w="1984"/>
            <w:vAlign w:val="center"/>
            <w:shd w:fill="D9EAF7"/>
          </w:tcPr>
          <w:p>
            <w:pPr>
              <w:jc w:val="center"/>
            </w:pPr>
            <w:r>
              <w:rPr>
                <w:rFonts w:ascii="Times New Roman" w:hAnsi="Times New Roman" w:eastAsia="Times New Roman"/>
                <w:b/>
                <w:sz w:val="21"/>
              </w:rPr>
              <w:t>Entropia</w:t>
            </w:r>
          </w:p>
        </w:tc>
        <w:tc>
          <w:tcPr>
            <w:tcW w:type="dxa" w:w="1984"/>
            <w:vAlign w:val="center"/>
            <w:shd w:fill="D9EAF7"/>
          </w:tcPr>
          <w:p>
            <w:pPr>
              <w:jc w:val="center"/>
            </w:pPr>
            <w:r>
              <w:rPr>
                <w:rFonts w:ascii="Times New Roman" w:hAnsi="Times New Roman" w:eastAsia="Times New Roman"/>
                <w:b/>
                <w:sz w:val="21"/>
              </w:rPr>
              <w:t>Colapso médio</w:t>
            </w:r>
          </w:p>
        </w:tc>
      </w:tr>
      <w:tr>
        <w:tc>
          <w:tcPr>
            <w:tcW w:type="dxa" w:w="1417"/>
            <w:vAlign w:val="center"/>
          </w:tcPr>
          <w:p>
            <w:pPr>
              <w:jc w:val="center"/>
            </w:pPr>
            <w:r>
              <w:rPr>
                <w:rFonts w:ascii="Times New Roman" w:hAnsi="Times New Roman" w:eastAsia="Times New Roman"/>
                <w:b w:val="0"/>
                <w:sz w:val="21"/>
              </w:rPr>
              <w:t>0.0100</w:t>
            </w:r>
          </w:p>
        </w:tc>
        <w:tc>
          <w:tcPr>
            <w:tcW w:type="dxa" w:w="1984"/>
            <w:vAlign w:val="center"/>
          </w:tcPr>
          <w:p>
            <w:pPr>
              <w:jc w:val="center"/>
            </w:pPr>
            <w:r>
              <w:rPr>
                <w:rFonts w:ascii="Times New Roman" w:hAnsi="Times New Roman" w:eastAsia="Times New Roman"/>
                <w:b w:val="0"/>
                <w:sz w:val="21"/>
              </w:rPr>
              <w:t>1.4995</w:t>
            </w:r>
          </w:p>
        </w:tc>
        <w:tc>
          <w:tcPr>
            <w:tcW w:type="dxa" w:w="1984"/>
            <w:vAlign w:val="center"/>
          </w:tcPr>
          <w:p>
            <w:pPr>
              <w:jc w:val="center"/>
            </w:pPr>
            <w:r>
              <w:rPr>
                <w:rFonts w:ascii="Times New Roman" w:hAnsi="Times New Roman" w:eastAsia="Times New Roman"/>
                <w:b w:val="0"/>
                <w:sz w:val="21"/>
              </w:rPr>
              <w:t>0.0000</w:t>
            </w:r>
          </w:p>
        </w:tc>
      </w:tr>
      <w:tr>
        <w:tc>
          <w:tcPr>
            <w:tcW w:type="dxa" w:w="1417"/>
            <w:vAlign w:val="center"/>
          </w:tcPr>
          <w:p>
            <w:pPr>
              <w:jc w:val="center"/>
            </w:pPr>
            <w:r>
              <w:rPr>
                <w:rFonts w:ascii="Times New Roman" w:hAnsi="Times New Roman" w:eastAsia="Times New Roman"/>
                <w:b w:val="0"/>
                <w:sz w:val="21"/>
              </w:rPr>
              <w:t>0.0500</w:t>
            </w:r>
          </w:p>
        </w:tc>
        <w:tc>
          <w:tcPr>
            <w:tcW w:type="dxa" w:w="1984"/>
            <w:vAlign w:val="center"/>
          </w:tcPr>
          <w:p>
            <w:pPr>
              <w:jc w:val="center"/>
            </w:pPr>
            <w:r>
              <w:rPr>
                <w:rFonts w:ascii="Times New Roman" w:hAnsi="Times New Roman" w:eastAsia="Times New Roman"/>
                <w:b w:val="0"/>
                <w:sz w:val="21"/>
              </w:rPr>
              <w:t>2.5940</w:t>
            </w:r>
          </w:p>
        </w:tc>
        <w:tc>
          <w:tcPr>
            <w:tcW w:type="dxa" w:w="1984"/>
            <w:vAlign w:val="center"/>
          </w:tcPr>
          <w:p>
            <w:pPr>
              <w:jc w:val="center"/>
            </w:pPr>
            <w:r>
              <w:rPr>
                <w:rFonts w:ascii="Times New Roman" w:hAnsi="Times New Roman" w:eastAsia="Times New Roman"/>
                <w:b w:val="0"/>
                <w:sz w:val="21"/>
              </w:rPr>
              <w:t>0.0000</w:t>
            </w:r>
          </w:p>
        </w:tc>
      </w:tr>
      <w:tr>
        <w:tc>
          <w:tcPr>
            <w:tcW w:type="dxa" w:w="1417"/>
            <w:vAlign w:val="center"/>
          </w:tcPr>
          <w:p>
            <w:pPr>
              <w:jc w:val="center"/>
            </w:pPr>
            <w:r>
              <w:rPr>
                <w:rFonts w:ascii="Times New Roman" w:hAnsi="Times New Roman" w:eastAsia="Times New Roman"/>
                <w:b w:val="0"/>
                <w:sz w:val="21"/>
              </w:rPr>
              <w:t>0.0900</w:t>
            </w:r>
          </w:p>
        </w:tc>
        <w:tc>
          <w:tcPr>
            <w:tcW w:type="dxa" w:w="1984"/>
            <w:vAlign w:val="center"/>
          </w:tcPr>
          <w:p>
            <w:pPr>
              <w:jc w:val="center"/>
            </w:pPr>
            <w:r>
              <w:rPr>
                <w:rFonts w:ascii="Times New Roman" w:hAnsi="Times New Roman" w:eastAsia="Times New Roman"/>
                <w:b w:val="0"/>
                <w:sz w:val="21"/>
              </w:rPr>
              <w:t>3.0481</w:t>
            </w:r>
          </w:p>
        </w:tc>
        <w:tc>
          <w:tcPr>
            <w:tcW w:type="dxa" w:w="1984"/>
            <w:vAlign w:val="center"/>
          </w:tcPr>
          <w:p>
            <w:pPr>
              <w:jc w:val="center"/>
            </w:pPr>
            <w:r>
              <w:rPr>
                <w:rFonts w:ascii="Times New Roman" w:hAnsi="Times New Roman" w:eastAsia="Times New Roman"/>
                <w:b w:val="0"/>
                <w:sz w:val="21"/>
              </w:rPr>
              <w:t>0.0000</w:t>
            </w:r>
          </w:p>
        </w:tc>
      </w:tr>
      <w:tr>
        <w:tc>
          <w:tcPr>
            <w:tcW w:type="dxa" w:w="1417"/>
            <w:vAlign w:val="center"/>
          </w:tcPr>
          <w:p>
            <w:pPr>
              <w:jc w:val="center"/>
            </w:pPr>
            <w:r>
              <w:rPr>
                <w:rFonts w:ascii="Times New Roman" w:hAnsi="Times New Roman" w:eastAsia="Times New Roman"/>
                <w:b w:val="0"/>
                <w:sz w:val="21"/>
              </w:rPr>
              <w:t>0.1300</w:t>
            </w:r>
          </w:p>
        </w:tc>
        <w:tc>
          <w:tcPr>
            <w:tcW w:type="dxa" w:w="1984"/>
            <w:vAlign w:val="center"/>
          </w:tcPr>
          <w:p>
            <w:pPr>
              <w:jc w:val="center"/>
            </w:pPr>
            <w:r>
              <w:rPr>
                <w:rFonts w:ascii="Times New Roman" w:hAnsi="Times New Roman" w:eastAsia="Times New Roman"/>
                <w:b w:val="0"/>
                <w:sz w:val="21"/>
              </w:rPr>
              <w:t>3.2278</w:t>
            </w:r>
          </w:p>
        </w:tc>
        <w:tc>
          <w:tcPr>
            <w:tcW w:type="dxa" w:w="1984"/>
            <w:vAlign w:val="center"/>
          </w:tcPr>
          <w:p>
            <w:pPr>
              <w:jc w:val="center"/>
            </w:pPr>
            <w:r>
              <w:rPr>
                <w:rFonts w:ascii="Times New Roman" w:hAnsi="Times New Roman" w:eastAsia="Times New Roman"/>
                <w:b w:val="0"/>
                <w:sz w:val="21"/>
              </w:rPr>
              <w:t>0.0038</w:t>
            </w:r>
          </w:p>
        </w:tc>
      </w:tr>
      <w:tr>
        <w:tc>
          <w:tcPr>
            <w:tcW w:type="dxa" w:w="1417"/>
            <w:vAlign w:val="center"/>
          </w:tcPr>
          <w:p>
            <w:pPr>
              <w:jc w:val="center"/>
            </w:pPr>
            <w:r>
              <w:rPr>
                <w:rFonts w:ascii="Times New Roman" w:hAnsi="Times New Roman" w:eastAsia="Times New Roman"/>
                <w:b w:val="0"/>
                <w:sz w:val="21"/>
              </w:rPr>
              <w:t>0.1700</w:t>
            </w:r>
          </w:p>
        </w:tc>
        <w:tc>
          <w:tcPr>
            <w:tcW w:type="dxa" w:w="1984"/>
            <w:vAlign w:val="center"/>
          </w:tcPr>
          <w:p>
            <w:pPr>
              <w:jc w:val="center"/>
            </w:pPr>
            <w:r>
              <w:rPr>
                <w:rFonts w:ascii="Times New Roman" w:hAnsi="Times New Roman" w:eastAsia="Times New Roman"/>
                <w:b w:val="0"/>
                <w:sz w:val="21"/>
              </w:rPr>
              <w:t>3.3140</w:t>
            </w:r>
          </w:p>
        </w:tc>
        <w:tc>
          <w:tcPr>
            <w:tcW w:type="dxa" w:w="1984"/>
            <w:vAlign w:val="center"/>
          </w:tcPr>
          <w:p>
            <w:pPr>
              <w:jc w:val="center"/>
            </w:pPr>
            <w:r>
              <w:rPr>
                <w:rFonts w:ascii="Times New Roman" w:hAnsi="Times New Roman" w:eastAsia="Times New Roman"/>
                <w:b w:val="0"/>
                <w:sz w:val="21"/>
              </w:rPr>
              <w:t>0.0603</w:t>
            </w:r>
          </w:p>
        </w:tc>
      </w:tr>
      <w:tr>
        <w:tc>
          <w:tcPr>
            <w:tcW w:type="dxa" w:w="1417"/>
            <w:vAlign w:val="center"/>
          </w:tcPr>
          <w:p>
            <w:pPr>
              <w:jc w:val="center"/>
            </w:pPr>
            <w:r>
              <w:rPr>
                <w:rFonts w:ascii="Times New Roman" w:hAnsi="Times New Roman" w:eastAsia="Times New Roman"/>
                <w:b w:val="0"/>
                <w:sz w:val="21"/>
              </w:rPr>
              <w:t>0.2100</w:t>
            </w:r>
          </w:p>
        </w:tc>
        <w:tc>
          <w:tcPr>
            <w:tcW w:type="dxa" w:w="1984"/>
            <w:vAlign w:val="center"/>
          </w:tcPr>
          <w:p>
            <w:pPr>
              <w:jc w:val="center"/>
            </w:pPr>
            <w:r>
              <w:rPr>
                <w:rFonts w:ascii="Times New Roman" w:hAnsi="Times New Roman" w:eastAsia="Times New Roman"/>
                <w:b w:val="0"/>
                <w:sz w:val="21"/>
              </w:rPr>
              <w:t>3.3650</w:t>
            </w:r>
          </w:p>
        </w:tc>
        <w:tc>
          <w:tcPr>
            <w:tcW w:type="dxa" w:w="1984"/>
            <w:vAlign w:val="center"/>
          </w:tcPr>
          <w:p>
            <w:pPr>
              <w:jc w:val="center"/>
            </w:pPr>
            <w:r>
              <w:rPr>
                <w:rFonts w:ascii="Times New Roman" w:hAnsi="Times New Roman" w:eastAsia="Times New Roman"/>
                <w:b w:val="0"/>
                <w:sz w:val="21"/>
              </w:rPr>
              <w:t>0.1990</w:t>
            </w:r>
          </w:p>
        </w:tc>
      </w:tr>
      <w:tr>
        <w:tc>
          <w:tcPr>
            <w:tcW w:type="dxa" w:w="1417"/>
            <w:vAlign w:val="center"/>
          </w:tcPr>
          <w:p>
            <w:pPr>
              <w:jc w:val="center"/>
            </w:pPr>
            <w:r>
              <w:rPr>
                <w:rFonts w:ascii="Times New Roman" w:hAnsi="Times New Roman" w:eastAsia="Times New Roman"/>
                <w:b w:val="0"/>
                <w:sz w:val="21"/>
              </w:rPr>
              <w:t>0.2500</w:t>
            </w:r>
          </w:p>
        </w:tc>
        <w:tc>
          <w:tcPr>
            <w:tcW w:type="dxa" w:w="1984"/>
            <w:vAlign w:val="center"/>
          </w:tcPr>
          <w:p>
            <w:pPr>
              <w:jc w:val="center"/>
            </w:pPr>
            <w:r>
              <w:rPr>
                <w:rFonts w:ascii="Times New Roman" w:hAnsi="Times New Roman" w:eastAsia="Times New Roman"/>
                <w:b w:val="0"/>
                <w:sz w:val="21"/>
              </w:rPr>
              <w:t>3.4071</w:t>
            </w:r>
          </w:p>
        </w:tc>
        <w:tc>
          <w:tcPr>
            <w:tcW w:type="dxa" w:w="1984"/>
            <w:vAlign w:val="center"/>
          </w:tcPr>
          <w:p>
            <w:pPr>
              <w:jc w:val="center"/>
            </w:pPr>
            <w:r>
              <w:rPr>
                <w:rFonts w:ascii="Times New Roman" w:hAnsi="Times New Roman" w:eastAsia="Times New Roman"/>
                <w:b w:val="0"/>
                <w:sz w:val="21"/>
              </w:rPr>
              <w:t>0.3659</w:t>
            </w:r>
          </w:p>
        </w:tc>
      </w:tr>
      <w:tr>
        <w:tc>
          <w:tcPr>
            <w:tcW w:type="dxa" w:w="1417"/>
            <w:vAlign w:val="center"/>
          </w:tcPr>
          <w:p>
            <w:pPr>
              <w:jc w:val="center"/>
            </w:pPr>
            <w:r>
              <w:rPr>
                <w:rFonts w:ascii="Times New Roman" w:hAnsi="Times New Roman" w:eastAsia="Times New Roman"/>
                <w:b w:val="0"/>
                <w:sz w:val="21"/>
              </w:rPr>
              <w:t>0.2900</w:t>
            </w:r>
          </w:p>
        </w:tc>
        <w:tc>
          <w:tcPr>
            <w:tcW w:type="dxa" w:w="1984"/>
            <w:vAlign w:val="center"/>
          </w:tcPr>
          <w:p>
            <w:pPr>
              <w:jc w:val="center"/>
            </w:pPr>
            <w:r>
              <w:rPr>
                <w:rFonts w:ascii="Times New Roman" w:hAnsi="Times New Roman" w:eastAsia="Times New Roman"/>
                <w:b w:val="0"/>
                <w:sz w:val="21"/>
              </w:rPr>
              <w:t>3.4443</w:t>
            </w:r>
          </w:p>
        </w:tc>
        <w:tc>
          <w:tcPr>
            <w:tcW w:type="dxa" w:w="1984"/>
            <w:vAlign w:val="center"/>
          </w:tcPr>
          <w:p>
            <w:pPr>
              <w:jc w:val="center"/>
            </w:pPr>
            <w:r>
              <w:rPr>
                <w:rFonts w:ascii="Times New Roman" w:hAnsi="Times New Roman" w:eastAsia="Times New Roman"/>
                <w:b w:val="0"/>
                <w:sz w:val="21"/>
              </w:rPr>
              <w:t>0.5068</w:t>
            </w:r>
          </w:p>
        </w:tc>
      </w:tr>
      <w:tr>
        <w:tc>
          <w:tcPr>
            <w:tcW w:type="dxa" w:w="1417"/>
            <w:vAlign w:val="center"/>
          </w:tcPr>
          <w:p>
            <w:pPr>
              <w:jc w:val="center"/>
            </w:pPr>
            <w:r>
              <w:rPr>
                <w:rFonts w:ascii="Times New Roman" w:hAnsi="Times New Roman" w:eastAsia="Times New Roman"/>
                <w:b w:val="0"/>
                <w:sz w:val="21"/>
              </w:rPr>
              <w:t>0.3300</w:t>
            </w:r>
          </w:p>
        </w:tc>
        <w:tc>
          <w:tcPr>
            <w:tcW w:type="dxa" w:w="1984"/>
            <w:vAlign w:val="center"/>
          </w:tcPr>
          <w:p>
            <w:pPr>
              <w:jc w:val="center"/>
            </w:pPr>
            <w:r>
              <w:rPr>
                <w:rFonts w:ascii="Times New Roman" w:hAnsi="Times New Roman" w:eastAsia="Times New Roman"/>
                <w:b w:val="0"/>
                <w:sz w:val="21"/>
              </w:rPr>
              <w:t>3.4610</w:t>
            </w:r>
          </w:p>
        </w:tc>
        <w:tc>
          <w:tcPr>
            <w:tcW w:type="dxa" w:w="1984"/>
            <w:vAlign w:val="center"/>
          </w:tcPr>
          <w:p>
            <w:pPr>
              <w:jc w:val="center"/>
            </w:pPr>
            <w:r>
              <w:rPr>
                <w:rFonts w:ascii="Times New Roman" w:hAnsi="Times New Roman" w:eastAsia="Times New Roman"/>
                <w:b w:val="0"/>
                <w:sz w:val="21"/>
              </w:rPr>
              <w:t>0.6177</w:t>
            </w:r>
          </w:p>
        </w:tc>
      </w:tr>
      <w:tr>
        <w:tc>
          <w:tcPr>
            <w:tcW w:type="dxa" w:w="1417"/>
            <w:vAlign w:val="center"/>
          </w:tcPr>
          <w:p>
            <w:pPr>
              <w:jc w:val="center"/>
            </w:pPr>
            <w:r>
              <w:rPr>
                <w:rFonts w:ascii="Times New Roman" w:hAnsi="Times New Roman" w:eastAsia="Times New Roman"/>
                <w:b w:val="0"/>
                <w:sz w:val="21"/>
              </w:rPr>
              <w:t>0.3700</w:t>
            </w:r>
          </w:p>
        </w:tc>
        <w:tc>
          <w:tcPr>
            <w:tcW w:type="dxa" w:w="1984"/>
            <w:vAlign w:val="center"/>
          </w:tcPr>
          <w:p>
            <w:pPr>
              <w:jc w:val="center"/>
            </w:pPr>
            <w:r>
              <w:rPr>
                <w:rFonts w:ascii="Times New Roman" w:hAnsi="Times New Roman" w:eastAsia="Times New Roman"/>
                <w:b w:val="0"/>
                <w:sz w:val="21"/>
              </w:rPr>
              <w:t>3.4774</w:t>
            </w:r>
          </w:p>
        </w:tc>
        <w:tc>
          <w:tcPr>
            <w:tcW w:type="dxa" w:w="1984"/>
            <w:vAlign w:val="center"/>
          </w:tcPr>
          <w:p>
            <w:pPr>
              <w:jc w:val="center"/>
            </w:pPr>
            <w:r>
              <w:rPr>
                <w:rFonts w:ascii="Times New Roman" w:hAnsi="Times New Roman" w:eastAsia="Times New Roman"/>
                <w:b w:val="0"/>
                <w:sz w:val="21"/>
              </w:rPr>
              <w:t>0.7003</w:t>
            </w:r>
          </w:p>
        </w:tc>
      </w:tr>
      <w:tr>
        <w:tc>
          <w:tcPr>
            <w:tcW w:type="dxa" w:w="1417"/>
            <w:vAlign w:val="center"/>
          </w:tcPr>
          <w:p>
            <w:pPr>
              <w:jc w:val="center"/>
            </w:pPr>
            <w:r>
              <w:rPr>
                <w:rFonts w:ascii="Times New Roman" w:hAnsi="Times New Roman" w:eastAsia="Times New Roman"/>
                <w:b w:val="0"/>
                <w:sz w:val="21"/>
              </w:rPr>
              <w:t>0.4100</w:t>
            </w:r>
          </w:p>
        </w:tc>
        <w:tc>
          <w:tcPr>
            <w:tcW w:type="dxa" w:w="1984"/>
            <w:vAlign w:val="center"/>
          </w:tcPr>
          <w:p>
            <w:pPr>
              <w:jc w:val="center"/>
            </w:pPr>
            <w:r>
              <w:rPr>
                <w:rFonts w:ascii="Times New Roman" w:hAnsi="Times New Roman" w:eastAsia="Times New Roman"/>
                <w:b w:val="0"/>
                <w:sz w:val="21"/>
              </w:rPr>
              <w:t>3.4846</w:t>
            </w:r>
          </w:p>
        </w:tc>
        <w:tc>
          <w:tcPr>
            <w:tcW w:type="dxa" w:w="1984"/>
            <w:vAlign w:val="center"/>
          </w:tcPr>
          <w:p>
            <w:pPr>
              <w:jc w:val="center"/>
            </w:pPr>
            <w:r>
              <w:rPr>
                <w:rFonts w:ascii="Times New Roman" w:hAnsi="Times New Roman" w:eastAsia="Times New Roman"/>
                <w:b w:val="0"/>
                <w:sz w:val="21"/>
              </w:rPr>
              <w:t>0.7579</w:t>
            </w:r>
          </w:p>
        </w:tc>
      </w:tr>
      <w:tr>
        <w:tc>
          <w:tcPr>
            <w:tcW w:type="dxa" w:w="1417"/>
            <w:vAlign w:val="center"/>
          </w:tcPr>
          <w:p>
            <w:pPr>
              <w:jc w:val="center"/>
            </w:pPr>
            <w:r>
              <w:rPr>
                <w:rFonts w:ascii="Times New Roman" w:hAnsi="Times New Roman" w:eastAsia="Times New Roman"/>
                <w:b w:val="0"/>
                <w:sz w:val="21"/>
              </w:rPr>
              <w:t>0.4500</w:t>
            </w:r>
          </w:p>
        </w:tc>
        <w:tc>
          <w:tcPr>
            <w:tcW w:type="dxa" w:w="1984"/>
            <w:vAlign w:val="center"/>
          </w:tcPr>
          <w:p>
            <w:pPr>
              <w:jc w:val="center"/>
            </w:pPr>
            <w:r>
              <w:rPr>
                <w:rFonts w:ascii="Times New Roman" w:hAnsi="Times New Roman" w:eastAsia="Times New Roman"/>
                <w:b w:val="0"/>
                <w:sz w:val="21"/>
              </w:rPr>
              <w:t>3.4849</w:t>
            </w:r>
          </w:p>
        </w:tc>
        <w:tc>
          <w:tcPr>
            <w:tcW w:type="dxa" w:w="1984"/>
            <w:vAlign w:val="center"/>
          </w:tcPr>
          <w:p>
            <w:pPr>
              <w:jc w:val="center"/>
            </w:pPr>
            <w:r>
              <w:rPr>
                <w:rFonts w:ascii="Times New Roman" w:hAnsi="Times New Roman" w:eastAsia="Times New Roman"/>
                <w:b w:val="0"/>
                <w:sz w:val="21"/>
              </w:rPr>
              <w:t>0.8022</w:t>
            </w:r>
          </w:p>
        </w:tc>
      </w:tr>
    </w:tbl>
    <w:p/>
    <w:p>
      <w:pPr>
        <w:spacing w:line="360" w:lineRule="auto" w:before="0" w:after="0"/>
        <w:ind w:firstLine="0"/>
        <w:jc w:val="both"/>
      </w:pPr>
      <w:r>
        <w:rPr>
          <w:rFonts w:ascii="Times New Roman" w:hAnsi="Times New Roman" w:eastAsia="Times New Roman"/>
          <w:b w:val="0"/>
          <w:i w:val="0"/>
          <w:sz w:val="24"/>
        </w:rPr>
      </w:r>
    </w:p>
    <w:p>
      <w:pPr>
        <w:jc w:val="center"/>
      </w:pPr>
      <w:r>
        <w:drawing>
          <wp:inline xmlns:a="http://schemas.openxmlformats.org/drawingml/2006/main" xmlns:pic="http://schemas.openxmlformats.org/drawingml/2006/picture">
            <wp:extent cx="5400000" cy="3304477"/>
            <wp:docPr id="1" name="Picture 1"/>
            <wp:cNvGraphicFramePr>
              <a:graphicFrameLocks noChangeAspect="1"/>
            </wp:cNvGraphicFramePr>
            <a:graphic>
              <a:graphicData uri="http://schemas.openxmlformats.org/drawingml/2006/picture">
                <pic:pic>
                  <pic:nvPicPr>
                    <pic:cNvPr id="0" name="01_taxa_colapso_por_ruido.png"/>
                    <pic:cNvPicPr/>
                  </pic:nvPicPr>
                  <pic:blipFill>
                    <a:blip r:embed="rId9"/>
                    <a:stretch>
                      <a:fillRect/>
                    </a:stretch>
                  </pic:blipFill>
                  <pic:spPr>
                    <a:xfrm>
                      <a:off x="0" y="0"/>
                      <a:ext cx="5400000" cy="3304477"/>
                    </a:xfrm>
                    <a:prstGeom prst="rect"/>
                  </pic:spPr>
                </pic:pic>
              </a:graphicData>
            </a:graphic>
          </wp:inline>
        </w:drawing>
      </w:r>
    </w:p>
    <w:p>
      <w:pPr>
        <w:spacing w:line="360" w:lineRule="auto" w:before="40" w:after="120"/>
        <w:ind w:firstLine="0"/>
        <w:jc w:val="center"/>
      </w:pPr>
      <w:r>
        <w:rPr>
          <w:rFonts w:ascii="Times New Roman" w:hAnsi="Times New Roman" w:eastAsia="Times New Roman"/>
          <w:b w:val="0"/>
          <w:i/>
          <w:sz w:val="21"/>
        </w:rPr>
        <w:t>Figura 1 – Taxa média de colapso por ruído</w:t>
      </w:r>
    </w:p>
    <w:p>
      <w:pPr>
        <w:spacing w:line="360" w:lineRule="auto" w:before="0" w:after="0"/>
        <w:ind w:firstLine="0"/>
        <w:jc w:val="both"/>
      </w:pPr>
      <w:r>
        <w:rPr>
          <w:rFonts w:ascii="Times New Roman" w:hAnsi="Times New Roman" w:eastAsia="Times New Roman"/>
          <w:b w:val="0"/>
          <w:i w:val="0"/>
          <w:sz w:val="24"/>
        </w:rPr>
      </w:r>
    </w:p>
    <w:p>
      <w:pPr>
        <w:jc w:val="center"/>
      </w:pPr>
      <w:r>
        <w:drawing>
          <wp:inline xmlns:a="http://schemas.openxmlformats.org/drawingml/2006/main" xmlns:pic="http://schemas.openxmlformats.org/drawingml/2006/picture">
            <wp:extent cx="5400000" cy="3304477"/>
            <wp:docPr id="2" name="Picture 2"/>
            <wp:cNvGraphicFramePr>
              <a:graphicFrameLocks noChangeAspect="1"/>
            </wp:cNvGraphicFramePr>
            <a:graphic>
              <a:graphicData uri="http://schemas.openxmlformats.org/drawingml/2006/picture">
                <pic:pic>
                  <pic:nvPicPr>
                    <pic:cNvPr id="0" name="03_entropia_por_ruido.png"/>
                    <pic:cNvPicPr/>
                  </pic:nvPicPr>
                  <pic:blipFill>
                    <a:blip r:embed="rId10"/>
                    <a:stretch>
                      <a:fillRect/>
                    </a:stretch>
                  </pic:blipFill>
                  <pic:spPr>
                    <a:xfrm>
                      <a:off x="0" y="0"/>
                      <a:ext cx="5400000" cy="3304477"/>
                    </a:xfrm>
                    <a:prstGeom prst="rect"/>
                  </pic:spPr>
                </pic:pic>
              </a:graphicData>
            </a:graphic>
          </wp:inline>
        </w:drawing>
      </w:r>
    </w:p>
    <w:p>
      <w:pPr>
        <w:spacing w:line="360" w:lineRule="auto" w:before="40" w:after="120"/>
        <w:ind w:firstLine="0"/>
        <w:jc w:val="center"/>
      </w:pPr>
      <w:r>
        <w:rPr>
          <w:rFonts w:ascii="Times New Roman" w:hAnsi="Times New Roman" w:eastAsia="Times New Roman"/>
          <w:b w:val="0"/>
          <w:i/>
          <w:sz w:val="21"/>
        </w:rPr>
        <w:t>Figura 2 – Entropia por nível de ruído</w:t>
      </w:r>
    </w:p>
    <w:p>
      <w:pPr>
        <w:spacing w:line="360" w:lineRule="auto" w:before="0" w:after="0"/>
        <w:ind w:firstLine="0"/>
        <w:jc w:val="both"/>
      </w:pPr>
      <w:r>
        <w:rPr>
          <w:rFonts w:ascii="Times New Roman" w:hAnsi="Times New Roman" w:eastAsia="Times New Roman"/>
          <w:b w:val="0"/>
          <w:i w:val="0"/>
          <w:sz w:val="24"/>
        </w:rPr>
      </w:r>
    </w:p>
    <w:p>
      <w:pPr>
        <w:jc w:val="center"/>
      </w:pPr>
      <w:r>
        <w:drawing>
          <wp:inline xmlns:a="http://schemas.openxmlformats.org/drawingml/2006/main" xmlns:pic="http://schemas.openxmlformats.org/drawingml/2006/picture">
            <wp:extent cx="5400000" cy="3304477"/>
            <wp:docPr id="3" name="Picture 3"/>
            <wp:cNvGraphicFramePr>
              <a:graphicFrameLocks noChangeAspect="1"/>
            </wp:cNvGraphicFramePr>
            <a:graphic>
              <a:graphicData uri="http://schemas.openxmlformats.org/drawingml/2006/picture">
                <pic:pic>
                  <pic:nvPicPr>
                    <pic:cNvPr id="0" name="05_robustez_contextual.png"/>
                    <pic:cNvPicPr/>
                  </pic:nvPicPr>
                  <pic:blipFill>
                    <a:blip r:embed="rId11"/>
                    <a:stretch>
                      <a:fillRect/>
                    </a:stretch>
                  </pic:blipFill>
                  <pic:spPr>
                    <a:xfrm>
                      <a:off x="0" y="0"/>
                      <a:ext cx="5400000" cy="3304477"/>
                    </a:xfrm>
                    <a:prstGeom prst="rect"/>
                  </pic:spPr>
                </pic:pic>
              </a:graphicData>
            </a:graphic>
          </wp:inline>
        </w:drawing>
      </w:r>
    </w:p>
    <w:p>
      <w:pPr>
        <w:spacing w:line="360" w:lineRule="auto" w:before="40" w:after="120"/>
        <w:ind w:firstLine="0"/>
        <w:jc w:val="center"/>
      </w:pPr>
      <w:r>
        <w:rPr>
          <w:rFonts w:ascii="Times New Roman" w:hAnsi="Times New Roman" w:eastAsia="Times New Roman"/>
          <w:b w:val="0"/>
          <w:i/>
          <w:sz w:val="21"/>
        </w:rPr>
        <w:t>Figura 3 – Robustez contextual</w:t>
      </w:r>
    </w:p>
    <w:p>
      <w:pPr>
        <w:pStyle w:val="Heading1"/>
      </w:pPr>
      <w:r>
        <w:t>4. Discussão</w:t>
      </w:r>
    </w:p>
    <w:p>
      <w:pPr>
        <w:spacing w:line="360" w:lineRule="auto" w:before="0" w:after="0"/>
        <w:ind w:firstLine="425"/>
        <w:jc w:val="both"/>
      </w:pPr>
      <w:r>
        <w:rPr>
          <w:rFonts w:ascii="Times New Roman" w:hAnsi="Times New Roman" w:eastAsia="Times New Roman"/>
          <w:b w:val="0"/>
          <w:i w:val="0"/>
          <w:sz w:val="24"/>
        </w:rPr>
        <w:t>Os resultados sustentam a utilidade do ruído como variável experimental e mostram que o modelo já oferece comportamento falsificável.</w:t>
      </w:r>
    </w:p>
    <w:p>
      <w:pPr>
        <w:spacing w:line="360" w:lineRule="auto" w:before="0" w:after="0"/>
        <w:ind w:firstLine="425"/>
        <w:jc w:val="both"/>
      </w:pPr>
      <w:r>
        <w:rPr>
          <w:rFonts w:ascii="Times New Roman" w:hAnsi="Times New Roman" w:eastAsia="Times New Roman"/>
          <w:b w:val="0"/>
          <w:i w:val="0"/>
          <w:sz w:val="24"/>
        </w:rPr>
        <w:t>A principal limitação continua sendo o uso de dados sintéticos e o caráter mínimo do baseline.</w:t>
      </w:r>
    </w:p>
    <w:p>
      <w:pPr>
        <w:pStyle w:val="Heading1"/>
      </w:pPr>
      <w:r>
        <w:t>5. Conclusão</w:t>
      </w:r>
    </w:p>
    <w:p>
      <w:pPr>
        <w:spacing w:line="360" w:lineRule="auto" w:before="0" w:after="0"/>
        <w:ind w:firstLine="425"/>
        <w:jc w:val="both"/>
      </w:pPr>
      <w:r>
        <w:rPr>
          <w:rFonts w:ascii="Times New Roman" w:hAnsi="Times New Roman" w:eastAsia="Times New Roman"/>
          <w:b w:val="0"/>
          <w:i w:val="0"/>
          <w:sz w:val="24"/>
        </w:rPr>
        <w:t>O artigo experimental estabelece uma base quantitativa inicial para o programa de pesquisa.</w:t>
      </w:r>
    </w:p>
    <w:p>
      <w:pPr>
        <w:pStyle w:val="Heading1"/>
      </w:pPr>
      <w:r>
        <w:t>Referências-base</w:t>
      </w:r>
    </w:p>
    <w:p>
      <w:pPr>
        <w:spacing w:line="360" w:lineRule="auto" w:before="0" w:after="0"/>
        <w:ind w:firstLine="0"/>
        <w:jc w:val="left"/>
      </w:pPr>
      <w:r>
        <w:rPr>
          <w:rFonts w:ascii="Times New Roman" w:hAnsi="Times New Roman" w:eastAsia="Times New Roman"/>
          <w:b w:val="0"/>
          <w:i w:val="0"/>
          <w:sz w:val="24"/>
        </w:rPr>
        <w:t>BISHOP, Christopher M. Pattern Recognition and Machine Learning. New York: Springer, 2006.</w:t>
      </w:r>
    </w:p>
    <w:p>
      <w:pPr>
        <w:spacing w:line="360" w:lineRule="auto" w:before="0" w:after="0"/>
        <w:ind w:firstLine="0"/>
        <w:jc w:val="left"/>
      </w:pPr>
      <w:r>
        <w:rPr>
          <w:rFonts w:ascii="Times New Roman" w:hAnsi="Times New Roman" w:eastAsia="Times New Roman"/>
          <w:b w:val="0"/>
          <w:i w:val="0"/>
          <w:sz w:val="24"/>
        </w:rPr>
        <w:t>GOODFELLOW, Ian; BENGIO, Yoshua; COURVILLE, Aaron. Deep Learning. Cambridge: MIT Press, 2016.</w:t>
      </w:r>
    </w:p>
    <w:p>
      <w:pPr>
        <w:spacing w:line="360" w:lineRule="auto" w:before="0" w:after="0"/>
        <w:ind w:firstLine="0"/>
        <w:jc w:val="left"/>
      </w:pPr>
      <w:r>
        <w:rPr>
          <w:rFonts w:ascii="Times New Roman" w:hAnsi="Times New Roman" w:eastAsia="Times New Roman"/>
          <w:b w:val="0"/>
          <w:i w:val="0"/>
          <w:sz w:val="24"/>
        </w:rPr>
        <w:t>SHANNON, Claude E. A mathematical theory of communication. Bell System Technical Journal, 1948.</w:t>
      </w:r>
    </w:p>
    <w:p>
      <w:pPr>
        <w:spacing w:line="360" w:lineRule="auto" w:before="0" w:after="0"/>
        <w:ind w:firstLine="0"/>
        <w:jc w:val="left"/>
      </w:pPr>
      <w:r>
        <w:rPr>
          <w:rFonts w:ascii="Times New Roman" w:hAnsi="Times New Roman" w:eastAsia="Times New Roman"/>
          <w:b w:val="0"/>
          <w:i w:val="0"/>
          <w:sz w:val="24"/>
        </w:rPr>
        <w:t>STROGATZ, Steven H. Nonlinear Dynamics and Chaos. Boulder: Westview Press, 2015.</w:t>
      </w:r>
    </w:p>
    <w:sectPr w:rsidR="00FC693F" w:rsidRPr="0006063C" w:rsidSect="00034616">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5"/>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60" w:lineRule="auto"/>
      <w:ind w:firstLine="425"/>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