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Linha de artigos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Arquitetura de publicação derivada da dissertação e do pacote experimental</w:t>
      </w:r>
    </w:p>
    <w:p>
      <w:pPr>
        <w:spacing w:line="360" w:lineRule="auto" w:before="0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linha de artigos foi organizada para preservar coerência entre fundamento teórico, evidência experimental e aplicação em software. O conjunto foi desenhado para reduzir redundância excessiva e permitir submissão sequencial.</w:t>
      </w:r>
    </w:p>
    <w:p>
      <w:pPr>
        <w:pStyle w:val="Heading1"/>
      </w:pPr>
      <w:r>
        <w:t>1. Artigo 1 — teórico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Título-base: Semântica como dinâmica de estado: taxonomia epistemológica e framework mínimo para coerência sob variação contextual.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Eixo: ontologia, taxonomia, admissibilidade metodológica.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Contribuição: separar fato, modelo, hipótese e linguagem expressiva.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Função na linha: fixar o quadro conceitual.</w:t>
      </w:r>
    </w:p>
    <w:p>
      <w:pPr>
        <w:pStyle w:val="Heading1"/>
      </w:pPr>
      <w:r>
        <w:t>2. Artigo 2 — experimental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Título-base: Fronteiras de ruído em um modelo de semântica dinâmica: estudo de estabilidade, colapso e robustez contextual.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Eixo: resultados simulados e análise de regimes.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Contribuição: mostrar diferenciação empírica entre níveis de ruído.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Função na linha: sustentar o framework com dados reproduzíveis.</w:t>
      </w:r>
    </w:p>
    <w:p>
      <w:pPr>
        <w:pStyle w:val="Heading1"/>
      </w:pPr>
      <w:r>
        <w:t>3. Artigo 3 — aplicado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Título-base: Inferência de intenção em artefatos de software: um baseline heurístico para software archaeology e reverse engineering.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Eixo: classificação funcional de código e recuperação de intenção.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Contribuição: ponte concreta com engenharia de software e reversão.</w:t>
      </w:r>
    </w:p>
    <w:p>
      <w:pPr>
        <w:pStyle w:val="ListBullet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Função na linha: dar concretude técnica e caminho de validação externa.</w:t>
      </w:r>
    </w:p>
    <w:p>
      <w:pPr>
        <w:pStyle w:val="Heading1"/>
      </w:pPr>
      <w:r>
        <w:t>4. Ordem recomendada</w:t>
      </w:r>
    </w:p>
    <w:p>
      <w:pPr>
        <w:pStyle w:val="ListNumber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Escrever e submeter primeiro o artigo teórico.</w:t>
      </w:r>
    </w:p>
    <w:p>
      <w:pPr>
        <w:pStyle w:val="ListNumber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Converter os resultados simulados em artigo experimental logo depois.</w:t>
      </w:r>
    </w:p>
    <w:p>
      <w:pPr>
        <w:pStyle w:val="ListNumber"/>
        <w:spacing w:line="360" w:lineRule="auto"/>
        <w:ind w:left="357" w:firstLine="0"/>
      </w:pPr>
      <w:r>
        <w:rPr>
          <w:rFonts w:ascii="Times New Roman" w:hAnsi="Times New Roman" w:eastAsia="Times New Roman"/>
          <w:b w:val="0"/>
          <w:i w:val="0"/>
          <w:sz w:val="22"/>
        </w:rPr>
        <w:t>Usar o artigo aplicado como peça de maior aderência técnica e potencial de expansão.</w:t>
      </w:r>
    </w:p>
    <w:p>
      <w:pPr>
        <w:pStyle w:val="Heading1"/>
      </w:pPr>
      <w:r>
        <w:t>5. Acoplamento com a dissertação</w:t>
      </w:r>
    </w:p>
    <w:p>
      <w:pPr>
        <w:spacing w:line="360" w:lineRule="auto" w:before="0" w:after="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Capítulos 1 e 2 alimentam o Artigo 1; capítulos 3 e 4 alimentam o Artigo 2; capítulo 5 alimenta o Artigo 3. Os capítulos finais de discussão e conclusão consolidam a integração e os limites do conjunto.</w:t>
      </w:r>
    </w:p>
    <w:sectPr w:rsidR="00FC693F" w:rsidRPr="0006063C" w:rsidSect="00034616"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5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425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