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 w:name="book-synopsis"/>
    <w:p>
      <w:pPr>
        <w:pStyle w:val="Heading1"/>
      </w:pPr>
      <w:r>
        <w:t xml:space="preserve">Book Synopsis</w:t>
      </w:r>
    </w:p>
    <w:bookmarkStart w:id="9" w:name="X65f780c30521fb98879175f077d0b3af39eef27"/>
    <w:p>
      <w:pPr>
        <w:pStyle w:val="Heading2"/>
      </w:pPr>
      <w:r>
        <w:t xml:space="preserve">The Strategic Capital Order: Finance, Technology, and the New Global Hierarchy</w:t>
      </w:r>
    </w:p>
    <w:p>
      <w:r>
        <w:pict>
          <v:rect style="width:0;height:1.5pt" o:hralign="center" o:hrstd="t" o:hr="t"/>
        </w:pict>
      </w:r>
    </w:p>
    <w:p>
      <w:pPr>
        <w:pStyle w:val="FirstParagraph"/>
      </w:pPr>
      <w:r>
        <w:t xml:space="preserve">The global political economy is undergoing a capital reallocation of historic proportions. Hyperscaler corporations — Microsoft, Alphabet, Amazon, Meta, Apple, Oracle, Tesla — now invest over $600 billion annually in infrastructure for artificial intelligence, exceeding the capital expenditure of many nation-states. Seven firms account for 30% of all capital spending in the S&amp;P 500. AI-related investment alone is estimated at 1.2% of US GDP and credited with driving roughly half of recent American economic growth. This concentration of investment rivals or surpasses, in its early-phase intensity, the great capital mobilizations of modern history: the railway boom (1860–1890), electrification (1900–1930), and the telecommunications build-out (1990–2000).</w:t>
      </w:r>
    </w:p>
    <w:p>
      <w:pPr>
        <w:pStyle w:val="BodyText"/>
      </w:pPr>
      <w:r>
        <w:t xml:space="preserve">Yet the prevailing analytical frameworks fail to capture what is distinctive about this moment. Existing literatures on global value chains, technology governance, and weaponized interdependence illuminate the</w:t>
      </w:r>
      <w:r>
        <w:t xml:space="preserve"> </w:t>
      </w:r>
      <w:r>
        <w:rPr>
          <w:i/>
          <w:iCs/>
        </w:rPr>
        <w:t xml:space="preserve">what</w:t>
      </w:r>
      <w:r>
        <w:t xml:space="preserve"> </w:t>
      </w:r>
      <w:r>
        <w:t xml:space="preserve">— the physical infrastructure, the chokepoints, the export controls — but not the</w:t>
      </w:r>
      <w:r>
        <w:t xml:space="preserve"> </w:t>
      </w:r>
      <w:r>
        <w:rPr>
          <w:i/>
          <w:iCs/>
        </w:rPr>
        <w:t xml:space="preserve">how</w:t>
      </w:r>
      <w:r>
        <w:t xml:space="preserve">. How is this infrastructure being financed? Who mobilizes the capital, who structures the risk, and who ultimately bears the losses if projects fail? These questions are not secondary. They determine who controls the infrastructure, and therefore who controls the emerging order.</w:t>
      </w:r>
    </w:p>
    <w:p>
      <w:pPr>
        <w:pStyle w:val="BodyText"/>
      </w:pPr>
      <w:r>
        <w:t xml:space="preserve">This book introduces</w:t>
      </w:r>
      <w:r>
        <w:t xml:space="preserve"> </w:t>
      </w:r>
      <w:r>
        <w:rPr>
          <w:b/>
          <w:bCs/>
        </w:rPr>
        <w:t xml:space="preserve">Capital Allocation Capacity (CAC)</w:t>
      </w:r>
      <w:r>
        <w:t xml:space="preserve"> </w:t>
      </w:r>
      <w:r>
        <w:t xml:space="preserve">as a new analytical framework for understanding the relationship between finance, technology, and global power. CAC is defined as a country’s ability to mobilize, structure, and direct capital into strategic points of future technology value chains. The framework decomposes this capacity into five measurable dimensions — financial capacity (capital market depth, non-bank financial intermediation, development bank strength), technological capacity (semiconductor value chain position, AI ecosystem), resource capacity (critical minerals, energy access), institutional capacity (regulatory stability, industrial policy coherence), and geopolitical capacity (alliance membership, export control status, security guarantees). The argument is that CAC, not GDP, not military spending, not technology ownership per se, has become the primary determinant of a country’s position in the global hierarchy that is now taking shape.</w:t>
      </w:r>
    </w:p>
    <w:p>
      <w:pPr>
        <w:pStyle w:val="BodyText"/>
      </w:pPr>
      <w:r>
        <w:t xml:space="preserve">The book develops this argument in three stages.</w:t>
      </w:r>
    </w:p>
    <w:p>
      <w:pPr>
        <w:pStyle w:val="BodyText"/>
      </w:pPr>
      <w:r>
        <w:rPr>
          <w:b/>
          <w:bCs/>
        </w:rPr>
        <w:t xml:space="preserve">First</w:t>
      </w:r>
      <w:r>
        <w:t xml:space="preserve">, it maps the object of financing — the integrated investment complex spanning AI compute, semiconductors, energy infrastructure, and critical minerals — as a single, interdependent value chain. From rare earth mining through chip fabrication to AI model training, each node requires massive capital and depends on all others. The chapter identifies key chokepoints (TSMC in advanced fabrication, ASML in EUV lithography, Nvidia in AI training hardware, China in rare earth processing) and analyzes their economics: high entry barriers, constrained supply, inelastic demand, and monopolistic rents. Control over these chokepoints requires capital of a scale and patience that few actors can mobilize.</w:t>
      </w:r>
    </w:p>
    <w:p>
      <w:pPr>
        <w:pStyle w:val="BodyText"/>
      </w:pPr>
      <w:r>
        <w:rPr>
          <w:b/>
          <w:bCs/>
        </w:rPr>
        <w:t xml:space="preserve">Second</w:t>
      </w:r>
      <w:r>
        <w:t xml:space="preserve">, the book analyzes the financing mechanism itself — the intermediation infrastructure through which capital reaches strategic technologies. This infrastructure has undergone a structural transformation. Commercial banks, constrained by Basel III/IV regulation and risk aversion, have retreated from long-term capital expenditure lending. Their place has been taken by a new architecture: private credit (from $500 billion in 2010 to over $1.5 trillion in 2024), private equity infrastructure funds (BlackRock, KKR, Brookfield entering data centers and energy), sovereign wealth funds, and — critically — development banks and state guarantees. The book examines how development banks (KfW, EIB, JBIC, KDB, China Development Bank) function as</w:t>
      </w:r>
      <w:r>
        <w:t xml:space="preserve"> </w:t>
      </w:r>
      <w:r>
        <w:t xml:space="preserve">“de-risking agents,”</w:t>
      </w:r>
      <w:r>
        <w:t xml:space="preserve"> </w:t>
      </w:r>
      <w:r>
        <w:t xml:space="preserve">transforming projects from unfundable to bankable through first-loss positions, political risk guarantees, and subordinated debt. It introduces the concept of the state as</w:t>
      </w:r>
      <w:r>
        <w:t xml:space="preserve"> </w:t>
      </w:r>
      <w:r>
        <w:t xml:space="preserve">“risk wrapper provider”</w:t>
      </w:r>
      <w:r>
        <w:t xml:space="preserve"> </w:t>
      </w:r>
      <w:r>
        <w:t xml:space="preserve">— not a direct investor, but a guarantor whose implicit and explicit commitments (CHIPS Act, EU Chips Act, Japan’s semiconductor subsidies) make private investment possible, while creating hidden contingent fiscal liabilities of uncertain magnitude.</w:t>
      </w:r>
    </w:p>
    <w:p>
      <w:pPr>
        <w:pStyle w:val="BodyText"/>
      </w:pPr>
      <w:r>
        <w:rPr>
          <w:b/>
          <w:bCs/>
        </w:rPr>
        <w:t xml:space="preserve">Third</w:t>
      </w:r>
      <w:r>
        <w:t xml:space="preserve">, the book traces the consequences — how capital allocation capacity translates into global hierarchy through eight causal mechanisms: materialization (capital becomes infrastructure), path dependency (infrastructure creates durable facts), the competence spiral (building generates tacit knowledge), rent extraction (chokepoint control generates monopolistic returns), risk architecture (financing structures determine who bears losses), temporal advantage (capital enables speed), geopolitical projection (investment creates political dependencies), and cumulation (capital reproduces itself, widening gaps). These mechanisms are documented empirically through cases including Taiwan/TSMC (materialization and path dependency), Europe’s semiconductor trajectory (missed windows and late response), and Nvidia’s ecosystem dominance (competence spiral producing 70%+ gross margins).</w:t>
      </w:r>
    </w:p>
    <w:p>
      <w:pPr>
        <w:pStyle w:val="BodyText"/>
      </w:pPr>
      <w:r>
        <w:t xml:space="preserve">Applying the CAC framework globally, the book constructs a six-tier hierarchy:</w:t>
      </w:r>
      <w:r>
        <w:t xml:space="preserve"> </w:t>
      </w:r>
      <w:r>
        <w:rPr>
          <w:b/>
          <w:bCs/>
        </w:rPr>
        <w:t xml:space="preserve">AI Capital Hubs</w:t>
      </w:r>
      <w:r>
        <w:t xml:space="preserve"> </w:t>
      </w:r>
      <w:r>
        <w:t xml:space="preserve">(the United States as the only complete center),</w:t>
      </w:r>
      <w:r>
        <w:t xml:space="preserve"> </w:t>
      </w:r>
      <w:r>
        <w:rPr>
          <w:b/>
          <w:bCs/>
        </w:rPr>
        <w:t xml:space="preserve">Specialized Nodes</w:t>
      </w:r>
      <w:r>
        <w:t xml:space="preserve"> </w:t>
      </w:r>
      <w:r>
        <w:t xml:space="preserve">(Taiwan, South Korea, the Netherlands, Japan — controlling critical chokepoints),</w:t>
      </w:r>
      <w:r>
        <w:t xml:space="preserve"> </w:t>
      </w:r>
      <w:r>
        <w:rPr>
          <w:b/>
          <w:bCs/>
        </w:rPr>
        <w:t xml:space="preserve">Aspirational Followers</w:t>
      </w:r>
      <w:r>
        <w:t xml:space="preserve"> </w:t>
      </w:r>
      <w:r>
        <w:t xml:space="preserve">(the EU, India — possessing partial capabilities but structural gaps),</w:t>
      </w:r>
      <w:r>
        <w:t xml:space="preserve"> </w:t>
      </w:r>
      <w:r>
        <w:rPr>
          <w:b/>
          <w:bCs/>
        </w:rPr>
        <w:t xml:space="preserve">Resource Suppliers</w:t>
      </w:r>
      <w:r>
        <w:t xml:space="preserve"> </w:t>
      </w:r>
      <w:r>
        <w:t xml:space="preserve">(Australia, Chile, DRC, Gulf states — holding inputs but lacking allocation capacity),</w:t>
      </w:r>
      <w:r>
        <w:t xml:space="preserve"> </w:t>
      </w:r>
      <w:r>
        <w:rPr>
          <w:b/>
          <w:bCs/>
        </w:rPr>
        <w:t xml:space="preserve">Service Consumers</w:t>
      </w:r>
      <w:r>
        <w:t xml:space="preserve"> </w:t>
      </w:r>
      <w:r>
        <w:t xml:space="preserve">(Central Europe, Southeast Asia, Latin America, most of Africa — purchasing AI services without building domestic capacity), and</w:t>
      </w:r>
      <w:r>
        <w:t xml:space="preserve"> </w:t>
      </w:r>
      <w:r>
        <w:rPr>
          <w:b/>
          <w:bCs/>
        </w:rPr>
        <w:t xml:space="preserve">Excluded</w:t>
      </w:r>
      <w:r>
        <w:t xml:space="preserve"> </w:t>
      </w:r>
      <w:r>
        <w:t xml:space="preserve">(Russia, Iran, North Korea — cut off from both technology and capital flows).</w:t>
      </w:r>
    </w:p>
    <w:p>
      <w:pPr>
        <w:pStyle w:val="BodyText"/>
      </w:pPr>
      <w:r>
        <w:t xml:space="preserve">The book concludes by examining systemic resilience. It identifies new sources of risk — concentration in the Magnificent 7, opacity in private credit, hidden fiscal liabilities from state guarantees, financial fragmentation between Western and Chinese systems, and geopolitical risk as financial risk (a Taiwan contingency as a potential global shock). It also addresses the weakening of monetary policy transmission: the Federal Reserve raised rates from 0% to 5.5%, yet AI capital expenditure accelerated, because the dominant financing channels (internal cash flow, private credit, state guarantees) are largely rate-insensitive. The book presents five scenarios to 2035 and formulates policy implications tailored to each tier of the hierarchy.</w:t>
      </w:r>
    </w:p>
    <w:p>
      <w:pPr>
        <w:pStyle w:val="BodyText"/>
      </w:pPr>
      <w:r>
        <w:rPr>
          <w:b/>
          <w:bCs/>
        </w:rPr>
        <w:t xml:space="preserve">The Strategic Capital Order</w:t>
      </w:r>
      <w:r>
        <w:t xml:space="preserve"> </w:t>
      </w:r>
      <w:r>
        <w:t xml:space="preserve">makes several original contributions: a new analytical framework (CAC) with measurable dimensions enabling systematic cross-country comparison; the identification of eight causal mechanisms linking capital allocation to dominance; a systematic analysis of the transformation of financial intermediation and its implications for strategic technology investment; a perspective that includes not only leaders but aspirants, resource suppliers, and service consumers; and the identification of new systemic risks at the intersection of technology finance, geopolitics, and financial stability. The book is addressed to scholars in international political economy, global finance, and technology governance; to practitioners in investment, banking, and development finance; and to policymakers working on industrial policy, financial regulation, and strategic competition.</w:t>
      </w:r>
    </w:p>
    <w:p>
      <w:r>
        <w:pict>
          <v:rect style="width:0;height:1.5pt" o:hralign="center" o:hrstd="t" o:hr="t"/>
        </w:pict>
      </w:r>
    </w:p>
    <w:p>
      <w:pPr>
        <w:pStyle w:val="FirstParagraph"/>
      </w:pPr>
      <w:r>
        <w:rPr>
          <w:i/>
          <w:iCs/>
        </w:rPr>
        <w:t xml:space="preserve">Estimated length: ~144,000 words (~450 printed pages)</w:t>
      </w:r>
      <w:r>
        <w:t xml:space="preserve"> </w:t>
      </w:r>
      <w:r>
        <w:rPr>
          <w:i/>
          <w:iCs/>
        </w:rPr>
        <w:t xml:space="preserve">14 chapters across 6 parts plus introduction</w:t>
      </w:r>
    </w:p>
    <w:bookmarkEnd w:id="9"/>
    <w:bookmarkEnd w:id="1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2026-02-11T19:40:20Z</dcterms:created>
  <dcterms:modified xsi:type="dcterms:W3CDTF">2026-02-11T19:40:20Z</dcterms:modified>
</cp:coreProperties>
</file>

<file path=docProps/custom.xml><?xml version="1.0" encoding="utf-8"?>
<Properties xmlns="http://schemas.openxmlformats.org/officeDocument/2006/custom-properties" xmlns:vt="http://schemas.openxmlformats.org/officeDocument/2006/docPropsVTypes"/>
</file>