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original-contribution-to-knowledge"/>
    <w:p>
      <w:pPr>
        <w:pStyle w:val="Heading1"/>
      </w:pPr>
      <w:r>
        <w:t xml:space="preserve">Original Contribution to Knowledge</w:t>
      </w:r>
    </w:p>
    <w:bookmarkStart w:id="16" w:name="X65f780c30521fb98879175f077d0b3af39eef27"/>
    <w:p>
      <w:pPr>
        <w:pStyle w:val="Heading2"/>
      </w:pPr>
      <w:r>
        <w:t xml:space="preserve">The Strategic Capital Order: Finance, Technology, and the New Global Hierarchy</w:t>
      </w:r>
    </w:p>
    <w:p>
      <w:r>
        <w:pict>
          <v:rect style="width:0;height:1.5pt" o:hralign="center" o:hrstd="t" o:hr="t"/>
        </w:pict>
      </w:r>
    </w:p>
    <w:p>
      <w:pPr>
        <w:pStyle w:val="FirstParagraph"/>
      </w:pPr>
      <w:r>
        <w:t xml:space="preserve">This book makes six distinct contributions to the existing literature, each addressing a gap at the intersection of international political economy, global finance, and technology governance.</w:t>
      </w:r>
    </w:p>
    <w:bookmarkStart w:id="9" w:name="X8f278e536315e8fb96a13be494dceed7bbe4e86"/>
    <w:p>
      <w:pPr>
        <w:pStyle w:val="Heading3"/>
      </w:pPr>
      <w:r>
        <w:t xml:space="preserve">1. A New Analytical Framework: Capital Allocation Capacity (CAC)</w:t>
      </w:r>
    </w:p>
    <w:p>
      <w:pPr>
        <w:pStyle w:val="FirstParagraph"/>
      </w:pPr>
      <w:r>
        <w:t xml:space="preserve">The book’s primary contribution is the development of</w:t>
      </w:r>
      <w:r>
        <w:t xml:space="preserve"> </w:t>
      </w:r>
      <w:r>
        <w:rPr>
          <w:b/>
          <w:bCs/>
        </w:rPr>
        <w:t xml:space="preserve">Capital Allocation Capacity</w:t>
      </w:r>
      <w:r>
        <w:t xml:space="preserve"> </w:t>
      </w:r>
      <w:r>
        <w:t xml:space="preserve">as a measurable, multi-dimensional construct for explaining why some states can direct capital toward strategic technologies and others cannot. Existing frameworks capture elements of this dynamic but fail to integrate them:</w:t>
      </w:r>
    </w:p>
    <w:p>
      <w:pPr>
        <w:numPr>
          <w:ilvl w:val="0"/>
          <w:numId w:val="1001"/>
        </w:numPr>
      </w:pPr>
      <w:r>
        <w:rPr>
          <w:b/>
          <w:bCs/>
        </w:rPr>
        <w:t xml:space="preserve">Susan Strange’s structural power</w:t>
      </w:r>
      <w:r>
        <w:t xml:space="preserve"> </w:t>
      </w:r>
      <w:r>
        <w:t xml:space="preserve">(1988) identified finance and knowledge as two of the four structures of power in the international system. However, Strange’s framework predates the current technology-finance nexus and does not theorize the mechanisms through which financial capacity translates into technological dominance. The CAC framework operationalizes Strange’s intuition about financial structural power for the specific context of the AI-semiconductor-energy investment complex.</w:t>
      </w:r>
    </w:p>
    <w:p>
      <w:pPr>
        <w:numPr>
          <w:ilvl w:val="0"/>
          <w:numId w:val="1001"/>
        </w:numPr>
      </w:pPr>
      <w:r>
        <w:rPr>
          <w:b/>
          <w:bCs/>
        </w:rPr>
        <w:t xml:space="preserve">Henry Farrell and Abraham Newman’s weaponized interdependence</w:t>
      </w:r>
      <w:r>
        <w:t xml:space="preserve"> </w:t>
      </w:r>
      <w:r>
        <w:t xml:space="preserve">(2019) illuminates how network chokepoints in global supply chains can be exploited for coercive purposes. Their analysis focuses on the</w:t>
      </w:r>
      <w:r>
        <w:t xml:space="preserve"> </w:t>
      </w:r>
      <w:r>
        <w:rPr>
          <w:i/>
          <w:iCs/>
        </w:rPr>
        <w:t xml:space="preserve">use</w:t>
      </w:r>
      <w:r>
        <w:t xml:space="preserve"> </w:t>
      </w:r>
      <w:r>
        <w:t xml:space="preserve">of existing chokepoints but does not systematically address</w:t>
      </w:r>
      <w:r>
        <w:t xml:space="preserve"> </w:t>
      </w:r>
      <w:r>
        <w:rPr>
          <w:i/>
          <w:iCs/>
        </w:rPr>
        <w:t xml:space="preserve">how</w:t>
      </w:r>
      <w:r>
        <w:t xml:space="preserve"> </w:t>
      </w:r>
      <w:r>
        <w:t xml:space="preserve">these chokepoints were created through capital allocation decisions, or why some states can build new ones while others cannot.</w:t>
      </w:r>
    </w:p>
    <w:p>
      <w:pPr>
        <w:numPr>
          <w:ilvl w:val="0"/>
          <w:numId w:val="1001"/>
        </w:numPr>
      </w:pPr>
      <w:r>
        <w:rPr>
          <w:b/>
          <w:bCs/>
        </w:rPr>
        <w:t xml:space="preserve">Mariana Mazzucato’s entrepreneurial state</w:t>
      </w:r>
      <w:r>
        <w:t xml:space="preserve"> </w:t>
      </w:r>
      <w:r>
        <w:t xml:space="preserve">(2013) demonstrates that the state has historically been a major risk-taker and innovator. The CAC framework extends this by analyzing not only the state but the entire intermediation architecture (private credit, PE, development banks, guarantees) and, crucially, by tracing how state capacity translates into global hierarchy — a dimension largely absent from Mazzucato’s primarily domestic focus.</w:t>
      </w:r>
    </w:p>
    <w:p>
      <w:pPr>
        <w:numPr>
          <w:ilvl w:val="0"/>
          <w:numId w:val="1001"/>
        </w:numPr>
      </w:pPr>
      <w:r>
        <w:rPr>
          <w:b/>
          <w:bCs/>
        </w:rPr>
        <w:t xml:space="preserve">Daniela Gabor’s Wall Street Consensus</w:t>
      </w:r>
      <w:r>
        <w:t xml:space="preserve"> </w:t>
      </w:r>
      <w:r>
        <w:t xml:space="preserve">(2021) analyzes the de-risking state and the financialization of development policy. The CAC framework shares Gabor’s attention to risk transformation but extends the analysis from development finance to strategic technology capital, and introduces the five-dimensional country capacity construct that enables systematic cross-country comparison.</w:t>
      </w:r>
    </w:p>
    <w:p>
      <w:pPr>
        <w:numPr>
          <w:ilvl w:val="0"/>
          <w:numId w:val="1001"/>
        </w:numPr>
      </w:pPr>
      <w:r>
        <w:rPr>
          <w:b/>
          <w:bCs/>
        </w:rPr>
        <w:t xml:space="preserve">Carlota Perez’s technological revolutions and financial capital</w:t>
      </w:r>
      <w:r>
        <w:t xml:space="preserve"> </w:t>
      </w:r>
      <w:r>
        <w:t xml:space="preserve">(2002) provides the foundational analysis of how financial capital and technological innovation interact through installation and deployment phases. The CAC framework builds on Perez’s cyclical model but adds the geopolitical hierarchy dimension — who wins and who loses in each cycle — and updates the financial intermediation analysis for the post-2008 NBFI-dominated landscape.</w:t>
      </w:r>
    </w:p>
    <w:p>
      <w:pPr>
        <w:pStyle w:val="FirstParagraph"/>
      </w:pPr>
      <w:r>
        <w:t xml:space="preserve">CAC integrates what these frameworks treat separately: the financial infrastructure (Strange, Gabor), the value chain chokepoints (Farrell and Newman), the state’s role (Mazzucato), and the cyclical dynamics (Perez) into a single analytical construct with five measurable dimensions enabling systematic comparison across countries and prediction of developmental trajectories.</w:t>
      </w:r>
    </w:p>
    <w:bookmarkEnd w:id="9"/>
    <w:bookmarkStart w:id="10" w:name="Xb461d76122fd37a4c448bab0ef8cad0d8fffd24"/>
    <w:p>
      <w:pPr>
        <w:pStyle w:val="Heading3"/>
      </w:pPr>
      <w:r>
        <w:t xml:space="preserve">2. Operationalization with Measurable Indicators</w:t>
      </w:r>
    </w:p>
    <w:p>
      <w:pPr>
        <w:pStyle w:val="FirstParagraph"/>
      </w:pPr>
      <w:r>
        <w:t xml:space="preserve">Unlike much of the existing literature on structural power or technological sovereignty, the CAC framework is operationalized with specific indicators for each of its five dimensions. This enables: systematic cross-country comparisons using available data; construction of country typologies grounded in empirical profiles rather than ad hoc classification; identification of specific capacity gaps that constrain countries’ positioning; and longitudinal tracking of capacity development. The proposed typology — AI Capital Hubs, Specialized Nodes, Aspirational Followers, Resource Suppliers, Service Consumers, Excluded — is derived from empirical profiles, not imposed categorically.</w:t>
      </w:r>
    </w:p>
    <w:bookmarkEnd w:id="10"/>
    <w:bookmarkStart w:id="11" w:name="X008cdad50e0b161e43bcf3ff5c8a3fe896510b4"/>
    <w:p>
      <w:pPr>
        <w:pStyle w:val="Heading3"/>
      </w:pPr>
      <w:r>
        <w:t xml:space="preserve">3. Eight Causal Mechanisms Linking Capital Allocation to Dominance</w:t>
      </w:r>
    </w:p>
    <w:p>
      <w:pPr>
        <w:pStyle w:val="FirstParagraph"/>
      </w:pPr>
      <w:r>
        <w:t xml:space="preserve">Existing analyses of technology and power tend to assert rather than specify the mechanisms through which technological advantage translates into hierarchical position. The book identifies and empirically documents eight distinct causal mechanisms — materialization, path dependency, competence spiral, rent extraction, risk architecture, temporal advantage, geopolitical projection, and cumulation — and demonstrates their interaction. This mechanism-based approach enables not only explanation of existing hierarchies but prediction about their evolution.</w:t>
      </w:r>
    </w:p>
    <w:bookmarkEnd w:id="11"/>
    <w:bookmarkStart w:id="12" w:name="Xa44a643f6598eb7e1336a51f6a476711eb7c19b"/>
    <w:p>
      <w:pPr>
        <w:pStyle w:val="Heading3"/>
      </w:pPr>
      <w:r>
        <w:t xml:space="preserve">4. Systematic Analysis of Financial Intermediation Transformation</w:t>
      </w:r>
    </w:p>
    <w:p>
      <w:pPr>
        <w:pStyle w:val="FirstParagraph"/>
      </w:pPr>
      <w:r>
        <w:t xml:space="preserve">The shift from bank-dominated to NBFI-dominated financing of strategic technology is widely noted in financial industry analysis but has not been systematically studied from a political economy perspective. The book provides the first integrated analysis of how private credit ($1.5 trillion AUM), PE infrastructure funds, sovereign wealth funds, development banks, and state guarantees collectively constitute a new intermediation architecture for strategic technology capital — with implications for monetary policy transmission, systemic risk, and global hierarchy that existing analyses of each component in isolation do not capture.</w:t>
      </w:r>
    </w:p>
    <w:bookmarkEnd w:id="12"/>
    <w:bookmarkStart w:id="13" w:name="perspective-from-beyond-the-center"/>
    <w:p>
      <w:pPr>
        <w:pStyle w:val="Heading3"/>
      </w:pPr>
      <w:r>
        <w:t xml:space="preserve">5. Perspective from Beyond the Center</w:t>
      </w:r>
    </w:p>
    <w:p>
      <w:pPr>
        <w:pStyle w:val="FirstParagraph"/>
      </w:pPr>
      <w:r>
        <w:t xml:space="preserve">Most existing analyses of the AI/semiconductor investment wave are written from the perspective of the United States or, secondarily, China. The book systematically analyzes the experience and prospects of countries across all tiers of the hierarchy — including aspirants (EU, Japan, India), resource suppliers (Australia, Chile, DRC, Gulf states), service consumers (Central and Eastern Europe, Southeast Asia, Latin America), and the excluded (Russia post-2022). This perspective reveals dynamics invisible from the center: the structural constraints on</w:t>
      </w:r>
      <w:r>
        <w:t xml:space="preserve"> </w:t>
      </w:r>
      <w:r>
        <w:t xml:space="preserve">“catching up,”</w:t>
      </w:r>
      <w:r>
        <w:t xml:space="preserve"> </w:t>
      </w:r>
      <w:r>
        <w:t xml:space="preserve">the specific mechanisms of value extraction from peripheries, and the realistic (rather than aspirational) policy options available to countries at different positions in the hierarchy.</w:t>
      </w:r>
    </w:p>
    <w:bookmarkEnd w:id="13"/>
    <w:bookmarkStart w:id="14" w:name="identification-of-new-systemic-risks"/>
    <w:p>
      <w:pPr>
        <w:pStyle w:val="Heading3"/>
      </w:pPr>
      <w:r>
        <w:t xml:space="preserve">6. Identification of New Systemic Risks</w:t>
      </w:r>
    </w:p>
    <w:p>
      <w:pPr>
        <w:pStyle w:val="FirstParagraph"/>
      </w:pPr>
      <w:r>
        <w:t xml:space="preserve">The book identifies several sources of systemic risk that are not adequately addressed in the existing financial stability literature: the</w:t>
      </w:r>
      <w:r>
        <w:t xml:space="preserve"> </w:t>
      </w:r>
      <w:r>
        <w:t xml:space="preserve">“Too Big to Fail 2.0”</w:t>
      </w:r>
      <w:r>
        <w:t xml:space="preserve"> </w:t>
      </w:r>
      <w:r>
        <w:t xml:space="preserve">problem for technology corporations; opacity in private credit exposures to strategic technology; the accumulation of contingent fiscal liabilities from state guarantee programs (CHIPS Act, EU Chips Act) with no established reporting standards or stress-testing frameworks; and the potential for reinforcing interactions between geopolitical shocks, technology supply disruptions, financial market losses, and fiscal stress. These risks arise specifically from the intersection of technology concentration and financial intermediation transformation — a nexus that existing risk frameworks, designed for either technology governance or financial stability separately, do not adequately capture.</w:t>
      </w:r>
    </w:p>
    <w:p>
      <w:r>
        <w:pict>
          <v:rect style="width:0;height:1.5pt" o:hralign="center" o:hrstd="t" o:hr="t"/>
        </w:pict>
      </w:r>
    </w:p>
    <w:bookmarkEnd w:id="14"/>
    <w:bookmarkStart w:id="15" w:name="positioning-summary"/>
    <w:p>
      <w:pPr>
        <w:pStyle w:val="Heading3"/>
      </w:pPr>
      <w:r>
        <w:t xml:space="preserve">Positioning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Existing Framework</w:t>
            </w:r>
          </w:p>
        </w:tc>
        <w:tc>
          <w:tcPr/>
          <w:p>
            <w:pPr>
              <w:pStyle w:val="Compact"/>
            </w:pPr>
            <w:r>
              <w:t xml:space="preserve">Captures</w:t>
            </w:r>
          </w:p>
        </w:tc>
        <w:tc>
          <w:tcPr/>
          <w:p>
            <w:pPr>
              <w:pStyle w:val="Compact"/>
            </w:pPr>
            <w:r>
              <w:t xml:space="preserve">Misses</w:t>
            </w:r>
          </w:p>
        </w:tc>
        <w:tc>
          <w:tcPr/>
          <w:p>
            <w:pPr>
              <w:pStyle w:val="Compact"/>
            </w:pPr>
            <w:r>
              <w:t xml:space="preserve">CAC Adds</w:t>
            </w:r>
          </w:p>
        </w:tc>
      </w:tr>
      <w:tr>
        <w:tc>
          <w:tcPr/>
          <w:p>
            <w:pPr>
              <w:pStyle w:val="Compact"/>
            </w:pPr>
            <w:r>
              <w:t xml:space="preserve">Strange (structural power)</w:t>
            </w:r>
          </w:p>
        </w:tc>
        <w:tc>
          <w:tcPr/>
          <w:p>
            <w:pPr>
              <w:pStyle w:val="Compact"/>
            </w:pPr>
            <w:r>
              <w:t xml:space="preserve">Finance as power structure</w:t>
            </w:r>
          </w:p>
        </w:tc>
        <w:tc>
          <w:tcPr/>
          <w:p>
            <w:pPr>
              <w:pStyle w:val="Compact"/>
            </w:pPr>
            <w:r>
              <w:t xml:space="preserve">Technology-finance nexus specifics</w:t>
            </w:r>
          </w:p>
        </w:tc>
        <w:tc>
          <w:tcPr/>
          <w:p>
            <w:pPr>
              <w:pStyle w:val="Compact"/>
            </w:pPr>
            <w:r>
              <w:t xml:space="preserve">Operationalized five-dimension construct</w:t>
            </w:r>
          </w:p>
        </w:tc>
      </w:tr>
      <w:tr>
        <w:tc>
          <w:tcPr/>
          <w:p>
            <w:pPr>
              <w:pStyle w:val="Compact"/>
            </w:pPr>
            <w:r>
              <w:t xml:space="preserve">Farrell &amp; Newman (weaponized interdependence)</w:t>
            </w:r>
          </w:p>
        </w:tc>
        <w:tc>
          <w:tcPr/>
          <w:p>
            <w:pPr>
              <w:pStyle w:val="Compact"/>
            </w:pPr>
            <w:r>
              <w:t xml:space="preserve">Chokepoint exploitation</w:t>
            </w:r>
          </w:p>
        </w:tc>
        <w:tc>
          <w:tcPr/>
          <w:p>
            <w:pPr>
              <w:pStyle w:val="Compact"/>
            </w:pPr>
            <w:r>
              <w:t xml:space="preserve">How chokepoints are created through capital</w:t>
            </w:r>
          </w:p>
        </w:tc>
        <w:tc>
          <w:tcPr/>
          <w:p>
            <w:pPr>
              <w:pStyle w:val="Compact"/>
            </w:pPr>
            <w:r>
              <w:t xml:space="preserve">Capital allocation as origin of chokepoints</w:t>
            </w:r>
          </w:p>
        </w:tc>
      </w:tr>
      <w:tr>
        <w:tc>
          <w:tcPr/>
          <w:p>
            <w:pPr>
              <w:pStyle w:val="Compact"/>
            </w:pPr>
            <w:r>
              <w:t xml:space="preserve">Mazzucato (entrepreneurial state)</w:t>
            </w:r>
          </w:p>
        </w:tc>
        <w:tc>
          <w:tcPr/>
          <w:p>
            <w:pPr>
              <w:pStyle w:val="Compact"/>
            </w:pPr>
            <w:r>
              <w:t xml:space="preserve">State as risk-taker</w:t>
            </w:r>
          </w:p>
        </w:tc>
        <w:tc>
          <w:tcPr/>
          <w:p>
            <w:pPr>
              <w:pStyle w:val="Compact"/>
            </w:pPr>
            <w:r>
              <w:t xml:space="preserve">Full intermediation architecture; global hierarchy</w:t>
            </w:r>
          </w:p>
        </w:tc>
        <w:tc>
          <w:tcPr/>
          <w:p>
            <w:pPr>
              <w:pStyle w:val="Compact"/>
            </w:pPr>
            <w:r>
              <w:t xml:space="preserve">NBFI + development banks + guarantees + hierarchy</w:t>
            </w:r>
          </w:p>
        </w:tc>
      </w:tr>
      <w:tr>
        <w:tc>
          <w:tcPr/>
          <w:p>
            <w:pPr>
              <w:pStyle w:val="Compact"/>
            </w:pPr>
            <w:r>
              <w:t xml:space="preserve">Gabor (Wall Street Consensus)</w:t>
            </w:r>
          </w:p>
        </w:tc>
        <w:tc>
          <w:tcPr/>
          <w:p>
            <w:pPr>
              <w:pStyle w:val="Compact"/>
            </w:pPr>
            <w:r>
              <w:t xml:space="preserve">De-risking state in development</w:t>
            </w:r>
          </w:p>
        </w:tc>
        <w:tc>
          <w:tcPr/>
          <w:p>
            <w:pPr>
              <w:pStyle w:val="Compact"/>
            </w:pPr>
            <w:r>
              <w:t xml:space="preserve">Strategic technology capital; country comparison</w:t>
            </w:r>
          </w:p>
        </w:tc>
        <w:tc>
          <w:tcPr/>
          <w:p>
            <w:pPr>
              <w:pStyle w:val="Compact"/>
            </w:pPr>
            <w:r>
              <w:t xml:space="preserve">CAC as comparative framework across tiers</w:t>
            </w:r>
          </w:p>
        </w:tc>
      </w:tr>
      <w:tr>
        <w:tc>
          <w:tcPr/>
          <w:p>
            <w:pPr>
              <w:pStyle w:val="Compact"/>
            </w:pPr>
            <w:r>
              <w:t xml:space="preserve">Perez (technological revolutions)</w:t>
            </w:r>
          </w:p>
        </w:tc>
        <w:tc>
          <w:tcPr/>
          <w:p>
            <w:pPr>
              <w:pStyle w:val="Compact"/>
            </w:pPr>
            <w:r>
              <w:t xml:space="preserve">Finance-technology cycles</w:t>
            </w:r>
          </w:p>
        </w:tc>
        <w:tc>
          <w:tcPr/>
          <w:p>
            <w:pPr>
              <w:pStyle w:val="Compact"/>
            </w:pPr>
            <w:r>
              <w:t xml:space="preserve">Geopolitical hierarchy; post-2008 NBFI landscape</w:t>
            </w:r>
          </w:p>
        </w:tc>
        <w:tc>
          <w:tcPr/>
          <w:p>
            <w:pPr>
              <w:pStyle w:val="Compact"/>
            </w:pPr>
            <w:r>
              <w:t xml:space="preserve">Hierarchy dimension; updated intermediation</w:t>
            </w:r>
          </w:p>
        </w:tc>
      </w:tr>
      <w:tr>
        <w:tc>
          <w:tcPr/>
          <w:p>
            <w:pPr>
              <w:pStyle w:val="Compact"/>
            </w:pPr>
            <w:r>
              <w:t xml:space="preserve">Miller (Chip War)</w:t>
            </w:r>
          </w:p>
        </w:tc>
        <w:tc>
          <w:tcPr/>
          <w:p>
            <w:pPr>
              <w:pStyle w:val="Compact"/>
            </w:pPr>
            <w:r>
              <w:t xml:space="preserve">Semiconductor geopolitics narrative</w:t>
            </w:r>
          </w:p>
        </w:tc>
        <w:tc>
          <w:tcPr/>
          <w:p>
            <w:pPr>
              <w:pStyle w:val="Compact"/>
            </w:pPr>
            <w:r>
              <w:t xml:space="preserve">Financing mechanisms; analytical framework</w:t>
            </w:r>
          </w:p>
        </w:tc>
        <w:tc>
          <w:tcPr/>
          <w:p>
            <w:pPr>
              <w:pStyle w:val="Compact"/>
            </w:pPr>
            <w:r>
              <w:t xml:space="preserve">CAC framework; financial intermediation analysis</w:t>
            </w:r>
          </w:p>
        </w:tc>
      </w:tr>
      <w:tr>
        <w:tc>
          <w:tcPr/>
          <w:p>
            <w:pPr>
              <w:pStyle w:val="Compact"/>
            </w:pPr>
            <w:r>
              <w:t xml:space="preserve">Tooze (Crashed/Shutdown)</w:t>
            </w:r>
          </w:p>
        </w:tc>
        <w:tc>
          <w:tcPr/>
          <w:p>
            <w:pPr>
              <w:pStyle w:val="Compact"/>
            </w:pPr>
            <w:r>
              <w:t xml:space="preserve">Financial crisis dynamics</w:t>
            </w:r>
          </w:p>
        </w:tc>
        <w:tc>
          <w:tcPr/>
          <w:p>
            <w:pPr>
              <w:pStyle w:val="Compact"/>
            </w:pPr>
            <w:r>
              <w:t xml:space="preserve">Technology capital allocation; forward-looking hierarchy</w:t>
            </w:r>
          </w:p>
        </w:tc>
        <w:tc>
          <w:tcPr/>
          <w:p>
            <w:pPr>
              <w:pStyle w:val="Compact"/>
            </w:pPr>
            <w:r>
              <w:t xml:space="preserve">Strategic technology focus; CAC predictive capacity</w:t>
            </w:r>
          </w:p>
        </w:tc>
      </w:tr>
    </w:tbl>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2026-02-11T19:40:21Z</dcterms:created>
  <dcterms:modified xsi:type="dcterms:W3CDTF">2026-02-11T19:40:21Z</dcterms:modified>
</cp:coreProperties>
</file>

<file path=docProps/custom.xml><?xml version="1.0" encoding="utf-8"?>
<Properties xmlns="http://schemas.openxmlformats.org/officeDocument/2006/custom-properties" xmlns:vt="http://schemas.openxmlformats.org/officeDocument/2006/docPropsVTypes"/>
</file>