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he-strategic-capital-order"/>
    <w:p>
      <w:pPr>
        <w:pStyle w:val="Heading1"/>
      </w:pPr>
      <w:r>
        <w:t xml:space="preserve">The Strategic Capital Order</w:t>
      </w:r>
    </w:p>
    <w:bookmarkStart w:id="10" w:name="X5424758780f8db05adf7f12eb5822fe4e3c394d"/>
    <w:p>
      <w:pPr>
        <w:pStyle w:val="Heading2"/>
      </w:pPr>
      <w:r>
        <w:t xml:space="preserve">Finance, Technology, and the New Global Hierarchy</w:t>
      </w:r>
    </w:p>
    <w:bookmarkStart w:id="9" w:name="table-of-contents-with-chapter-summaries"/>
    <w:p>
      <w:pPr>
        <w:pStyle w:val="Heading3"/>
      </w:pPr>
      <w:r>
        <w:t xml:space="preserve">Table of Contents with Chapter Summaries</w:t>
      </w:r>
    </w:p>
    <w:p>
      <w:r>
        <w:pict>
          <v:rect style="width:0;height:1.5pt" o:hralign="center" o:hrstd="t" o:hr="t"/>
        </w:pict>
      </w:r>
    </w:p>
    <w:bookmarkEnd w:id="9"/>
    <w:bookmarkEnd w:id="10"/>
    <w:bookmarkStart w:id="11" w:name="Xab3995e8a78961e44ac4a48c917e202df315309"/>
    <w:p>
      <w:pPr>
        <w:pStyle w:val="Heading2"/>
      </w:pPr>
      <w:r>
        <w:t xml:space="preserve">Introduction: Strategic Capital as a Variable Shaping Global Order</w:t>
      </w:r>
    </w:p>
    <w:p>
      <w:pPr>
        <w:pStyle w:val="FirstParagraph"/>
      </w:pPr>
      <w:r>
        <w:rPr>
          <w:i/>
          <w:iCs/>
        </w:rPr>
        <w:t xml:space="preserve">(Estimated length: 10,000 words)</w:t>
      </w:r>
    </w:p>
    <w:p>
      <w:pPr>
        <w:pStyle w:val="BodyText"/>
      </w:pPr>
      <w:r>
        <w:t xml:space="preserve">The introduction presents the book’s central thesis and establishes its originality. It opens with the empirical puzzle: over $600 billion in annual hyperscaler capital expenditure, 30% of S&amp;P 500 capex concentrated in seven technology corporations, and AI-related investment estimated at 1.2% of US GDP. These figures are placed in historical perspective alongside previous episodes of massive capital reallocation — railway construction (1860–1890), electrification (1900–1930), and telecommunications (1990–2000). The chapter then formulates the central argument: position in the emerging global order is determined not by technology ownership as such, but by the</w:t>
      </w:r>
      <w:r>
        <w:t xml:space="preserve"> </w:t>
      </w:r>
      <w:r>
        <w:rPr>
          <w:b/>
          <w:bCs/>
        </w:rPr>
        <w:t xml:space="preserve">capacity to allocate capital</w:t>
      </w:r>
      <w:r>
        <w:t xml:space="preserve"> </w:t>
      </w:r>
      <w:r>
        <w:t xml:space="preserve">into strategic points of the value chain. This capacity encompasses capital mobilization (sources of funds), financing structuration (risk distribution), and flow direction (where capital ultimately lands). The introduction also introduces the book’s second analytical axis: the transformation of financial intermediation infrastructure itself — the shift from commercial banks to non-bank financial intermediation, the growing role of development banks, and the return of the state as guarantor of last resort. The chapter positions the book at the intersection of four literatures: the political economy of global finance (Strange, Helleiner, Cohen), global value chain studies (Gereffi, Baldwin), varieties of capitalism (Hall, Soskice), and financial systems and stability research (Minsky, Adrian, FSB).</w:t>
      </w:r>
    </w:p>
    <w:p>
      <w:r>
        <w:pict>
          <v:rect style="width:0;height:1.5pt" o:hralign="center" o:hrstd="t" o:hr="t"/>
        </w:pict>
      </w:r>
    </w:p>
    <w:bookmarkEnd w:id="11"/>
    <w:bookmarkStart w:id="14" w:name="part-i-theoretical-framework"/>
    <w:p>
      <w:pPr>
        <w:pStyle w:val="Heading2"/>
      </w:pPr>
      <w:r>
        <w:t xml:space="preserve">PART I: THEORETICAL FRAMEWORK</w:t>
      </w:r>
    </w:p>
    <w:bookmarkStart w:id="12" w:name="X087412d6c18d173e2ac06c754d37646c03c63bb"/>
    <w:p>
      <w:pPr>
        <w:pStyle w:val="Heading3"/>
      </w:pPr>
      <w:r>
        <w:t xml:space="preserve">Chapter 1: Capital Allocation as a Source of Dominance in the Global System</w:t>
      </w:r>
    </w:p>
    <w:p>
      <w:pPr>
        <w:pStyle w:val="FirstParagraph"/>
      </w:pPr>
      <w:r>
        <w:rPr>
          <w:i/>
          <w:iCs/>
        </w:rPr>
        <w:t xml:space="preserve">(Estimated length: 10,000 words)</w:t>
      </w:r>
    </w:p>
    <w:p>
      <w:pPr>
        <w:pStyle w:val="BodyText"/>
      </w:pPr>
      <w:r>
        <w:t xml:space="preserve">This chapter develops the theoretical case for the book’s central claim: that the capacity to allocate capital — rather than possession of technology, talent, or raw materials — constitutes the fundamental determinant of position in the global hierarchy. The chapter identifies and analyzes eight causal mechanisms linking capital allocation to dominance: (1)</w:t>
      </w:r>
      <w:r>
        <w:t xml:space="preserve"> </w:t>
      </w:r>
      <w:r>
        <w:rPr>
          <w:b/>
          <w:bCs/>
        </w:rPr>
        <w:t xml:space="preserve">materialization</w:t>
      </w:r>
      <w:r>
        <w:t xml:space="preserve"> </w:t>
      </w:r>
      <w:r>
        <w:t xml:space="preserve">— capital transforms into physical infrastructure, determining what gets built, where, and for whom; (2)</w:t>
      </w:r>
      <w:r>
        <w:t xml:space="preserve"> </w:t>
      </w:r>
      <w:r>
        <w:rPr>
          <w:b/>
          <w:bCs/>
        </w:rPr>
        <w:t xml:space="preserve">path dependency</w:t>
      </w:r>
      <w:r>
        <w:t xml:space="preserve"> </w:t>
      </w:r>
      <w:r>
        <w:t xml:space="preserve">— once built, infrastructure creates durable facts lasting decades; (3)</w:t>
      </w:r>
      <w:r>
        <w:t xml:space="preserve"> </w:t>
      </w:r>
      <w:r>
        <w:rPr>
          <w:b/>
          <w:bCs/>
        </w:rPr>
        <w:t xml:space="preserve">competence spiral</w:t>
      </w:r>
      <w:r>
        <w:t xml:space="preserve"> </w:t>
      </w:r>
      <w:r>
        <w:t xml:space="preserve">— building generates tacit knowledge that cannot be acquired otherwise, creating a widening gap; (4)</w:t>
      </w:r>
      <w:r>
        <w:t xml:space="preserve"> </w:t>
      </w:r>
      <w:r>
        <w:rPr>
          <w:b/>
          <w:bCs/>
        </w:rPr>
        <w:t xml:space="preserve">rent extraction</w:t>
      </w:r>
      <w:r>
        <w:t xml:space="preserve"> </w:t>
      </w:r>
      <w:r>
        <w:t xml:space="preserve">— control over value chain chokepoints generates monopolistic rents; (5)</w:t>
      </w:r>
      <w:r>
        <w:t xml:space="preserve"> </w:t>
      </w:r>
      <w:r>
        <w:rPr>
          <w:b/>
          <w:bCs/>
        </w:rPr>
        <w:t xml:space="preserve">risk architecture</w:t>
      </w:r>
      <w:r>
        <w:t xml:space="preserve"> </w:t>
      </w:r>
      <w:r>
        <w:t xml:space="preserve">— financing structures determine who bears losses upon failure; (6)</w:t>
      </w:r>
      <w:r>
        <w:t xml:space="preserve"> </w:t>
      </w:r>
      <w:r>
        <w:rPr>
          <w:b/>
          <w:bCs/>
        </w:rPr>
        <w:t xml:space="preserve">temporal advantage</w:t>
      </w:r>
      <w:r>
        <w:t xml:space="preserve"> </w:t>
      </w:r>
      <w:r>
        <w:t xml:space="preserve">— rapid capital mobilization enables acceleration in the technology race; (7)</w:t>
      </w:r>
      <w:r>
        <w:t xml:space="preserve"> </w:t>
      </w:r>
      <w:r>
        <w:rPr>
          <w:b/>
          <w:bCs/>
        </w:rPr>
        <w:t xml:space="preserve">geopolitical projection</w:t>
      </w:r>
      <w:r>
        <w:t xml:space="preserve"> </w:t>
      </w:r>
      <w:r>
        <w:t xml:space="preserve">— investments create dependencies and political leverage; (8)</w:t>
      </w:r>
      <w:r>
        <w:t xml:space="preserve"> </w:t>
      </w:r>
      <w:r>
        <w:rPr>
          <w:b/>
          <w:bCs/>
        </w:rPr>
        <w:t xml:space="preserve">cumulation</w:t>
      </w:r>
      <w:r>
        <w:t xml:space="preserve"> </w:t>
      </w:r>
      <w:r>
        <w:t xml:space="preserve">— capital reproduces itself, deepening gaps between leaders and the rest. Each mechanism is illustrated empirically with cases from semiconductors, AI infrastructure, and energy. The chapter concludes with three testable hypotheses on the relationship between capital allocation capacity and global positioning.</w:t>
      </w:r>
    </w:p>
    <w:bookmarkEnd w:id="12"/>
    <w:bookmarkStart w:id="13" w:name="X33a1a8d908e1d86e95c1f1c88d6c74519cfa2b6"/>
    <w:p>
      <w:pPr>
        <w:pStyle w:val="Heading3"/>
      </w:pPr>
      <w:r>
        <w:t xml:space="preserve">Chapter 2: Capital Allocation Capacity — Operationalization and Measurement</w:t>
      </w:r>
    </w:p>
    <w:p>
      <w:pPr>
        <w:pStyle w:val="FirstParagraph"/>
      </w:pPr>
      <w:r>
        <w:rPr>
          <w:i/>
          <w:iCs/>
        </w:rPr>
        <w:t xml:space="preserve">(Estimated length: 10,000 words)</w:t>
      </w:r>
    </w:p>
    <w:p>
      <w:pPr>
        <w:pStyle w:val="BodyText"/>
      </w:pPr>
      <w:r>
        <w:t xml:space="preserve">This chapter transforms the theoretical concept into a measurable analytical construct enabling systematic cross-country comparisons. It introduces</w:t>
      </w:r>
      <w:r>
        <w:t xml:space="preserve"> </w:t>
      </w:r>
      <w:r>
        <w:rPr>
          <w:b/>
          <w:bCs/>
        </w:rPr>
        <w:t xml:space="preserve">Capital Allocation Capacity (CAC)</w:t>
      </w:r>
      <w:r>
        <w:t xml:space="preserve"> </w:t>
      </w:r>
      <w:r>
        <w:t xml:space="preserve">as a country’s ability to mobilize, structure, and direct capital into strategic points of future technology value chains. CAC is decomposed into five dimensions: (1)</w:t>
      </w:r>
      <w:r>
        <w:t xml:space="preserve"> </w:t>
      </w:r>
      <w:r>
        <w:rPr>
          <w:b/>
          <w:bCs/>
        </w:rPr>
        <w:t xml:space="preserve">Financial Capacity</w:t>
      </w:r>
      <w:r>
        <w:t xml:space="preserve"> </w:t>
      </w:r>
      <w:r>
        <w:t xml:space="preserve">— capital market depth, non-bank financial intermediation, development bank strength, fiscal capacity for guarantees, access to global capital flows; (2)</w:t>
      </w:r>
      <w:r>
        <w:t xml:space="preserve"> </w:t>
      </w:r>
      <w:r>
        <w:rPr>
          <w:b/>
          <w:bCs/>
        </w:rPr>
        <w:t xml:space="preserve">Technological Capacity</w:t>
      </w:r>
      <w:r>
        <w:t xml:space="preserve"> </w:t>
      </w:r>
      <w:r>
        <w:t xml:space="preserve">— position in the semiconductor value chain, data center infrastructure, AI talent base, R&amp;D capability; (3)</w:t>
      </w:r>
      <w:r>
        <w:t xml:space="preserve"> </w:t>
      </w:r>
      <w:r>
        <w:rPr>
          <w:b/>
          <w:bCs/>
        </w:rPr>
        <w:t xml:space="preserve">Resource Capacity</w:t>
      </w:r>
      <w:r>
        <w:t xml:space="preserve"> </w:t>
      </w:r>
      <w:r>
        <w:t xml:space="preserve">— access to critical minerals, energy, water, and physical space; (4)</w:t>
      </w:r>
      <w:r>
        <w:t xml:space="preserve"> </w:t>
      </w:r>
      <w:r>
        <w:rPr>
          <w:b/>
          <w:bCs/>
        </w:rPr>
        <w:t xml:space="preserve">Institutional Capacity</w:t>
      </w:r>
      <w:r>
        <w:t xml:space="preserve"> </w:t>
      </w:r>
      <w:r>
        <w:t xml:space="preserve">— regulatory stability, bureaucratic efficiency, IP protection, industrial policy coherence, megaproject management; (5)</w:t>
      </w:r>
      <w:r>
        <w:t xml:space="preserve"> </w:t>
      </w:r>
      <w:r>
        <w:rPr>
          <w:b/>
          <w:bCs/>
        </w:rPr>
        <w:t xml:space="preserve">Geopolitical Capacity</w:t>
      </w:r>
      <w:r>
        <w:t xml:space="preserve"> </w:t>
      </w:r>
      <w:r>
        <w:t xml:space="preserve">— alliance membership, access to advanced technologies, security guarantees, negotiating leverage, geopolitical risk exposure. The chapter presents aggregation methodology and constructs a six-tier country typology: AI Capital Hubs, Specialized Nodes, Aspirational Followers, Resource Suppliers, Service Consumers, and Excluded. A preliminary application to 30 countries demonstrates the framework’s analytical power.</w:t>
      </w:r>
    </w:p>
    <w:p>
      <w:r>
        <w:pict>
          <v:rect style="width:0;height:1.5pt" o:hralign="center" o:hrstd="t" o:hr="t"/>
        </w:pict>
      </w:r>
    </w:p>
    <w:bookmarkEnd w:id="13"/>
    <w:bookmarkEnd w:id="14"/>
    <w:bookmarkStart w:id="17" w:name="X0cf28abd4c617f2f6aa5fab9b6ec20cdeb44bf6"/>
    <w:p>
      <w:pPr>
        <w:pStyle w:val="Heading2"/>
      </w:pPr>
      <w:r>
        <w:t xml:space="preserve">PART II: THE OBJECT OF FINANCING — STRATEGIC TECHNOLOGY CAPITAL</w:t>
      </w:r>
    </w:p>
    <w:bookmarkStart w:id="15" w:name="Xaa7f29b1571457b723be05c02a0d54f4832ace5"/>
    <w:p>
      <w:pPr>
        <w:pStyle w:val="Heading3"/>
      </w:pPr>
      <w:r>
        <w:t xml:space="preserve">Chapter 3: Strategic Technology Capital — Scale, Structure, Dynamics</w:t>
      </w:r>
    </w:p>
    <w:p>
      <w:pPr>
        <w:pStyle w:val="FirstParagraph"/>
      </w:pPr>
      <w:r>
        <w:rPr>
          <w:i/>
          <w:iCs/>
        </w:rPr>
        <w:t xml:space="preserve">(Estimated length: 10,000 words)</w:t>
      </w:r>
    </w:p>
    <w:p>
      <w:pPr>
        <w:pStyle w:val="BodyText"/>
      </w:pPr>
      <w:r>
        <w:t xml:space="preserve">This chapter documents the scale and structure of global capital flows into strategic technologies, arguing that AI, semiconductors, energy infrastructure, and critical minerals must be understood as an integrated investment complex. It presents aggregate data: hyperscaler capex exceeding $600 billion annually, projected corporate bond issuance of $1.5 trillion over five years (J.P. Morgan estimates), semiconductor fabrication investment exceeding $200 billion annually concentrated in three geographies, rising data center energy demand (100+ MW per large facility), and critical mineral processing dominated by China (85% of rare earth elements, 70%+ of lithium). The chapter then demonstrates the integration of these sectors into a single value chain — from critical minerals through chip fabrication to AI models and applications — where each level requires massive capital expenditure and depends on all others. A historical comparison using the Macrohistory Database and BEA data argues that the current investment wave surpasses the railway, electrification, and telecommunications booms as a share of GDP in the early cycle phase.</w:t>
      </w:r>
    </w:p>
    <w:bookmarkEnd w:id="15"/>
    <w:bookmarkStart w:id="16" w:name="X9d5297e6d67173f4b7732d2807964fc06efee22"/>
    <w:p>
      <w:pPr>
        <w:pStyle w:val="Heading3"/>
      </w:pPr>
      <w:r>
        <w:t xml:space="preserve">Chapter 4: Value Chain Architecture and Control Points</w:t>
      </w:r>
    </w:p>
    <w:p>
      <w:pPr>
        <w:pStyle w:val="FirstParagraph"/>
      </w:pPr>
      <w:r>
        <w:rPr>
          <w:i/>
          <w:iCs/>
        </w:rPr>
        <w:t xml:space="preserve">(Estimated length: 9,000 words)</w:t>
      </w:r>
    </w:p>
    <w:p>
      <w:pPr>
        <w:pStyle w:val="BodyText"/>
      </w:pPr>
      <w:r>
        <w:t xml:space="preserve">This chapter maps the global strategic technology value chain, identifying chokepoints and analyzing their economics and hierarchical implications. Key chokepoints are examined in detail: TSMC (90% of global advanced chip production below 7nm), ASML (100% of EUV lithography equipment), Nvidia (dominant AI training GPUs with 70%+ gross margins), and Chinese rare earth processing (85% global share). The chapter develops the economics of chokepoints — high entry barriers, constrained supply, inelastic demand producing monopolistic/oligopolistic rents — and traces capital flows through these bottlenecks, analyzing who finances TSMC, ASML, and rare earth extraction. The chapter argues that control over chokepoints requires capital (building a leading-edge fab costs $20–50 billion), and that countries without allocation capacity cannot control chokepoints, while those who do gain geopolitical leverage disproportionate to their size.</w:t>
      </w:r>
    </w:p>
    <w:p>
      <w:r>
        <w:pict>
          <v:rect style="width:0;height:1.5pt" o:hralign="center" o:hrstd="t" o:hr="t"/>
        </w:pict>
      </w:r>
    </w:p>
    <w:bookmarkEnd w:id="16"/>
    <w:bookmarkEnd w:id="17"/>
    <w:bookmarkStart w:id="21" w:name="X29dcc8535b28a30be1848eae4ef6179df4a61e1"/>
    <w:p>
      <w:pPr>
        <w:pStyle w:val="Heading2"/>
      </w:pPr>
      <w:r>
        <w:t xml:space="preserve">PART III: THE FINANCING MECHANISM — INTERMEDIATION INFRASTRUCTURE</w:t>
      </w:r>
    </w:p>
    <w:bookmarkStart w:id="18" w:name="X50eb47c6f156b4eed4c371ebf4254d5af831f4e"/>
    <w:p>
      <w:pPr>
        <w:pStyle w:val="Heading3"/>
      </w:pPr>
      <w:r>
        <w:t xml:space="preserve">Chapter 5: The Transformation of Global Financial Intermediation</w:t>
      </w:r>
    </w:p>
    <w:p>
      <w:pPr>
        <w:pStyle w:val="FirstParagraph"/>
      </w:pPr>
      <w:r>
        <w:rPr>
          <w:i/>
          <w:iCs/>
        </w:rPr>
        <w:t xml:space="preserve">(Estimated length: 10,000 words)</w:t>
      </w:r>
    </w:p>
    <w:p>
      <w:pPr>
        <w:pStyle w:val="BodyText"/>
      </w:pPr>
      <w:r>
        <w:t xml:space="preserve">This chapter documents the structural shift from commercial banks to non-bank financial intermediation (NBFI) as the dominant source of long-term capital investment financing. It traces the retreat of commercial banks from long-term capex lending driven by Basel III/IV regulatory requirements and the structural mismatch between bank business models and the 10–20-year horizons, technology risk, and cash flow uncertainty of AI infrastructure. The chapter documents the rise of private credit (from ~$500 billion AUM in 2010 to over $1.5 trillion in 2024, projected $2.5–3 trillion by 2030), the transformation of private equity from leveraged buyouts to infrastructure plays (BlackRock acquiring Global Infrastructure Partners; KKR, Brookfield, Macquarie in data centers), and the emerging</w:t>
      </w:r>
      <w:r>
        <w:t xml:space="preserve"> </w:t>
      </w:r>
      <w:r>
        <w:t xml:space="preserve">“patient capital”</w:t>
      </w:r>
      <w:r>
        <w:t xml:space="preserve"> </w:t>
      </w:r>
      <w:r>
        <w:t xml:space="preserve">model with 15–25-year horizons. It maps the new financing architecture — from hyperscaler internal cash flow (94% of operating cash flow reinvested) through corporate bonds ($75 billion in Big Tech issuance in Q4 2025) to sovereign wealth funds and state guarantees — and compares structures across the US, Europe, developed Asia, and China.</w:t>
      </w:r>
    </w:p>
    <w:bookmarkEnd w:id="18"/>
    <w:bookmarkStart w:id="19" w:name="Xabfab8f5f2e12383056b9cf9b3f88dfa9a57499"/>
    <w:p>
      <w:pPr>
        <w:pStyle w:val="Heading3"/>
      </w:pPr>
      <w:r>
        <w:t xml:space="preserve">Chapter 6: Development Banks as Architects of Risk Transformation</w:t>
      </w:r>
    </w:p>
    <w:p>
      <w:pPr>
        <w:pStyle w:val="FirstParagraph"/>
      </w:pPr>
      <w:r>
        <w:rPr>
          <w:i/>
          <w:iCs/>
        </w:rPr>
        <w:t xml:space="preserve">(Estimated length: 9,000 words)</w:t>
      </w:r>
    </w:p>
    <w:p>
      <w:pPr>
        <w:pStyle w:val="BodyText"/>
      </w:pPr>
      <w:r>
        <w:t xml:space="preserve">This chapter analyzes the growing role of national and multilateral development banks (NDBs/MDBs) as institutions that transform the risk profile of strategic projects, making them acceptable to private capital. It moves beyond the traditional view of development banks as gap-fillers to present them as</w:t>
      </w:r>
      <w:r>
        <w:t xml:space="preserve"> </w:t>
      </w:r>
      <w:r>
        <w:t xml:space="preserve">“de-risking agents”</w:t>
      </w:r>
      <w:r>
        <w:t xml:space="preserve"> </w:t>
      </w:r>
      <w:r>
        <w:t xml:space="preserve">in strategic technology finance. The chapter examines five major institutions: KfW (~EUR 550 billion assets), EIB (~EUR 550 billion), JBIC (strategic export-import mandate), KDB (historically central to Korean chaebol development), and China Development Bank (trillions in assets, Belt and Road instrument). It analyzes the mechanics of risk transformation — first-loss tranches, political risk guarantees, subordinated debt positions — showing how NDB involvement converts projects from</w:t>
      </w:r>
      <w:r>
        <w:t xml:space="preserve"> </w:t>
      </w:r>
      <w:r>
        <w:t xml:space="preserve">“unfundable”</w:t>
      </w:r>
      <w:r>
        <w:t xml:space="preserve"> </w:t>
      </w:r>
      <w:r>
        <w:t xml:space="preserve">to</w:t>
      </w:r>
      <w:r>
        <w:t xml:space="preserve"> </w:t>
      </w:r>
      <w:r>
        <w:t xml:space="preserve">“bankable.”</w:t>
      </w:r>
      <w:r>
        <w:t xml:space="preserve"> </w:t>
      </w:r>
      <w:r>
        <w:t xml:space="preserve">The chapter argues that NDB capacity has become a source of global hierarchy in itself: countries with strong development banks can attract strategic projects; those without them depend on foreign investors’ terms.</w:t>
      </w:r>
    </w:p>
    <w:bookmarkEnd w:id="19"/>
    <w:bookmarkStart w:id="20" w:name="X58a65804015053b947662dd2cbd823b79fe4d62"/>
    <w:p>
      <w:pPr>
        <w:pStyle w:val="Heading3"/>
      </w:pPr>
      <w:r>
        <w:t xml:space="preserve">Chapter 7: The State as Guarantor of Last Resort</w:t>
      </w:r>
    </w:p>
    <w:p>
      <w:pPr>
        <w:pStyle w:val="FirstParagraph"/>
      </w:pPr>
      <w:r>
        <w:rPr>
          <w:i/>
          <w:iCs/>
        </w:rPr>
        <w:t xml:space="preserve">(Estimated length: 9,000 words)</w:t>
      </w:r>
    </w:p>
    <w:p>
      <w:pPr>
        <w:pStyle w:val="BodyText"/>
      </w:pPr>
      <w:r>
        <w:t xml:space="preserve">This chapter analyzes the return of the state not as a direct investor but as a provider of guarantees and</w:t>
      </w:r>
      <w:r>
        <w:t xml:space="preserve"> </w:t>
      </w:r>
      <w:r>
        <w:t xml:space="preserve">“risk wrappers”</w:t>
      </w:r>
      <w:r>
        <w:t xml:space="preserve"> </w:t>
      </w:r>
      <w:r>
        <w:t xml:space="preserve">that enable private investment in strategic technologies. It uses the CHIPS and Science Act ($52 billion in subsidies plus 25% investment tax credit) as the paradigmatic case, showing how the state transforms the risk profile of Intel, TSMC, and Samsung projects in the US. The chapter then examines analogous programs globally: the EU Chips Act (EUR 43 billion), Japan’s semiconductor subsidies (3.9 trillion JPY), and Korea’s K-Chips Act. It introduces a taxonomy of risk wrappers (explicit guarantees, implicit guarantees, anchor buyer commitments, regulatory commitments, tax incentives, direct subsidies, first-loss capital) and analyzes the hidden fiscal dimension: contingent liabilities that do not appear in budgets but materialize upon project failure (estimated over $100 billion for the US alone from CHIPS Act and IRA). The chapter demonstrates that guarantee capacity varies dramatically between states and constitutes itself a source of hierarchy.</w:t>
      </w:r>
    </w:p>
    <w:p>
      <w:r>
        <w:pict>
          <v:rect style="width:0;height:1.5pt" o:hralign="center" o:hrstd="t" o:hr="t"/>
        </w:pict>
      </w:r>
    </w:p>
    <w:bookmarkEnd w:id="20"/>
    <w:bookmarkEnd w:id="21"/>
    <w:bookmarkStart w:id="24" w:name="part-iv-mechanisms-of-dominance"/>
    <w:p>
      <w:pPr>
        <w:pStyle w:val="Heading2"/>
      </w:pPr>
      <w:r>
        <w:t xml:space="preserve">PART IV: MECHANISMS OF DOMINANCE</w:t>
      </w:r>
    </w:p>
    <w:bookmarkStart w:id="22" w:name="X694b10c86d8f1a23457f515cfabdcca0e085504"/>
    <w:p>
      <w:pPr>
        <w:pStyle w:val="Heading3"/>
      </w:pPr>
      <w:r>
        <w:t xml:space="preserve">Chapter 8: Materialization, Path Dependency, and the Competence Spiral</w:t>
      </w:r>
    </w:p>
    <w:p>
      <w:pPr>
        <w:pStyle w:val="FirstParagraph"/>
      </w:pPr>
      <w:r>
        <w:rPr>
          <w:i/>
          <w:iCs/>
        </w:rPr>
        <w:t xml:space="preserve">(Estimated length: 10,000 words)</w:t>
      </w:r>
    </w:p>
    <w:p>
      <w:pPr>
        <w:pStyle w:val="BodyText"/>
      </w:pPr>
      <w:r>
        <w:t xml:space="preserve">This chapter provides empirical evidence for three causal mechanisms.</w:t>
      </w:r>
      <w:r>
        <w:t xml:space="preserve"> </w:t>
      </w:r>
      <w:r>
        <w:rPr>
          <w:b/>
          <w:bCs/>
        </w:rPr>
        <w:t xml:space="preserve">Materialization</w:t>
      </w:r>
      <w:r>
        <w:t xml:space="preserve"> </w:t>
      </w:r>
      <w:r>
        <w:t xml:space="preserve">is documented through the Taiwan/TSMC case: from ITRI’s founding (1973) through TSMC’s establishment (1987) to current dominance in advanced nodes, showing how decades of capital allocation created a position that even $500 billion cannot replicate in a decade.</w:t>
      </w:r>
      <w:r>
        <w:t xml:space="preserve"> </w:t>
      </w:r>
      <w:r>
        <w:rPr>
          <w:b/>
          <w:bCs/>
        </w:rPr>
        <w:t xml:space="preserve">Path dependency</w:t>
      </w:r>
      <w:r>
        <w:t xml:space="preserve"> </w:t>
      </w:r>
      <w:r>
        <w:t xml:space="preserve">is demonstrated through Europe’s semiconductor trajectory: the 1990s–2000s under-investment in advanced logic, the shift to specialty semiconductors, and the current EU Chips Act as a potentially</w:t>
      </w:r>
      <w:r>
        <w:t xml:space="preserve"> </w:t>
      </w:r>
      <w:r>
        <w:t xml:space="preserve">“too little, too late”</w:t>
      </w:r>
      <w:r>
        <w:t xml:space="preserve"> </w:t>
      </w:r>
      <w:r>
        <w:t xml:space="preserve">attempt to reverse a three-decade trajectory.</w:t>
      </w:r>
      <w:r>
        <w:t xml:space="preserve"> </w:t>
      </w:r>
      <w:r>
        <w:rPr>
          <w:b/>
          <w:bCs/>
        </w:rPr>
        <w:t xml:space="preserve">The competence spiral</w:t>
      </w:r>
      <w:r>
        <w:t xml:space="preserve"> </w:t>
      </w:r>
      <w:r>
        <w:t xml:space="preserve">is analyzed through Nvidia’s trajectory: from GPU graphics to CUDA (2006) to AI training dominance (80%+ market share), showing how ecosystem advantages compound faster than hardware capabilities, producing margins (70%+) that both manifest and reinforce competitive advantage. The chapter formalizes the interaction between mechanisms: capital → infrastructure → production → tacit knowledge → better production → higher margins → more capital → more infrastructure (spiral), and demonstrates why latecomers face compounding disadvantages.</w:t>
      </w:r>
    </w:p>
    <w:bookmarkEnd w:id="22"/>
    <w:bookmarkStart w:id="23" w:name="Xc2770af1f19d3d6e308b8d705a1e9bd365c640d"/>
    <w:p>
      <w:pPr>
        <w:pStyle w:val="Heading3"/>
      </w:pPr>
      <w:r>
        <w:t xml:space="preserve">Chapter 9: Rent Extraction, Risk Architecture, and Geopolitical Projection</w:t>
      </w:r>
    </w:p>
    <w:p>
      <w:pPr>
        <w:pStyle w:val="FirstParagraph"/>
      </w:pPr>
      <w:r>
        <w:rPr>
          <w:i/>
          <w:iCs/>
        </w:rPr>
        <w:t xml:space="preserve">(Estimated length: 9,000 words)</w:t>
      </w:r>
    </w:p>
    <w:p>
      <w:pPr>
        <w:pStyle w:val="BodyText"/>
      </w:pPr>
      <w:r>
        <w:t xml:space="preserve">This chapter provides empirical evidence for three further mechanisms.</w:t>
      </w:r>
      <w:r>
        <w:t xml:space="preserve"> </w:t>
      </w:r>
      <w:r>
        <w:rPr>
          <w:b/>
          <w:bCs/>
        </w:rPr>
        <w:t xml:space="preserve">Rent extraction</w:t>
      </w:r>
      <w:r>
        <w:t xml:space="preserve"> </w:t>
      </w:r>
      <w:r>
        <w:t xml:space="preserve">is documented through margin analysis across the value chain — from rare earth mining (20–30% gross margins) through EUV equipment (50%+) and chip fabrication (50–55%) to GPU design (70%+) — showing that rents concentrate at chokepoints and that countries without domestic production import products with embedded rents.</w:t>
      </w:r>
      <w:r>
        <w:t xml:space="preserve"> </w:t>
      </w:r>
      <w:r>
        <w:rPr>
          <w:b/>
          <w:bCs/>
        </w:rPr>
        <w:t xml:space="preserve">Risk architecture</w:t>
      </w:r>
      <w:r>
        <w:t xml:space="preserve"> </w:t>
      </w:r>
      <w:r>
        <w:t xml:space="preserve">is analyzed through CHIPS Act financing structures, comparing how the US (state as guarantor), China (state as direct investor), and the EU (fragmented across member states) distribute risk differently, with implications for who bears losses upon failure.</w:t>
      </w:r>
      <w:r>
        <w:t xml:space="preserve"> </w:t>
      </w:r>
      <w:r>
        <w:rPr>
          <w:b/>
          <w:bCs/>
        </w:rPr>
        <w:t xml:space="preserve">Geopolitical projection</w:t>
      </w:r>
      <w:r>
        <w:t xml:space="preserve"> </w:t>
      </w:r>
      <w:r>
        <w:t xml:space="preserve">is examined through the lens of investment as influence: the US relocating supply chains from Taiwan to Arizona, China’s Belt and Road port investments, Japan’s JBIC-financed India/ASEAN push, and Gulf sovereign wealth fund diversification. The chapter argues that Taiwan’s TSMC represents an extreme case where investment created bidirectional geopolitical dependency: the US must defend Taiwan because it depends on TSMC.</w:t>
      </w:r>
    </w:p>
    <w:p>
      <w:r>
        <w:pict>
          <v:rect style="width:0;height:1.5pt" o:hralign="center" o:hrstd="t" o:hr="t"/>
        </w:pict>
      </w:r>
    </w:p>
    <w:bookmarkEnd w:id="23"/>
    <w:bookmarkEnd w:id="24"/>
    <w:bookmarkStart w:id="27" w:name="part-v-the-global-hierarchy"/>
    <w:p>
      <w:pPr>
        <w:pStyle w:val="Heading2"/>
      </w:pPr>
      <w:r>
        <w:t xml:space="preserve">PART V: THE GLOBAL HIERARCHY</w:t>
      </w:r>
    </w:p>
    <w:bookmarkStart w:id="25" w:name="Xec0d707d7ab25156962a35e77609f36e8662839"/>
    <w:p>
      <w:pPr>
        <w:pStyle w:val="Heading3"/>
      </w:pPr>
      <w:r>
        <w:t xml:space="preserve">Chapter 10: Capital Allocation Centers and Specialized Nodes</w:t>
      </w:r>
    </w:p>
    <w:p>
      <w:pPr>
        <w:pStyle w:val="FirstParagraph"/>
      </w:pPr>
      <w:r>
        <w:rPr>
          <w:i/>
          <w:iCs/>
        </w:rPr>
        <w:t xml:space="preserve">(Estimated length: 10,000 words)</w:t>
      </w:r>
    </w:p>
    <w:p>
      <w:pPr>
        <w:pStyle w:val="BodyText"/>
      </w:pPr>
      <w:r>
        <w:t xml:space="preserve">This chapter analyzes the countries at the top of the hierarchy. The</w:t>
      </w:r>
      <w:r>
        <w:t xml:space="preserve"> </w:t>
      </w:r>
      <w:r>
        <w:rPr>
          <w:b/>
          <w:bCs/>
        </w:rPr>
        <w:t xml:space="preserve">United States</w:t>
      </w:r>
      <w:r>
        <w:t xml:space="preserve"> </w:t>
      </w:r>
      <w:r>
        <w:t xml:space="preserve">is examined as the only complete allocation center: deepest capital markets globally, dominance in PE and private credit (60%+ global AUM), dollar reserve currency status, design leadership (Nvidia, AMD, Qualcomm, Apple), 54% of global data center capacity, and control over export controls — with the key limitation of manufacturing dependence on TSMC.</w:t>
      </w:r>
      <w:r>
        <w:t xml:space="preserve"> </w:t>
      </w:r>
      <w:r>
        <w:rPr>
          <w:b/>
          <w:bCs/>
        </w:rPr>
        <w:t xml:space="preserve">China</w:t>
      </w:r>
      <w:r>
        <w:t xml:space="preserve"> </w:t>
      </w:r>
      <w:r>
        <w:t xml:space="preserve">is analyzed as an aspiring center under pressure: massive state capital, strong in telecoms equipment and rare earth processing, but 3–4 generations behind in advanced semiconductors and constrained by sanctions cutting access to EUV and advanced chips, with an uncertain trajectory between catch-up success and entrenched gap.</w:t>
      </w:r>
      <w:r>
        <w:t xml:space="preserve"> </w:t>
      </w:r>
      <w:r>
        <w:rPr>
          <w:b/>
          <w:bCs/>
        </w:rPr>
        <w:t xml:space="preserve">Specialized nodes</w:t>
      </w:r>
      <w:r>
        <w:t xml:space="preserve"> </w:t>
      </w:r>
      <w:r>
        <w:t xml:space="preserve">are profiled: Taiwan (TSMC’s 90% advanced chip chokepoint creating extreme leverage despite small national scale and geopolitical risk), South Korea (Samsung/SK Hynix integrated with chaebol-KDB financial capacity), the Netherlands (ASML’s 100% EUV monopoly giving a small country outsized leverage), and Japan (equipment and materials chokepoints, attempting a comeback via Rapidus after losing its 1980s leadership).</w:t>
      </w:r>
    </w:p>
    <w:bookmarkEnd w:id="25"/>
    <w:bookmarkStart w:id="26" w:name="Xc2c09a80e0de2e9dfe819a2803dbf44050d1f3e"/>
    <w:p>
      <w:pPr>
        <w:pStyle w:val="Heading3"/>
      </w:pPr>
      <w:r>
        <w:t xml:space="preserve">Chapter 11: Aspirants, Resource Suppliers, and Service Consumers</w:t>
      </w:r>
    </w:p>
    <w:p>
      <w:pPr>
        <w:pStyle w:val="FirstParagraph"/>
      </w:pPr>
      <w:r>
        <w:rPr>
          <w:i/>
          <w:iCs/>
        </w:rPr>
        <w:t xml:space="preserve">(Estimated length: 10,000 words)</w:t>
      </w:r>
    </w:p>
    <w:p>
      <w:pPr>
        <w:pStyle w:val="BodyText"/>
      </w:pPr>
      <w:r>
        <w:t xml:space="preserve">This chapter analyzes countries below the hierarchy’s apex.</w:t>
      </w:r>
      <w:r>
        <w:t xml:space="preserve"> </w:t>
      </w:r>
      <w:r>
        <w:rPr>
          <w:b/>
          <w:bCs/>
        </w:rPr>
        <w:t xml:space="preserve">Aspirants</w:t>
      </w:r>
      <w:r>
        <w:t xml:space="preserve"> </w:t>
      </w:r>
      <w:r>
        <w:t xml:space="preserve">are examined through the EU’s</w:t>
      </w:r>
      <w:r>
        <w:t xml:space="preserve"> </w:t>
      </w:r>
      <w:r>
        <w:t xml:space="preserve">“digital sovereignty”</w:t>
      </w:r>
      <w:r>
        <w:t xml:space="preserve"> </w:t>
      </w:r>
      <w:r>
        <w:t xml:space="preserve">dilemma (fragmented capital markets, no hyperscalers, slow decision-making, but ASML and geopolitical alignment as assets), Japan’s attempted semiconductor comeback, and India’s realistic trajectory as</w:t>
      </w:r>
      <w:r>
        <w:t xml:space="preserve"> </w:t>
      </w:r>
      <w:r>
        <w:t xml:space="preserve">“AI back office”</w:t>
      </w:r>
      <w:r>
        <w:t xml:space="preserve"> </w:t>
      </w:r>
      <w:r>
        <w:t xml:space="preserve">rather than hardware producer despite talent and scale.</w:t>
      </w:r>
      <w:r>
        <w:t xml:space="preserve"> </w:t>
      </w:r>
      <w:r>
        <w:rPr>
          <w:b/>
          <w:bCs/>
        </w:rPr>
        <w:t xml:space="preserve">Resource suppliers</w:t>
      </w:r>
      <w:r>
        <w:t xml:space="preserve"> </w:t>
      </w:r>
      <w:r>
        <w:t xml:space="preserve">are analyzed through Australia (lithium, rare earths, strong institutions but limited processing), Chile (lithium nationalization, commodity trap risk), DRC (70% of global cobalt, extracted by Chinese firms, minimal institutional capacity), and Gulf states (petrodollar-to-AI transformation via sovereign wealth funds, constrained by absent tech base and talent).</w:t>
      </w:r>
      <w:r>
        <w:t xml:space="preserve"> </w:t>
      </w:r>
      <w:r>
        <w:rPr>
          <w:b/>
          <w:bCs/>
        </w:rPr>
        <w:t xml:space="preserve">Service consumers</w:t>
      </w:r>
      <w:r>
        <w:t xml:space="preserve"> </w:t>
      </w:r>
      <w:r>
        <w:t xml:space="preserve">— the largest category — are examined through the case of Poland and Central Europe: shallow capital markets, negligible chip production, limited AI ecosystems, but NATO/EU membership that does not translate into allocation capacity. The chapter argues that being a service consumer implies value transfer to hyperscaler headquarters, absence of competence accumulation, strategic dependency, and minimal negotiating leverage.</w:t>
      </w:r>
      <w:r>
        <w:t xml:space="preserve"> </w:t>
      </w:r>
      <w:r>
        <w:rPr>
          <w:b/>
          <w:bCs/>
        </w:rPr>
        <w:t xml:space="preserve">Excluded</w:t>
      </w:r>
      <w:r>
        <w:t xml:space="preserve"> </w:t>
      </w:r>
      <w:r>
        <w:t xml:space="preserve">countries (Russia post-2022, Iran, North Korea) are briefly characterized, with the argument that technological exclusion deepens over time.</w:t>
      </w:r>
    </w:p>
    <w:p>
      <w:r>
        <w:pict>
          <v:rect style="width:0;height:1.5pt" o:hralign="center" o:hrstd="t" o:hr="t"/>
        </w:pict>
      </w:r>
    </w:p>
    <w:bookmarkEnd w:id="26"/>
    <w:bookmarkEnd w:id="27"/>
    <w:bookmarkStart w:id="31" w:name="part-vi-system-resilience-and-outlook"/>
    <w:p>
      <w:pPr>
        <w:pStyle w:val="Heading2"/>
      </w:pPr>
      <w:r>
        <w:t xml:space="preserve">PART VI: SYSTEM RESILIENCE AND OUTLOOK</w:t>
      </w:r>
    </w:p>
    <w:bookmarkStart w:id="28" w:name="X5478e5ecc1a9f93091f1c418ad554640a83809e"/>
    <w:p>
      <w:pPr>
        <w:pStyle w:val="Heading3"/>
      </w:pPr>
      <w:r>
        <w:t xml:space="preserve">Chapter 12: Monetary Policy Transmission in a Disintermediated System</w:t>
      </w:r>
    </w:p>
    <w:p>
      <w:pPr>
        <w:pStyle w:val="FirstParagraph"/>
      </w:pPr>
      <w:r>
        <w:rPr>
          <w:i/>
          <w:iCs/>
        </w:rPr>
        <w:t xml:space="preserve">(Estimated length: 8,000 words)</w:t>
      </w:r>
    </w:p>
    <w:p>
      <w:pPr>
        <w:pStyle w:val="BodyText"/>
      </w:pPr>
      <w:r>
        <w:t xml:space="preserve">This chapter analyzes the implications of financial intermediation transformation for monetary policy effectiveness. It begins with the empirical puzzle: the Federal Reserve raised rates from 0% to 5.5% (2022–2023), yet AI capital expenditure accelerated rather than contracted. The chapter traces this to the new financing structure: hyperscalers finance from internal cash flow (rate-insensitive), private credit is less rate-sensitive than bank lending, state guarantees reduce effective capital costs, and investors accept lower returns in</w:t>
      </w:r>
      <w:r>
        <w:t xml:space="preserve"> </w:t>
      </w:r>
      <w:r>
        <w:t xml:space="preserve">“strategic sectors”</w:t>
      </w:r>
      <w:r>
        <w:t xml:space="preserve"> </w:t>
      </w:r>
      <w:r>
        <w:t xml:space="preserve">driven by fear of missing out and geopolitical urgency. The chapter maps the weakened transmission mechanism and raises questions about central bank mandates: if the largest source of investment demand is rate-insensitive, central banks lose a key policy lever. It identifies asymmetries between countries (the US with dominant NBFI has weaker bank-channel transmission; Europe with larger bank role has stronger but misdirected transmission) and formulates research questions for future investigation.</w:t>
      </w:r>
    </w:p>
    <w:bookmarkEnd w:id="28"/>
    <w:bookmarkStart w:id="29" w:name="chapter-13-new-sources-of-systemic-risk"/>
    <w:p>
      <w:pPr>
        <w:pStyle w:val="Heading3"/>
      </w:pPr>
      <w:r>
        <w:t xml:space="preserve">Chapter 13: New Sources of Systemic Risk</w:t>
      </w:r>
    </w:p>
    <w:p>
      <w:pPr>
        <w:pStyle w:val="FirstParagraph"/>
      </w:pPr>
      <w:r>
        <w:rPr>
          <w:i/>
          <w:iCs/>
        </w:rPr>
        <w:t xml:space="preserve">(Estimated length: 10,000 words)</w:t>
      </w:r>
    </w:p>
    <w:p>
      <w:pPr>
        <w:pStyle w:val="BodyText"/>
      </w:pPr>
      <w:r>
        <w:t xml:space="preserve">This chapter identifies and analyzes emerging systemic risks arising from the transformation of strategic technology financing.</w:t>
      </w:r>
      <w:r>
        <w:t xml:space="preserve"> </w:t>
      </w:r>
      <w:r>
        <w:rPr>
          <w:b/>
          <w:bCs/>
        </w:rPr>
        <w:t xml:space="preserve">Concentration risk</w:t>
      </w:r>
      <w:r>
        <w:t xml:space="preserve">: the Magnificent 7 account for ~40% of S&amp;P 500 capitalization and 30% of capex; household equity exposure (31% of assets) exceeds the dot-com peak (27%); a</w:t>
      </w:r>
      <w:r>
        <w:t xml:space="preserve"> </w:t>
      </w:r>
      <w:r>
        <w:t xml:space="preserve">“Too Big to Fail 2.0”</w:t>
      </w:r>
      <w:r>
        <w:t xml:space="preserve"> </w:t>
      </w:r>
      <w:r>
        <w:t xml:space="preserve">scenario for technology companies lacks the regulatory playbook developed for banks.</w:t>
      </w:r>
      <w:r>
        <w:t xml:space="preserve"> </w:t>
      </w:r>
      <w:r>
        <w:rPr>
          <w:b/>
          <w:bCs/>
        </w:rPr>
        <w:t xml:space="preserve">Opacity in private credit</w:t>
      </w:r>
      <w:r>
        <w:t xml:space="preserve">: leverage levels, covenant terms, and counterparty exposures are less transparent than in regulated banking; a crisis exposing hidden leverage could trigger asset sales without a central bank backstop.</w:t>
      </w:r>
      <w:r>
        <w:t xml:space="preserve"> </w:t>
      </w:r>
      <w:r>
        <w:rPr>
          <w:b/>
          <w:bCs/>
        </w:rPr>
        <w:t xml:space="preserve">Hidden fiscal liabilities</w:t>
      </w:r>
      <w:r>
        <w:t xml:space="preserve">: state guarantees for strategic technology projects totaling hundreds of billions do not appear in budgets and materialize upon project failure, creating unknown aggregate exposure.</w:t>
      </w:r>
      <w:r>
        <w:t xml:space="preserve"> </w:t>
      </w:r>
      <w:r>
        <w:rPr>
          <w:b/>
          <w:bCs/>
        </w:rPr>
        <w:t xml:space="preserve">Fragmentation risk</w:t>
      </w:r>
      <w:r>
        <w:t xml:space="preserve">: the emergence of parallel financial ecosystems (Western dollar-based and Chinese yuan-based) reduces crisis coordination capacity and fragments liquidity.</w:t>
      </w:r>
      <w:r>
        <w:t xml:space="preserve"> </w:t>
      </w:r>
      <w:r>
        <w:rPr>
          <w:b/>
          <w:bCs/>
        </w:rPr>
        <w:t xml:space="preserve">Geopolitical risk as financial risk</w:t>
      </w:r>
      <w:r>
        <w:t xml:space="preserve">: a Taiwan contingency would trigger a global chip shock cascading into tech valuations, private credit losses, guarantee activation, and fiscal stress in a reinforcing spiral. The chapter assesses system resilience: banks are more robust than 2008 (Basel III), but NBFI is less transparent and lacks backstops, states carry contingent liabilities, and global coordination is weaker than during the 2008–2009 crisis.</w:t>
      </w:r>
    </w:p>
    <w:bookmarkEnd w:id="29"/>
    <w:bookmarkStart w:id="30" w:name="chapter-14-scenarios-and-conclusions"/>
    <w:p>
      <w:pPr>
        <w:pStyle w:val="Heading3"/>
      </w:pPr>
      <w:r>
        <w:t xml:space="preserve">Chapter 14: Scenarios and Conclusions</w:t>
      </w:r>
    </w:p>
    <w:p>
      <w:pPr>
        <w:pStyle w:val="FirstParagraph"/>
      </w:pPr>
      <w:r>
        <w:rPr>
          <w:i/>
          <w:iCs/>
        </w:rPr>
        <w:t xml:space="preserve">(Estimated length: 10,000 words)</w:t>
      </w:r>
    </w:p>
    <w:p>
      <w:pPr>
        <w:pStyle w:val="BodyText"/>
      </w:pPr>
      <w:r>
        <w:t xml:space="preserve">This chapter formulates five scenarios for development to 2035: (1)</w:t>
      </w:r>
      <w:r>
        <w:t xml:space="preserve"> </w:t>
      </w:r>
      <w:r>
        <w:rPr>
          <w:b/>
          <w:bCs/>
        </w:rPr>
        <w:t xml:space="preserve">Hierarchy Consolidation</w:t>
      </w:r>
      <w:r>
        <w:t xml:space="preserve"> </w:t>
      </w:r>
      <w:r>
        <w:t xml:space="preserve">(35% probability) — US maintains dominance, China builds a partially isolated bloc, Europe remains an aspirant, the rest entrenches as consumers; (2)</w:t>
      </w:r>
      <w:r>
        <w:t xml:space="preserve"> </w:t>
      </w:r>
      <w:r>
        <w:rPr>
          <w:b/>
          <w:bCs/>
        </w:rPr>
        <w:t xml:space="preserve">Fragmentation with Tensions</w:t>
      </w:r>
      <w:r>
        <w:t xml:space="preserve"> </w:t>
      </w:r>
      <w:r>
        <w:t xml:space="preserve">(25%) — US-China escalation, two separate technology ecosystems, forced alignment choices; (3)</w:t>
      </w:r>
      <w:r>
        <w:t xml:space="preserve"> </w:t>
      </w:r>
      <w:r>
        <w:rPr>
          <w:b/>
          <w:bCs/>
        </w:rPr>
        <w:t xml:space="preserve">Systemic Crisis</w:t>
      </w:r>
      <w:r>
        <w:t xml:space="preserve"> </w:t>
      </w:r>
      <w:r>
        <w:t xml:space="preserve">(15%) — materialization of one or more risks triggers a global shock and system reorientation; (4)</w:t>
      </w:r>
      <w:r>
        <w:t xml:space="preserve"> </w:t>
      </w:r>
      <w:r>
        <w:rPr>
          <w:b/>
          <w:bCs/>
        </w:rPr>
        <w:t xml:space="preserve">European Awakening</w:t>
      </w:r>
      <w:r>
        <w:t xml:space="preserve"> </w:t>
      </w:r>
      <w:r>
        <w:t xml:space="preserve">(10%) — EU consolidates capital markets and industrial policy, partially ascending from aspirant to node; (5)</w:t>
      </w:r>
      <w:r>
        <w:t xml:space="preserve"> </w:t>
      </w:r>
      <w:r>
        <w:rPr>
          <w:b/>
          <w:bCs/>
        </w:rPr>
        <w:t xml:space="preserve">New Multilateralism</w:t>
      </w:r>
      <w:r>
        <w:t xml:space="preserve"> </w:t>
      </w:r>
      <w:r>
        <w:t xml:space="preserve">(15%) — recognition of shared threats leads to coordination and potentially a</w:t>
      </w:r>
      <w:r>
        <w:t xml:space="preserve"> </w:t>
      </w:r>
      <w:r>
        <w:t xml:space="preserve">“Bretton Woods for Technology Capital.”</w:t>
      </w:r>
      <w:r>
        <w:t xml:space="preserve"> </w:t>
      </w:r>
      <w:r>
        <w:t xml:space="preserve">The chapter synthesizes policy implications for each tier of the hierarchy: risk management and ally coordination for centers, maintained irreplaceability and geographic diversification for specialized nodes, realistic niche strategies and capital market integration for aspirants, domestic value addition and negotiating leverage for resource suppliers, talent investment and supplier diversification for service consumers, and global NBFI regulation and contingent liability standards for the international system. The chapter concludes with a research agenda addressing measurement, modeling, and data needs, and a reflection on capital allocation as a process shaping future global order.</w:t>
      </w:r>
    </w:p>
    <w:p>
      <w:r>
        <w:pict>
          <v:rect style="width:0;height:1.5pt" o:hralign="center" o:hrstd="t" o:hr="t"/>
        </w:pict>
      </w:r>
    </w:p>
    <w:bookmarkEnd w:id="30"/>
    <w:bookmarkEnd w:id="31"/>
    <w:bookmarkStart w:id="32" w:name="summary"/>
    <w:p>
      <w:pPr>
        <w:pStyle w:val="Heading2"/>
      </w:pPr>
      <w:r>
        <w:t xml:space="preserve">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w:t>
            </w:r>
          </w:p>
        </w:tc>
        <w:tc>
          <w:tcPr/>
          <w:p>
            <w:pPr>
              <w:pStyle w:val="Compact"/>
            </w:pPr>
            <w:r>
              <w:t xml:space="preserve">Title</w:t>
            </w:r>
          </w:p>
        </w:tc>
        <w:tc>
          <w:tcPr/>
          <w:p>
            <w:pPr>
              <w:pStyle w:val="Compact"/>
            </w:pPr>
            <w:r>
              <w:t xml:space="preserve">Chapters</w:t>
            </w:r>
          </w:p>
        </w:tc>
        <w:tc>
          <w:tcPr/>
          <w:p>
            <w:pPr>
              <w:pStyle w:val="Compact"/>
            </w:pPr>
            <w:r>
              <w:t xml:space="preserve">Estimated Length</w:t>
            </w:r>
          </w:p>
        </w:tc>
      </w:tr>
      <w:tr>
        <w:tc>
          <w:tcPr/>
          <w:p>
            <w:pPr>
              <w:pStyle w:val="Compact"/>
            </w:pPr>
            <w:r>
              <w:t xml:space="preserve">—</w:t>
            </w:r>
          </w:p>
        </w:tc>
        <w:tc>
          <w:tcPr/>
          <w:p>
            <w:pPr>
              <w:pStyle w:val="Compact"/>
            </w:pPr>
            <w:r>
              <w:t xml:space="preserve">Introduction</w:t>
            </w:r>
          </w:p>
        </w:tc>
        <w:tc>
          <w:tcPr/>
          <w:p>
            <w:pPr>
              <w:pStyle w:val="Compact"/>
            </w:pPr>
            <w:r>
              <w:t xml:space="preserve">—</w:t>
            </w:r>
          </w:p>
        </w:tc>
        <w:tc>
          <w:tcPr/>
          <w:p>
            <w:pPr>
              <w:pStyle w:val="Compact"/>
            </w:pPr>
            <w:r>
              <w:t xml:space="preserve">10,000 words</w:t>
            </w:r>
          </w:p>
        </w:tc>
      </w:tr>
      <w:tr>
        <w:tc>
          <w:tcPr/>
          <w:p>
            <w:pPr>
              <w:pStyle w:val="Compact"/>
            </w:pPr>
            <w:r>
              <w:t xml:space="preserve">I</w:t>
            </w:r>
          </w:p>
        </w:tc>
        <w:tc>
          <w:tcPr/>
          <w:p>
            <w:pPr>
              <w:pStyle w:val="Compact"/>
            </w:pPr>
            <w:r>
              <w:t xml:space="preserve">Theoretical Framework</w:t>
            </w:r>
          </w:p>
        </w:tc>
        <w:tc>
          <w:tcPr/>
          <w:p>
            <w:pPr>
              <w:pStyle w:val="Compact"/>
            </w:pPr>
            <w:r>
              <w:t xml:space="preserve">2</w:t>
            </w:r>
          </w:p>
        </w:tc>
        <w:tc>
          <w:tcPr/>
          <w:p>
            <w:pPr>
              <w:pStyle w:val="Compact"/>
            </w:pPr>
            <w:r>
              <w:t xml:space="preserve">20,000 words</w:t>
            </w:r>
          </w:p>
        </w:tc>
      </w:tr>
      <w:tr>
        <w:tc>
          <w:tcPr/>
          <w:p>
            <w:pPr>
              <w:pStyle w:val="Compact"/>
            </w:pPr>
            <w:r>
              <w:t xml:space="preserve">II</w:t>
            </w:r>
          </w:p>
        </w:tc>
        <w:tc>
          <w:tcPr/>
          <w:p>
            <w:pPr>
              <w:pStyle w:val="Compact"/>
            </w:pPr>
            <w:r>
              <w:t xml:space="preserve">The Object of Financing</w:t>
            </w:r>
          </w:p>
        </w:tc>
        <w:tc>
          <w:tcPr/>
          <w:p>
            <w:pPr>
              <w:pStyle w:val="Compact"/>
            </w:pPr>
            <w:r>
              <w:t xml:space="preserve">2</w:t>
            </w:r>
          </w:p>
        </w:tc>
        <w:tc>
          <w:tcPr/>
          <w:p>
            <w:pPr>
              <w:pStyle w:val="Compact"/>
            </w:pPr>
            <w:r>
              <w:t xml:space="preserve">19,000 words</w:t>
            </w:r>
          </w:p>
        </w:tc>
      </w:tr>
      <w:tr>
        <w:tc>
          <w:tcPr/>
          <w:p>
            <w:pPr>
              <w:pStyle w:val="Compact"/>
            </w:pPr>
            <w:r>
              <w:t xml:space="preserve">III</w:t>
            </w:r>
          </w:p>
        </w:tc>
        <w:tc>
          <w:tcPr/>
          <w:p>
            <w:pPr>
              <w:pStyle w:val="Compact"/>
            </w:pPr>
            <w:r>
              <w:t xml:space="preserve">The Financing Mechanism</w:t>
            </w:r>
          </w:p>
        </w:tc>
        <w:tc>
          <w:tcPr/>
          <w:p>
            <w:pPr>
              <w:pStyle w:val="Compact"/>
            </w:pPr>
            <w:r>
              <w:t xml:space="preserve">3</w:t>
            </w:r>
          </w:p>
        </w:tc>
        <w:tc>
          <w:tcPr/>
          <w:p>
            <w:pPr>
              <w:pStyle w:val="Compact"/>
            </w:pPr>
            <w:r>
              <w:t xml:space="preserve">28,000 words</w:t>
            </w:r>
          </w:p>
        </w:tc>
      </w:tr>
      <w:tr>
        <w:tc>
          <w:tcPr/>
          <w:p>
            <w:pPr>
              <w:pStyle w:val="Compact"/>
            </w:pPr>
            <w:r>
              <w:t xml:space="preserve">IV</w:t>
            </w:r>
          </w:p>
        </w:tc>
        <w:tc>
          <w:tcPr/>
          <w:p>
            <w:pPr>
              <w:pStyle w:val="Compact"/>
            </w:pPr>
            <w:r>
              <w:t xml:space="preserve">Mechanisms of Dominance</w:t>
            </w:r>
          </w:p>
        </w:tc>
        <w:tc>
          <w:tcPr/>
          <w:p>
            <w:pPr>
              <w:pStyle w:val="Compact"/>
            </w:pPr>
            <w:r>
              <w:t xml:space="preserve">2</w:t>
            </w:r>
          </w:p>
        </w:tc>
        <w:tc>
          <w:tcPr/>
          <w:p>
            <w:pPr>
              <w:pStyle w:val="Compact"/>
            </w:pPr>
            <w:r>
              <w:t xml:space="preserve">19,000 words</w:t>
            </w:r>
          </w:p>
        </w:tc>
      </w:tr>
      <w:tr>
        <w:tc>
          <w:tcPr/>
          <w:p>
            <w:pPr>
              <w:pStyle w:val="Compact"/>
            </w:pPr>
            <w:r>
              <w:t xml:space="preserve">V</w:t>
            </w:r>
          </w:p>
        </w:tc>
        <w:tc>
          <w:tcPr/>
          <w:p>
            <w:pPr>
              <w:pStyle w:val="Compact"/>
            </w:pPr>
            <w:r>
              <w:t xml:space="preserve">The Global Hierarchy</w:t>
            </w:r>
          </w:p>
        </w:tc>
        <w:tc>
          <w:tcPr/>
          <w:p>
            <w:pPr>
              <w:pStyle w:val="Compact"/>
            </w:pPr>
            <w:r>
              <w:t xml:space="preserve">2</w:t>
            </w:r>
          </w:p>
        </w:tc>
        <w:tc>
          <w:tcPr/>
          <w:p>
            <w:pPr>
              <w:pStyle w:val="Compact"/>
            </w:pPr>
            <w:r>
              <w:t xml:space="preserve">20,000 words</w:t>
            </w:r>
          </w:p>
        </w:tc>
      </w:tr>
      <w:tr>
        <w:tc>
          <w:tcPr/>
          <w:p>
            <w:pPr>
              <w:pStyle w:val="Compact"/>
            </w:pPr>
            <w:r>
              <w:t xml:space="preserve">VI</w:t>
            </w:r>
          </w:p>
        </w:tc>
        <w:tc>
          <w:tcPr/>
          <w:p>
            <w:pPr>
              <w:pStyle w:val="Compact"/>
            </w:pPr>
            <w:r>
              <w:t xml:space="preserve">Resilience and Outlook</w:t>
            </w:r>
          </w:p>
        </w:tc>
        <w:tc>
          <w:tcPr/>
          <w:p>
            <w:pPr>
              <w:pStyle w:val="Compact"/>
            </w:pPr>
            <w:r>
              <w:t xml:space="preserve">3</w:t>
            </w:r>
          </w:p>
        </w:tc>
        <w:tc>
          <w:tcPr/>
          <w:p>
            <w:pPr>
              <w:pStyle w:val="Compact"/>
            </w:pPr>
            <w:r>
              <w:t xml:space="preserve">28,000 words</w:t>
            </w:r>
          </w:p>
        </w:tc>
      </w:tr>
      <w:tr>
        <w:tc>
          <w:tcPr/>
          <w:p>
            <w:pPr>
              <w:pStyle w:val="Compact"/>
            </w:pPr>
            <w:r>
              <w:rPr>
                <w:b/>
                <w:bCs/>
              </w:rPr>
              <w:t xml:space="preserve">Total</w:t>
            </w:r>
          </w:p>
        </w:tc>
        <w:tc>
          <w:tcPr/>
          <w:p>
            <w:pPr>
              <w:pStyle w:val="Compact"/>
            </w:pPr>
          </w:p>
        </w:tc>
        <w:tc>
          <w:tcPr/>
          <w:p>
            <w:pPr>
              <w:pStyle w:val="Compact"/>
            </w:pPr>
            <w:r>
              <w:rPr>
                <w:b/>
                <w:bCs/>
              </w:rPr>
              <w:t xml:space="preserve">14 chapters</w:t>
            </w:r>
          </w:p>
        </w:tc>
        <w:tc>
          <w:tcPr/>
          <w:p>
            <w:pPr>
              <w:pStyle w:val="Compact"/>
            </w:pPr>
            <w:r>
              <w:rPr>
                <w:b/>
                <w:bCs/>
              </w:rPr>
              <w:t xml:space="preserve">~144,000 words</w:t>
            </w:r>
          </w:p>
        </w:tc>
      </w:tr>
    </w:tbl>
    <w:p>
      <w:pPr>
        <w:pStyle w:val="BodyText"/>
      </w:pPr>
      <w:r>
        <w:rPr>
          <w:b/>
          <w:bCs/>
        </w:rPr>
        <w:t xml:space="preserve">Estimated print length:</w:t>
      </w:r>
      <w:r>
        <w:t xml:space="preserve"> </w:t>
      </w:r>
      <w:r>
        <w:t xml:space="preserve">~450 pages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2026-02-11T19:40:21Z</dcterms:created>
  <dcterms:modified xsi:type="dcterms:W3CDTF">2026-02-11T19:40:21Z</dcterms:modified>
</cp:coreProperties>
</file>

<file path=docProps/custom.xml><?xml version="1.0" encoding="utf-8"?>
<Properties xmlns="http://schemas.openxmlformats.org/officeDocument/2006/custom-properties" xmlns:vt="http://schemas.openxmlformats.org/officeDocument/2006/docPropsVTypes"/>
</file>