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competing-and-related-titles"/>
    <w:p>
      <w:pPr>
        <w:pStyle w:val="Heading1"/>
      </w:pPr>
      <w:r>
        <w:t xml:space="preserve">Competing and Related Titles</w:t>
      </w:r>
    </w:p>
    <w:bookmarkStart w:id="18" w:name="X65f780c30521fb98879175f077d0b3af39eef27"/>
    <w:p>
      <w:pPr>
        <w:pStyle w:val="Heading2"/>
      </w:pPr>
      <w:r>
        <w:t xml:space="preserve">The Strategic Capital Order: Finance, Technology, and the New Global Hierarchy</w:t>
      </w:r>
    </w:p>
    <w:p>
      <w:r>
        <w:pict>
          <v:rect style="width:0;height:1.5pt" o:hralign="center" o:hrstd="t" o:hr="t"/>
        </w:pict>
      </w:r>
    </w:p>
    <w:bookmarkStart w:id="9" w:name="X1f1e35244d245ae68747c6a24023c1c8e07c0df"/>
    <w:p>
      <w:pPr>
        <w:pStyle w:val="Heading3"/>
      </w:pPr>
      <w:r>
        <w:t xml:space="preserve">1. Carlota Perez,</w:t>
      </w:r>
      <w:r>
        <w:t xml:space="preserve"> </w:t>
      </w:r>
      <w:r>
        <w:rPr>
          <w:i/>
          <w:iCs/>
        </w:rPr>
        <w:t xml:space="preserve">Technological Revolutions and Financial Capital: The Dynamics of Bubbles and Golden Ages</w:t>
      </w:r>
      <w:r>
        <w:t xml:space="preserve"> </w:t>
      </w:r>
      <w:r>
        <w:t xml:space="preserve">(Edward Elgar, 2002)</w:t>
      </w:r>
    </w:p>
    <w:p>
      <w:pPr>
        <w:pStyle w:val="FirstParagraph"/>
      </w:pPr>
      <w:r>
        <w:rPr>
          <w:b/>
          <w:bCs/>
        </w:rPr>
        <w:t xml:space="preserve">Relevance:</w:t>
      </w:r>
      <w:r>
        <w:t xml:space="preserve"> </w:t>
      </w:r>
      <w:r>
        <w:t xml:space="preserve">Perez’s seminal work establishes the theoretical relationship between financial capital and technological revolutions through a cyclical model of installation and deployment phases. It is the most important intellectual predecessor to this book and, notably, an Edward Elgar title.</w:t>
      </w:r>
    </w:p>
    <w:p>
      <w:pPr>
        <w:pStyle w:val="BodyText"/>
      </w:pPr>
      <w:r>
        <w:rPr>
          <w:b/>
          <w:bCs/>
        </w:rPr>
        <w:t xml:space="preserve">Differentiation:</w:t>
      </w:r>
      <w:r>
        <w:t xml:space="preserve"> </w:t>
      </w:r>
      <w:r>
        <w:t xml:space="preserve">Perez’s framework is primarily historical and cyclical, analyzing how financial capital enables and distorts technological change over long waves.</w:t>
      </w:r>
      <w:r>
        <w:t xml:space="preserve"> </w:t>
      </w:r>
      <w:r>
        <w:rPr>
          <w:i/>
          <w:iCs/>
        </w:rPr>
        <w:t xml:space="preserve">The Strategic Capital Order</w:t>
      </w:r>
      <w:r>
        <w:t xml:space="preserve"> </w:t>
      </w:r>
      <w:r>
        <w:t xml:space="preserve">builds on Perez’s insight but introduces three dimensions absent from her analysis: (a) the geopolitical hierarchy produced by each cycle — who wins and who loses; (b) the contemporary transformation of financial intermediation from bank-dominated to NBFI-dominated, which fundamentally changes how capital reaches technology; and (c) an operationalized framework (CAC) for comparing countries’ capacity to participate in the current cycle. Where Perez provides historical pattern analysis, this book provides a contemporary analytical framework with predictive capacity.</w:t>
      </w:r>
    </w:p>
    <w:p>
      <w:r>
        <w:pict>
          <v:rect style="width:0;height:1.5pt" o:hralign="center" o:hrstd="t" o:hr="t"/>
        </w:pict>
      </w:r>
    </w:p>
    <w:bookmarkEnd w:id="9"/>
    <w:bookmarkStart w:id="10" w:name="Xd5c1acd2436141968db452095999aaf3430b6fc"/>
    <w:p>
      <w:pPr>
        <w:pStyle w:val="Heading3"/>
      </w:pPr>
      <w:r>
        <w:t xml:space="preserve">2. Chris Miller,</w:t>
      </w:r>
      <w:r>
        <w:t xml:space="preserve"> </w:t>
      </w:r>
      <w:r>
        <w:rPr>
          <w:i/>
          <w:iCs/>
        </w:rPr>
        <w:t xml:space="preserve">Chip War: The Fight for the World’s Most Critical Technology</w:t>
      </w:r>
      <w:r>
        <w:t xml:space="preserve"> </w:t>
      </w:r>
      <w:r>
        <w:t xml:space="preserve">(Scribner, 2022)</w:t>
      </w:r>
    </w:p>
    <w:p>
      <w:pPr>
        <w:pStyle w:val="FirstParagraph"/>
      </w:pPr>
      <w:r>
        <w:rPr>
          <w:b/>
          <w:bCs/>
        </w:rPr>
        <w:t xml:space="preserve">Relevance:</w:t>
      </w:r>
      <w:r>
        <w:t xml:space="preserve"> </w:t>
      </w:r>
      <w:r>
        <w:rPr>
          <w:i/>
          <w:iCs/>
        </w:rPr>
        <w:t xml:space="preserve">Chip War</w:t>
      </w:r>
      <w:r>
        <w:t xml:space="preserve"> </w:t>
      </w:r>
      <w:r>
        <w:t xml:space="preserve">is the dominant popular account of the semiconductor industry’s geopolitical significance, widely read by policymakers and general audiences.</w:t>
      </w:r>
    </w:p>
    <w:p>
      <w:pPr>
        <w:pStyle w:val="BodyText"/>
      </w:pPr>
      <w:r>
        <w:rPr>
          <w:b/>
          <w:bCs/>
        </w:rPr>
        <w:t xml:space="preserve">Differentiation:</w:t>
      </w:r>
      <w:r>
        <w:t xml:space="preserve"> </w:t>
      </w:r>
      <w:r>
        <w:t xml:space="preserve">Miller’s book is a narrative history — richly told but without an analytical framework. It does not systematically analyze the financial mechanisms through which semiconductor infrastructure is built, nor does it develop a comparative framework for assessing countries’ capacity to participate in the value chain.</w:t>
      </w:r>
      <w:r>
        <w:t xml:space="preserve"> </w:t>
      </w:r>
      <w:r>
        <w:rPr>
          <w:i/>
          <w:iCs/>
        </w:rPr>
        <w:t xml:space="preserve">The Strategic Capital Order</w:t>
      </w:r>
      <w:r>
        <w:t xml:space="preserve"> </w:t>
      </w:r>
      <w:r>
        <w:t xml:space="preserve">complements Miller by providing the financial and analytical depth that</w:t>
      </w:r>
      <w:r>
        <w:t xml:space="preserve"> </w:t>
      </w:r>
      <w:r>
        <w:rPr>
          <w:i/>
          <w:iCs/>
        </w:rPr>
        <w:t xml:space="preserve">Chip War</w:t>
      </w:r>
      <w:r>
        <w:t xml:space="preserve"> </w:t>
      </w:r>
      <w:r>
        <w:t xml:space="preserve">leaves unexplored: how TSMC’s fabs are actually financed, why Europe cannot replicate Taiwan’s trajectory, and what specific financial capacities determine whether a country becomes a producer or a consumer. Readers of</w:t>
      </w:r>
      <w:r>
        <w:t xml:space="preserve"> </w:t>
      </w:r>
      <w:r>
        <w:rPr>
          <w:i/>
          <w:iCs/>
        </w:rPr>
        <w:t xml:space="preserve">Chip War</w:t>
      </w:r>
      <w:r>
        <w:t xml:space="preserve"> </w:t>
      </w:r>
      <w:r>
        <w:t xml:space="preserve">would find in this book the structural analysis behind the narrative.</w:t>
      </w:r>
    </w:p>
    <w:p>
      <w:r>
        <w:pict>
          <v:rect style="width:0;height:1.5pt" o:hralign="center" o:hrstd="t" o:hr="t"/>
        </w:pict>
      </w:r>
    </w:p>
    <w:bookmarkEnd w:id="10"/>
    <w:bookmarkStart w:id="11" w:name="X525a5bc0d4d0ea52692686af09faad2b5fe31ed"/>
    <w:p>
      <w:pPr>
        <w:pStyle w:val="Heading3"/>
      </w:pPr>
      <w:r>
        <w:t xml:space="preserve">3. Henry Farrell and Abraham Newman,</w:t>
      </w:r>
      <w:r>
        <w:t xml:space="preserve"> </w:t>
      </w:r>
      <w:r>
        <w:rPr>
          <w:i/>
          <w:iCs/>
        </w:rPr>
        <w:t xml:space="preserve">Underground Empire: How America Weaponized the World Economy</w:t>
      </w:r>
      <w:r>
        <w:t xml:space="preserve"> </w:t>
      </w:r>
      <w:r>
        <w:t xml:space="preserve">(Henry Holt, 2023)</w:t>
      </w:r>
    </w:p>
    <w:p>
      <w:pPr>
        <w:pStyle w:val="FirstParagraph"/>
      </w:pPr>
      <w:r>
        <w:rPr>
          <w:b/>
          <w:bCs/>
        </w:rPr>
        <w:t xml:space="preserve">Relevance:</w:t>
      </w:r>
      <w:r>
        <w:t xml:space="preserve"> </w:t>
      </w:r>
      <w:r>
        <w:t xml:space="preserve">Farrell and Newman’s analysis of network chokepoints and their weaponization by the United States is directly relevant to this book’s discussion of value chain control points.</w:t>
      </w:r>
    </w:p>
    <w:p>
      <w:pPr>
        <w:pStyle w:val="BodyText"/>
      </w:pPr>
      <w:r>
        <w:rPr>
          <w:b/>
          <w:bCs/>
        </w:rPr>
        <w:t xml:space="preserve">Differentiation:</w:t>
      </w:r>
      <w:r>
        <w:t xml:space="preserve"> </w:t>
      </w:r>
      <w:r>
        <w:rPr>
          <w:i/>
          <w:iCs/>
        </w:rPr>
        <w:t xml:space="preserve">Underground Empire</w:t>
      </w:r>
      <w:r>
        <w:t xml:space="preserve"> </w:t>
      </w:r>
      <w:r>
        <w:t xml:space="preserve">focuses on the exploitation of existing chokepoints — SWIFT, the dollar system, semiconductor export controls — as instruments of coercive power. It does not systematically address how these chokepoints were created through decades of capital allocation decisions, nor how new chokepoints are currently being built (or contested).</w:t>
      </w:r>
      <w:r>
        <w:t xml:space="preserve"> </w:t>
      </w:r>
      <w:r>
        <w:rPr>
          <w:i/>
          <w:iCs/>
        </w:rPr>
        <w:t xml:space="preserve">The Strategic Capital Order</w:t>
      </w:r>
      <w:r>
        <w:t xml:space="preserve"> </w:t>
      </w:r>
      <w:r>
        <w:t xml:space="preserve">provides the missing link: the financial mechanisms and capital allocation processes that produce the infrastructure Farrell and Newman describe being weaponized. It also extends the analysis beyond the US-China rivalry to include all tiers of the global hierarchy.</w:t>
      </w:r>
    </w:p>
    <w:p>
      <w:r>
        <w:pict>
          <v:rect style="width:0;height:1.5pt" o:hralign="center" o:hrstd="t" o:hr="t"/>
        </w:pict>
      </w:r>
    </w:p>
    <w:bookmarkEnd w:id="11"/>
    <w:bookmarkStart w:id="12" w:name="Xc576b53c917874ccbcea72a3c51167b01abeb64"/>
    <w:p>
      <w:pPr>
        <w:pStyle w:val="Heading3"/>
      </w:pPr>
      <w:r>
        <w:t xml:space="preserve">4. Mariana Mazzucato,</w:t>
      </w:r>
      <w:r>
        <w:t xml:space="preserve"> </w:t>
      </w:r>
      <w:r>
        <w:rPr>
          <w:i/>
          <w:iCs/>
        </w:rPr>
        <w:t xml:space="preserve">The Entrepreneurial State: Debunking Public vs. Private Sector Myths</w:t>
      </w:r>
      <w:r>
        <w:t xml:space="preserve"> </w:t>
      </w:r>
      <w:r>
        <w:t xml:space="preserve">(Anthem Press, 2013; Penguin, 2018)</w:t>
      </w:r>
    </w:p>
    <w:p>
      <w:pPr>
        <w:pStyle w:val="FirstParagraph"/>
      </w:pPr>
      <w:r>
        <w:rPr>
          <w:b/>
          <w:bCs/>
        </w:rPr>
        <w:t xml:space="preserve">Relevance:</w:t>
      </w:r>
      <w:r>
        <w:t xml:space="preserve"> </w:t>
      </w:r>
      <w:r>
        <w:t xml:space="preserve">Mazzucato’s argument that the state has been a critical risk-taker in innovation is foundational to this book’s analysis of state guarantees and development banks.</w:t>
      </w:r>
    </w:p>
    <w:p>
      <w:pPr>
        <w:pStyle w:val="BodyText"/>
      </w:pPr>
      <w:r>
        <w:rPr>
          <w:b/>
          <w:bCs/>
        </w:rPr>
        <w:t xml:space="preserve">Differentiation:</w:t>
      </w:r>
      <w:r>
        <w:t xml:space="preserve"> </w:t>
      </w:r>
      <w:r>
        <w:t xml:space="preserve">Mazzucato’s focus is primarily domestic (the US innovation ecosystem) and primarily retrospective (iPhone, internet, biotech).</w:t>
      </w:r>
      <w:r>
        <w:t xml:space="preserve"> </w:t>
      </w:r>
      <w:r>
        <w:rPr>
          <w:i/>
          <w:iCs/>
        </w:rPr>
        <w:t xml:space="preserve">The Strategic Capital Order</w:t>
      </w:r>
      <w:r>
        <w:t xml:space="preserve"> </w:t>
      </w:r>
      <w:r>
        <w:t xml:space="preserve">extends the state’s role beyond direct R&amp;D investment to the contemporary function of</w:t>
      </w:r>
      <w:r>
        <w:t xml:space="preserve"> </w:t>
      </w:r>
      <w:r>
        <w:t xml:space="preserve">“risk wrapper provider”</w:t>
      </w:r>
      <w:r>
        <w:t xml:space="preserve"> </w:t>
      </w:r>
      <w:r>
        <w:t xml:space="preserve">— guarantees, tax credits, and regulatory commitments that make private investment in strategic technologies possible. Crucially, the book embeds the state within a broader intermediation architecture that includes private credit, PE infrastructure funds, and sovereign wealth funds, and traces how differential state capacity translates into global hierarchy. The analysis is forward-looking and comparative rather than retrospective and domestic.</w:t>
      </w:r>
    </w:p>
    <w:p>
      <w:r>
        <w:pict>
          <v:rect style="width:0;height:1.5pt" o:hralign="center" o:hrstd="t" o:hr="t"/>
        </w:pict>
      </w:r>
    </w:p>
    <w:bookmarkEnd w:id="12"/>
    <w:bookmarkStart w:id="13" w:name="X7557c296ebc99b582eaeec3cd72facf94e944da"/>
    <w:p>
      <w:pPr>
        <w:pStyle w:val="Heading3"/>
      </w:pPr>
      <w:r>
        <w:t xml:space="preserve">5. Adam Tooze,</w:t>
      </w:r>
      <w:r>
        <w:t xml:space="preserve"> </w:t>
      </w:r>
      <w:r>
        <w:rPr>
          <w:i/>
          <w:iCs/>
        </w:rPr>
        <w:t xml:space="preserve">Crashed: How a Decade of Financial Crises Changed the World</w:t>
      </w:r>
      <w:r>
        <w:t xml:space="preserve"> </w:t>
      </w:r>
      <w:r>
        <w:t xml:space="preserve">(Viking, 2018) and</w:t>
      </w:r>
      <w:r>
        <w:t xml:space="preserve"> </w:t>
      </w:r>
      <w:r>
        <w:rPr>
          <w:i/>
          <w:iCs/>
        </w:rPr>
        <w:t xml:space="preserve">Shutdown: How Covid Shook the World’s Economy</w:t>
      </w:r>
      <w:r>
        <w:t xml:space="preserve"> </w:t>
      </w:r>
      <w:r>
        <w:t xml:space="preserve">(Viking, 2021)</w:t>
      </w:r>
    </w:p>
    <w:p>
      <w:pPr>
        <w:pStyle w:val="FirstParagraph"/>
      </w:pPr>
      <w:r>
        <w:rPr>
          <w:b/>
          <w:bCs/>
        </w:rPr>
        <w:t xml:space="preserve">Relevance:</w:t>
      </w:r>
      <w:r>
        <w:t xml:space="preserve"> </w:t>
      </w:r>
      <w:r>
        <w:t xml:space="preserve">Tooze is the leading contemporary narrator of how financial dynamics shape geopolitics. Both books demonstrate the political economy of financial crises and their global consequences.</w:t>
      </w:r>
    </w:p>
    <w:p>
      <w:pPr>
        <w:pStyle w:val="BodyText"/>
      </w:pPr>
      <w:r>
        <w:rPr>
          <w:b/>
          <w:bCs/>
        </w:rPr>
        <w:t xml:space="preserve">Differentiation:</w:t>
      </w:r>
      <w:r>
        <w:t xml:space="preserve"> </w:t>
      </w:r>
      <w:r>
        <w:t xml:space="preserve">Tooze’s work is crisis-focused and retrospective — analyzing how financial shocks reshape power.</w:t>
      </w:r>
      <w:r>
        <w:t xml:space="preserve"> </w:t>
      </w:r>
      <w:r>
        <w:rPr>
          <w:i/>
          <w:iCs/>
        </w:rPr>
        <w:t xml:space="preserve">The Strategic Capital Order</w:t>
      </w:r>
      <w:r>
        <w:t xml:space="preserve"> </w:t>
      </w:r>
      <w:r>
        <w:t xml:space="preserve">is investment-focused and forward-looking — analyzing how capital allocation in strategic technologies is constructing a new hierarchy before any crisis occurs. Where Tooze traces power shifts after financial disruptions, this book traces power shifts through financial allocation decisions in real time. The CAC framework provides an analytical structure that Tooze’s narrative approach, while brilliant, does not offer.</w:t>
      </w:r>
    </w:p>
    <w:p>
      <w:r>
        <w:pict>
          <v:rect style="width:0;height:1.5pt" o:hralign="center" o:hrstd="t" o:hr="t"/>
        </w:pict>
      </w:r>
    </w:p>
    <w:bookmarkEnd w:id="13"/>
    <w:bookmarkStart w:id="14" w:name="X2435d34604463e06a4984a6f136a59f08ba4f4d"/>
    <w:p>
      <w:pPr>
        <w:pStyle w:val="Heading3"/>
      </w:pPr>
      <w:r>
        <w:t xml:space="preserve">6. Daniela Gabor,</w:t>
      </w:r>
      <w:r>
        <w:t xml:space="preserve"> </w:t>
      </w:r>
      <w:r>
        <w:t xml:space="preserve">“The Wall Street Consensus”</w:t>
      </w:r>
      <w:r>
        <w:t xml:space="preserve"> </w:t>
      </w:r>
      <w:r>
        <w:t xml:space="preserve">(</w:t>
      </w:r>
      <w:r>
        <w:rPr>
          <w:i/>
          <w:iCs/>
        </w:rPr>
        <w:t xml:space="preserve">Development and Change</w:t>
      </w:r>
      <w:r>
        <w:t xml:space="preserve">, 2021) and related works</w:t>
      </w:r>
    </w:p>
    <w:p>
      <w:pPr>
        <w:pStyle w:val="FirstParagraph"/>
      </w:pPr>
      <w:r>
        <w:rPr>
          <w:b/>
          <w:bCs/>
        </w:rPr>
        <w:t xml:space="preserve">Relevance:</w:t>
      </w:r>
      <w:r>
        <w:t xml:space="preserve"> </w:t>
      </w:r>
      <w:r>
        <w:t xml:space="preserve">Gabor’s concept of the</w:t>
      </w:r>
      <w:r>
        <w:t xml:space="preserve"> </w:t>
      </w:r>
      <w:r>
        <w:t xml:space="preserve">“de-risking state”</w:t>
      </w:r>
      <w:r>
        <w:t xml:space="preserve"> </w:t>
      </w:r>
      <w:r>
        <w:t xml:space="preserve">and the Wall Street Consensus — the systematic blending of public and private finance to make development projects investable — is directly relevant to this book’s analysis of risk wrappers and development bank functions.</w:t>
      </w:r>
    </w:p>
    <w:p>
      <w:pPr>
        <w:pStyle w:val="BodyText"/>
      </w:pPr>
      <w:r>
        <w:rPr>
          <w:b/>
          <w:bCs/>
        </w:rPr>
        <w:t xml:space="preserve">Differentiation:</w:t>
      </w:r>
      <w:r>
        <w:t xml:space="preserve"> </w:t>
      </w:r>
      <w:r>
        <w:t xml:space="preserve">Gabor’s framework is developed primarily in the context of development finance (infrastructure in the Global South) and focuses on the relationship between multilateral development banks and private finance.</w:t>
      </w:r>
      <w:r>
        <w:t xml:space="preserve"> </w:t>
      </w:r>
      <w:r>
        <w:rPr>
          <w:i/>
          <w:iCs/>
        </w:rPr>
        <w:t xml:space="preserve">The Strategic Capital Order</w:t>
      </w:r>
      <w:r>
        <w:t xml:space="preserve"> </w:t>
      </w:r>
      <w:r>
        <w:t xml:space="preserve">extends the de-risking logic to strategic technology capital in both developed and developing countries, introduces the CAC construct for systematic comparison, and analyzes the systemic risk implications (contingent fiscal liabilities, opacity, fragmentation) that Gabor’s work does not address in detail.</w:t>
      </w:r>
    </w:p>
    <w:p>
      <w:r>
        <w:pict>
          <v:rect style="width:0;height:1.5pt" o:hralign="center" o:hrstd="t" o:hr="t"/>
        </w:pict>
      </w:r>
    </w:p>
    <w:bookmarkEnd w:id="14"/>
    <w:bookmarkStart w:id="15" w:name="X247427db9366ad140ceaa559538c60bd571f035"/>
    <w:p>
      <w:pPr>
        <w:pStyle w:val="Heading3"/>
      </w:pPr>
      <w:r>
        <w:t xml:space="preserve">7. Bruno Macaes,</w:t>
      </w:r>
      <w:r>
        <w:t xml:space="preserve"> </w:t>
      </w:r>
      <w:r>
        <w:rPr>
          <w:i/>
          <w:iCs/>
        </w:rPr>
        <w:t xml:space="preserve">Geopolitics for the End Time</w:t>
      </w:r>
      <w:r>
        <w:t xml:space="preserve"> </w:t>
      </w:r>
      <w:r>
        <w:t xml:space="preserve">(Hurst, 2021) and works on technology and world order</w:t>
      </w:r>
    </w:p>
    <w:p>
      <w:pPr>
        <w:pStyle w:val="FirstParagraph"/>
      </w:pPr>
      <w:r>
        <w:rPr>
          <w:b/>
          <w:bCs/>
        </w:rPr>
        <w:t xml:space="preserve">Relevance:</w:t>
      </w:r>
      <w:r>
        <w:t xml:space="preserve"> </w:t>
      </w:r>
      <w:r>
        <w:t xml:space="preserve">Macaes writes on how technology is reshaping geopolitical competition, with attention to non-Western perspectives.</w:t>
      </w:r>
    </w:p>
    <w:p>
      <w:pPr>
        <w:pStyle w:val="BodyText"/>
      </w:pPr>
      <w:r>
        <w:rPr>
          <w:b/>
          <w:bCs/>
        </w:rPr>
        <w:t xml:space="preserve">Differentiation:</w:t>
      </w:r>
      <w:r>
        <w:t xml:space="preserve"> </w:t>
      </w:r>
      <w:r>
        <w:t xml:space="preserve">Macaes’s work is essayistic and conceptual rather than analytically structured. He identifies the importance of technology in geopolitical competition but does not provide a framework for analyzing how financial capacity determines who can participate in this competition.</w:t>
      </w:r>
      <w:r>
        <w:t xml:space="preserve"> </w:t>
      </w:r>
      <w:r>
        <w:rPr>
          <w:i/>
          <w:iCs/>
        </w:rPr>
        <w:t xml:space="preserve">The Strategic Capital Order</w:t>
      </w:r>
      <w:r>
        <w:t xml:space="preserve"> </w:t>
      </w:r>
      <w:r>
        <w:t xml:space="preserve">provides the financial-analytical depth and systematic framework absent from Macaes’s more speculative approach.</w:t>
      </w:r>
    </w:p>
    <w:p>
      <w:r>
        <w:pict>
          <v:rect style="width:0;height:1.5pt" o:hralign="center" o:hrstd="t" o:hr="t"/>
        </w:pict>
      </w:r>
    </w:p>
    <w:bookmarkEnd w:id="15"/>
    <w:bookmarkStart w:id="16" w:name="X5ba365abeb6a2aeb89e39a5570cf7378e66da86"/>
    <w:p>
      <w:pPr>
        <w:pStyle w:val="Heading3"/>
      </w:pPr>
      <w:r>
        <w:t xml:space="preserve">8. Various authors, reports from Bruegel, CSIS, IISS, and national policy institutes on semiconductor policy, AI governance, and strategic technology competition</w:t>
      </w:r>
    </w:p>
    <w:p>
      <w:pPr>
        <w:pStyle w:val="FirstParagraph"/>
      </w:pPr>
      <w:r>
        <w:rPr>
          <w:b/>
          <w:bCs/>
        </w:rPr>
        <w:t xml:space="preserve">Relevance:</w:t>
      </w:r>
      <w:r>
        <w:t xml:space="preserve"> </w:t>
      </w:r>
      <w:r>
        <w:t xml:space="preserve">A growing body of policy research analyzes semiconductor supply chains, AI governance, and strategic competition.</w:t>
      </w:r>
    </w:p>
    <w:p>
      <w:pPr>
        <w:pStyle w:val="BodyText"/>
      </w:pPr>
      <w:r>
        <w:rPr>
          <w:b/>
          <w:bCs/>
        </w:rPr>
        <w:t xml:space="preserve">Differentiation:</w:t>
      </w:r>
      <w:r>
        <w:t xml:space="preserve"> </w:t>
      </w:r>
      <w:r>
        <w:t xml:space="preserve">Policy reports tend to be sector-specific (semiconductors OR AI OR critical minerals), geographically limited (US perspective, EU perspective), and focused on policy recommendations without a unifying analytical framework.</w:t>
      </w:r>
      <w:r>
        <w:t xml:space="preserve"> </w:t>
      </w:r>
      <w:r>
        <w:rPr>
          <w:i/>
          <w:iCs/>
        </w:rPr>
        <w:t xml:space="preserve">The Strategic Capital Order</w:t>
      </w:r>
      <w:r>
        <w:t xml:space="preserve"> </w:t>
      </w:r>
      <w:r>
        <w:t xml:space="preserve">integrates these sectors into a single value chain analysis, covers all tiers of the global hierarchy, provides a theoretically grounded analytical framework (CAC), and addresses the financial intermediation dimension that policy reports typically treat as background.</w:t>
      </w:r>
    </w:p>
    <w:p>
      <w:r>
        <w:pict>
          <v:rect style="width:0;height:1.5pt" o:hralign="center" o:hrstd="t" o:hr="t"/>
        </w:pict>
      </w:r>
    </w:p>
    <w:bookmarkEnd w:id="16"/>
    <w:bookmarkStart w:id="17" w:name="summary-market-gap"/>
    <w:p>
      <w:pPr>
        <w:pStyle w:val="Heading3"/>
      </w:pPr>
      <w:r>
        <w:t xml:space="preserve">Summary: Market Gap</w:t>
      </w:r>
    </w:p>
    <w:p>
      <w:pPr>
        <w:pStyle w:val="FirstParagraph"/>
      </w:pPr>
      <w:r>
        <w:t xml:space="preserve">No existing book combines: (a) a systematic analytical framework for comparing countries’ capacity to participate in strategic technology investment; (b) an integrated analysis of the financial intermediation architecture (NBFI, development banks, state guarantees) through which capital reaches strategic technologies; (c) attention to all tiers of the global hierarchy, not only the US-China rivalry; and (d) analysis of the systemic risk implications at the intersection of technology concentration and financial intermediation transformation.</w:t>
      </w:r>
      <w:r>
        <w:t xml:space="preserve"> </w:t>
      </w:r>
      <w:r>
        <w:rPr>
          <w:i/>
          <w:iCs/>
        </w:rPr>
        <w:t xml:space="preserve">The Strategic Capital Order</w:t>
      </w:r>
      <w:r>
        <w:t xml:space="preserve"> </w:t>
      </w:r>
      <w:r>
        <w:t xml:space="preserve">fills this gap.</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2026-02-11T19:40:21Z</dcterms:created>
  <dcterms:modified xsi:type="dcterms:W3CDTF">2026-02-11T19:40:21Z</dcterms:modified>
</cp:coreProperties>
</file>

<file path=docProps/custom.xml><?xml version="1.0" encoding="utf-8"?>
<Properties xmlns="http://schemas.openxmlformats.org/officeDocument/2006/custom-properties" xmlns:vt="http://schemas.openxmlformats.org/officeDocument/2006/docPropsVTypes"/>
</file>