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arget-audience-and-market"/>
    <w:p>
      <w:pPr>
        <w:pStyle w:val="Heading1"/>
      </w:pPr>
      <w:r>
        <w:t xml:space="preserve">Target Audience and Market</w:t>
      </w:r>
    </w:p>
    <w:bookmarkStart w:id="16" w:name="X65f780c30521fb98879175f077d0b3af39eef27"/>
    <w:p>
      <w:pPr>
        <w:pStyle w:val="Heading2"/>
      </w:pPr>
      <w:r>
        <w:t xml:space="preserve">The Strategic Capital Order: Finance, Technology, and the New Global Hierarchy</w:t>
      </w:r>
    </w:p>
    <w:p>
      <w:r>
        <w:pict>
          <v:rect style="width:0;height:1.5pt" o:hralign="center" o:hrstd="t" o:hr="t"/>
        </w:pict>
      </w:r>
    </w:p>
    <w:bookmarkStart w:id="9" w:name="primary-academic-readership"/>
    <w:p>
      <w:pPr>
        <w:pStyle w:val="Heading3"/>
      </w:pPr>
      <w:r>
        <w:t xml:space="preserve">Primary Academic Readership</w:t>
      </w:r>
    </w:p>
    <w:p>
      <w:pPr>
        <w:pStyle w:val="FirstParagraph"/>
      </w:pPr>
      <w:r>
        <w:rPr>
          <w:b/>
          <w:bCs/>
        </w:rPr>
        <w:t xml:space="preserve">International Political Economy (IPE) scholars and advanced students.</w:t>
      </w:r>
      <w:r>
        <w:t xml:space="preserve"> </w:t>
      </w:r>
      <w:r>
        <w:t xml:space="preserve">The book’s central framework — Capital Allocation Capacity — is rooted in IPE theory (Strange, Helleiner, Cohen) and contributes directly to debates on structural power, global governance, and the political economy of finance. It would be relevant for scholars working on the political economy of technology, global financial governance, and the changing international order. Key journals in this space include</w:t>
      </w:r>
      <w:r>
        <w:t xml:space="preserve"> </w:t>
      </w:r>
      <w:r>
        <w:rPr>
          <w:i/>
          <w:iCs/>
        </w:rPr>
        <w:t xml:space="preserve">Review of International Political Economy</w:t>
      </w:r>
      <w:r>
        <w:t xml:space="preserve">,</w:t>
      </w:r>
      <w:r>
        <w:t xml:space="preserve"> </w:t>
      </w:r>
      <w:r>
        <w:rPr>
          <w:i/>
          <w:iCs/>
        </w:rPr>
        <w:t xml:space="preserve">New Political Economy</w:t>
      </w:r>
      <w:r>
        <w:t xml:space="preserve">,</w:t>
      </w:r>
      <w:r>
        <w:t xml:space="preserve"> </w:t>
      </w:r>
      <w:r>
        <w:rPr>
          <w:i/>
          <w:iCs/>
        </w:rPr>
        <w:t xml:space="preserve">International Organization</w:t>
      </w:r>
      <w:r>
        <w:t xml:space="preserve">, and</w:t>
      </w:r>
      <w:r>
        <w:t xml:space="preserve"> </w:t>
      </w:r>
      <w:r>
        <w:rPr>
          <w:i/>
          <w:iCs/>
        </w:rPr>
        <w:t xml:space="preserve">Global Governance</w:t>
      </w:r>
      <w:r>
        <w:t xml:space="preserve">.</w:t>
      </w:r>
    </w:p>
    <w:p>
      <w:pPr>
        <w:pStyle w:val="BodyText"/>
      </w:pPr>
      <w:r>
        <w:rPr>
          <w:b/>
          <w:bCs/>
        </w:rPr>
        <w:t xml:space="preserve">Financial economics and development finance researchers.</w:t>
      </w:r>
      <w:r>
        <w:t xml:space="preserve"> </w:t>
      </w:r>
      <w:r>
        <w:t xml:space="preserve">The book’s analysis of NBFI growth, private credit, development bank risk transformation, and contingent fiscal liabilities contributes to financial economics debates on intermediation, systemic risk, and monetary policy transmission. Relevant journals include</w:t>
      </w:r>
      <w:r>
        <w:t xml:space="preserve"> </w:t>
      </w:r>
      <w:r>
        <w:rPr>
          <w:i/>
          <w:iCs/>
        </w:rPr>
        <w:t xml:space="preserve">Journal of Financial Economics</w:t>
      </w:r>
      <w:r>
        <w:t xml:space="preserve">,</w:t>
      </w:r>
      <w:r>
        <w:t xml:space="preserve"> </w:t>
      </w:r>
      <w:r>
        <w:rPr>
          <w:i/>
          <w:iCs/>
        </w:rPr>
        <w:t xml:space="preserve">Journal of International Money and Finance</w:t>
      </w:r>
      <w:r>
        <w:t xml:space="preserve">, and</w:t>
      </w:r>
      <w:r>
        <w:t xml:space="preserve"> </w:t>
      </w:r>
      <w:r>
        <w:rPr>
          <w:i/>
          <w:iCs/>
        </w:rPr>
        <w:t xml:space="preserve">World Development</w:t>
      </w:r>
      <w:r>
        <w:t xml:space="preserve">.</w:t>
      </w:r>
    </w:p>
    <w:p>
      <w:pPr>
        <w:pStyle w:val="BodyText"/>
      </w:pPr>
      <w:r>
        <w:rPr>
          <w:b/>
          <w:bCs/>
        </w:rPr>
        <w:t xml:space="preserve">Technology governance and innovation studies scholars.</w:t>
      </w:r>
      <w:r>
        <w:t xml:space="preserve"> </w:t>
      </w:r>
      <w:r>
        <w:t xml:space="preserve">The book’s value chain analysis, chokepoint economics, and analysis of semiconductor/AI investment patterns contribute to technology governance and innovation systems literatures. Relevant journals include</w:t>
      </w:r>
      <w:r>
        <w:t xml:space="preserve"> </w:t>
      </w:r>
      <w:r>
        <w:rPr>
          <w:i/>
          <w:iCs/>
        </w:rPr>
        <w:t xml:space="preserve">Research Policy</w:t>
      </w:r>
      <w:r>
        <w:t xml:space="preserve">,</w:t>
      </w:r>
      <w:r>
        <w:t xml:space="preserve"> </w:t>
      </w:r>
      <w:r>
        <w:rPr>
          <w:i/>
          <w:iCs/>
        </w:rPr>
        <w:t xml:space="preserve">Technovation</w:t>
      </w:r>
      <w:r>
        <w:t xml:space="preserve">, and</w:t>
      </w:r>
      <w:r>
        <w:t xml:space="preserve"> </w:t>
      </w:r>
      <w:r>
        <w:rPr>
          <w:i/>
          <w:iCs/>
        </w:rPr>
        <w:t xml:space="preserve">The Information Society</w:t>
      </w:r>
      <w:r>
        <w:t xml:space="preserve">.</w:t>
      </w:r>
    </w:p>
    <w:bookmarkEnd w:id="9"/>
    <w:bookmarkStart w:id="10" w:name="secondary-academic-readership"/>
    <w:p>
      <w:pPr>
        <w:pStyle w:val="Heading3"/>
      </w:pPr>
      <w:r>
        <w:t xml:space="preserve">Secondary Academic Readership</w:t>
      </w:r>
    </w:p>
    <w:p>
      <w:pPr>
        <w:pStyle w:val="FirstParagraph"/>
      </w:pPr>
      <w:r>
        <w:rPr>
          <w:b/>
          <w:bCs/>
        </w:rPr>
        <w:t xml:space="preserve">PhD students and advanced master’s students</w:t>
      </w:r>
      <w:r>
        <w:t xml:space="preserve"> </w:t>
      </w:r>
      <w:r>
        <w:t xml:space="preserve">in IPE, global finance, development studies, innovation economics, and technology policy. The CAC framework provides a ready-made analytical tool for dissertation research and comparative case studies.</w:t>
      </w:r>
    </w:p>
    <w:p>
      <w:pPr>
        <w:pStyle w:val="BodyText"/>
      </w:pPr>
      <w:r>
        <w:rPr>
          <w:b/>
          <w:bCs/>
        </w:rPr>
        <w:t xml:space="preserve">Area studies scholars</w:t>
      </w:r>
      <w:r>
        <w:t xml:space="preserve"> </w:t>
      </w:r>
      <w:r>
        <w:t xml:space="preserve">focused on East Asia (semiconductor value chains, chaebol finance), Europe (digital sovereignty, capital market fragmentation), the Middle East (sovereign wealth fund strategies), and Central/Eastern Europe (service consumer dynamics).</w:t>
      </w:r>
    </w:p>
    <w:bookmarkEnd w:id="10"/>
    <w:bookmarkStart w:id="11" w:name="practitioner-readership"/>
    <w:p>
      <w:pPr>
        <w:pStyle w:val="Heading3"/>
      </w:pPr>
      <w:r>
        <w:t xml:space="preserve">Practitioner Readership</w:t>
      </w:r>
    </w:p>
    <w:p>
      <w:pPr>
        <w:pStyle w:val="FirstParagraph"/>
      </w:pPr>
      <w:r>
        <w:rPr>
          <w:b/>
          <w:bCs/>
        </w:rPr>
        <w:t xml:space="preserve">Investment professionals and financial analysts</w:t>
      </w:r>
      <w:r>
        <w:t xml:space="preserve"> </w:t>
      </w:r>
      <w:r>
        <w:t xml:space="preserve">working in strategic technology sectors, infrastructure investment, private credit, and sovereign wealth funds. The book provides analytical context for investment decisions in AI infrastructure, semiconductors, and critical minerals.</w:t>
      </w:r>
    </w:p>
    <w:p>
      <w:pPr>
        <w:pStyle w:val="BodyText"/>
      </w:pPr>
      <w:r>
        <w:rPr>
          <w:b/>
          <w:bCs/>
        </w:rPr>
        <w:t xml:space="preserve">Development bank and multilateral institution professionals</w:t>
      </w:r>
      <w:r>
        <w:t xml:space="preserve"> </w:t>
      </w:r>
      <w:r>
        <w:t xml:space="preserve">(EIB, KfW, JBIC, World Bank, IFC, EBRD). The book’s analysis of development banks as</w:t>
      </w:r>
      <w:r>
        <w:t xml:space="preserve"> </w:t>
      </w:r>
      <w:r>
        <w:t xml:space="preserve">“de-risking agents”</w:t>
      </w:r>
      <w:r>
        <w:t xml:space="preserve"> </w:t>
      </w:r>
      <w:r>
        <w:t xml:space="preserve">and risk transformation architects speaks directly to their evolving mandates.</w:t>
      </w:r>
    </w:p>
    <w:p>
      <w:pPr>
        <w:pStyle w:val="BodyText"/>
      </w:pPr>
      <w:r>
        <w:rPr>
          <w:b/>
          <w:bCs/>
        </w:rPr>
        <w:t xml:space="preserve">Central bank and financial stability officials</w:t>
      </w:r>
      <w:r>
        <w:t xml:space="preserve"> </w:t>
      </w:r>
      <w:r>
        <w:t xml:space="preserve">(BIS, FSB, national central banks). The book’s analysis of weakened monetary policy transmission, NBFI opacity, and new systemic risk sources is directly relevant to financial stability mandates.</w:t>
      </w:r>
    </w:p>
    <w:bookmarkEnd w:id="11"/>
    <w:bookmarkStart w:id="12" w:name="policy-readership"/>
    <w:p>
      <w:pPr>
        <w:pStyle w:val="Heading3"/>
      </w:pPr>
      <w:r>
        <w:t xml:space="preserve">Policy Readership</w:t>
      </w:r>
    </w:p>
    <w:p>
      <w:pPr>
        <w:pStyle w:val="FirstParagraph"/>
      </w:pPr>
      <w:r>
        <w:rPr>
          <w:b/>
          <w:bCs/>
        </w:rPr>
        <w:t xml:space="preserve">Government officials in ministries of finance, economy, and industry</w:t>
      </w:r>
      <w:r>
        <w:t xml:space="preserve"> </w:t>
      </w:r>
      <w:r>
        <w:t xml:space="preserve">responsible for industrial policy, semiconductor strategy, AI policy, and strategic technology investment — particularly in Europe, Japan, Korea, India, and the Gulf states. The book provides a framework for understanding their country’s position and realistic policy options.</w:t>
      </w:r>
    </w:p>
    <w:p>
      <w:pPr>
        <w:pStyle w:val="BodyText"/>
      </w:pPr>
      <w:r>
        <w:rPr>
          <w:b/>
          <w:bCs/>
        </w:rPr>
        <w:t xml:space="preserve">Think tank and policy institute researchers</w:t>
      </w:r>
      <w:r>
        <w:t xml:space="preserve"> </w:t>
      </w:r>
      <w:r>
        <w:t xml:space="preserve">at Bruegel, CSIS, Chatham House, IISS, Peterson Institute, Carnegie Endowment, and national equivalents. The CAC framework provides a structured tool for policy analysis and cross-country comparison.</w:t>
      </w:r>
    </w:p>
    <w:bookmarkEnd w:id="12"/>
    <w:bookmarkStart w:id="13" w:name="course-adoption-potential"/>
    <w:p>
      <w:pPr>
        <w:pStyle w:val="Heading3"/>
      </w:pPr>
      <w:r>
        <w:t xml:space="preserve">Course Adoption Potential</w:t>
      </w:r>
    </w:p>
    <w:p>
      <w:pPr>
        <w:pStyle w:val="Compact"/>
        <w:numPr>
          <w:ilvl w:val="0"/>
          <w:numId w:val="1001"/>
        </w:numPr>
      </w:pPr>
      <w:r>
        <w:rPr>
          <w:b/>
          <w:bCs/>
        </w:rPr>
        <w:t xml:space="preserve">Graduate seminars in IPE</w:t>
      </w:r>
      <w:r>
        <w:t xml:space="preserve">: Core or supplementary reading for courses on global political economy, international finance, and the political economy of technology</w:t>
      </w:r>
    </w:p>
    <w:p>
      <w:pPr>
        <w:pStyle w:val="Compact"/>
        <w:numPr>
          <w:ilvl w:val="0"/>
          <w:numId w:val="1001"/>
        </w:numPr>
      </w:pPr>
      <w:r>
        <w:rPr>
          <w:b/>
          <w:bCs/>
        </w:rPr>
        <w:t xml:space="preserve">Graduate courses in global finance</w:t>
      </w:r>
      <w:r>
        <w:t xml:space="preserve">: Relevant for courses covering financial intermediation, systemic risk, and development finance</w:t>
      </w:r>
    </w:p>
    <w:p>
      <w:pPr>
        <w:pStyle w:val="Compact"/>
        <w:numPr>
          <w:ilvl w:val="0"/>
          <w:numId w:val="1001"/>
        </w:numPr>
      </w:pPr>
      <w:r>
        <w:rPr>
          <w:b/>
          <w:bCs/>
        </w:rPr>
        <w:t xml:space="preserve">Technology policy programs</w:t>
      </w:r>
      <w:r>
        <w:t xml:space="preserve">: Relevant for courses on semiconductor policy, AI governance, and strategic competition</w:t>
      </w:r>
    </w:p>
    <w:p>
      <w:pPr>
        <w:pStyle w:val="Compact"/>
        <w:numPr>
          <w:ilvl w:val="0"/>
          <w:numId w:val="1001"/>
        </w:numPr>
      </w:pPr>
      <w:r>
        <w:rPr>
          <w:b/>
          <w:bCs/>
        </w:rPr>
        <w:t xml:space="preserve">MBA and executive education</w:t>
      </w:r>
      <w:r>
        <w:t xml:space="preserve">: Suitable for modules on international finance, strategic investment, and geopolitical risk in business</w:t>
      </w:r>
    </w:p>
    <w:p>
      <w:pPr>
        <w:pStyle w:val="Compact"/>
        <w:numPr>
          <w:ilvl w:val="0"/>
          <w:numId w:val="1001"/>
        </w:numPr>
      </w:pPr>
      <w:r>
        <w:rPr>
          <w:b/>
          <w:bCs/>
        </w:rPr>
        <w:t xml:space="preserve">Public policy programs</w:t>
      </w:r>
      <w:r>
        <w:t xml:space="preserve">: Relevant for courses on industrial policy, economic development, and geoeconomics</w:t>
      </w:r>
    </w:p>
    <w:bookmarkEnd w:id="13"/>
    <w:bookmarkStart w:id="14" w:name="geographic-market"/>
    <w:p>
      <w:pPr>
        <w:pStyle w:val="Heading3"/>
      </w:pPr>
      <w:r>
        <w:t xml:space="preserve">Geographic Market</w:t>
      </w:r>
    </w:p>
    <w:p>
      <w:pPr>
        <w:pStyle w:val="FirstParagraph"/>
      </w:pPr>
      <w:r>
        <w:t xml:space="preserve">The book’s global scope — analyzing the US, China, Europe, Japan, Korea, Taiwan, the Netherlands, India, the Gulf, Central Europe, Southeast Asia, Latin America, and Africa — gives it appeal across geographic markets. Particular interest is expected in:</w:t>
      </w:r>
    </w:p>
    <w:p>
      <w:pPr>
        <w:pStyle w:val="Compact"/>
        <w:numPr>
          <w:ilvl w:val="0"/>
          <w:numId w:val="1002"/>
        </w:numPr>
      </w:pPr>
      <w:r>
        <w:rPr>
          <w:b/>
          <w:bCs/>
        </w:rPr>
        <w:t xml:space="preserve">United States and United Kingdom</w:t>
      </w:r>
      <w:r>
        <w:t xml:space="preserve">: largest IPE and financial economics academic markets</w:t>
      </w:r>
    </w:p>
    <w:p>
      <w:pPr>
        <w:pStyle w:val="Compact"/>
        <w:numPr>
          <w:ilvl w:val="0"/>
          <w:numId w:val="1002"/>
        </w:numPr>
      </w:pPr>
      <w:r>
        <w:rPr>
          <w:b/>
          <w:bCs/>
        </w:rPr>
        <w:t xml:space="preserve">Continental Europe</w:t>
      </w:r>
      <w:r>
        <w:t xml:space="preserve">: the book directly addresses the EU’s</w:t>
      </w:r>
      <w:r>
        <w:t xml:space="preserve"> </w:t>
      </w:r>
      <w:r>
        <w:t xml:space="preserve">“digital sovereignty”</w:t>
      </w:r>
      <w:r>
        <w:t xml:space="preserve"> </w:t>
      </w:r>
      <w:r>
        <w:t xml:space="preserve">dilemma and European capital market fragmentation</w:t>
      </w:r>
    </w:p>
    <w:p>
      <w:pPr>
        <w:pStyle w:val="Compact"/>
        <w:numPr>
          <w:ilvl w:val="0"/>
          <w:numId w:val="1002"/>
        </w:numPr>
      </w:pPr>
      <w:r>
        <w:rPr>
          <w:b/>
          <w:bCs/>
        </w:rPr>
        <w:t xml:space="preserve">East Asia</w:t>
      </w:r>
      <w:r>
        <w:t xml:space="preserve">: Japan, Korea, and Taiwan are analyzed as specialized nodes with specific strategic challenges</w:t>
      </w:r>
    </w:p>
    <w:p>
      <w:pPr>
        <w:pStyle w:val="Compact"/>
        <w:numPr>
          <w:ilvl w:val="0"/>
          <w:numId w:val="1002"/>
        </w:numPr>
      </w:pPr>
      <w:r>
        <w:rPr>
          <w:b/>
          <w:bCs/>
        </w:rPr>
        <w:t xml:space="preserve">Gulf states</w:t>
      </w:r>
      <w:r>
        <w:t xml:space="preserve">: the petrodollar-to-AI transformation is a central case</w:t>
      </w:r>
    </w:p>
    <w:p>
      <w:pPr>
        <w:pStyle w:val="Compact"/>
        <w:numPr>
          <w:ilvl w:val="0"/>
          <w:numId w:val="1002"/>
        </w:numPr>
      </w:pPr>
      <w:r>
        <w:rPr>
          <w:b/>
          <w:bCs/>
        </w:rPr>
        <w:t xml:space="preserve">Central and Eastern Europe</w:t>
      </w:r>
      <w:r>
        <w:t xml:space="preserve">: the service consumer analysis provides a framework rarely offered from outside the US/Western European perspective</w:t>
      </w:r>
    </w:p>
    <w:bookmarkEnd w:id="14"/>
    <w:bookmarkStart w:id="15" w:name="societies-and-networks"/>
    <w:p>
      <w:pPr>
        <w:pStyle w:val="Heading3"/>
      </w:pPr>
      <w:r>
        <w:t xml:space="preserve">Societies and Networks</w:t>
      </w:r>
    </w:p>
    <w:p>
      <w:pPr>
        <w:pStyle w:val="FirstParagraph"/>
      </w:pPr>
      <w:r>
        <w:t xml:space="preserve">The book would be of interest to members of:</w:t>
      </w:r>
      <w:r>
        <w:t xml:space="preserve"> </w:t>
      </w:r>
      <w:r>
        <w:t xml:space="preserve">- International Studies Association (ISA), particularly the IPE section</w:t>
      </w:r>
      <w:r>
        <w:t xml:space="preserve"> </w:t>
      </w:r>
      <w:r>
        <w:t xml:space="preserve">- European Consortium for Political Research (ECPR)</w:t>
      </w:r>
      <w:r>
        <w:t xml:space="preserve"> </w:t>
      </w:r>
      <w:r>
        <w:t xml:space="preserve">- Society for the Advancement of Socio-Economics (SASE)</w:t>
      </w:r>
      <w:r>
        <w:t xml:space="preserve"> </w:t>
      </w:r>
      <w:r>
        <w:t xml:space="preserve">- Financial Stability Board (FSB) research network</w:t>
      </w:r>
      <w:r>
        <w:t xml:space="preserve"> </w:t>
      </w:r>
      <w:r>
        <w:t xml:space="preserve">- OECD Science, Technology and Innovation directorate community</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2026-02-11T19:40:21Z</dcterms:created>
  <dcterms:modified xsi:type="dcterms:W3CDTF">2026-02-11T19:40:21Z</dcterms:modified>
</cp:coreProperties>
</file>

<file path=docProps/custom.xml><?xml version="1.0" encoding="utf-8"?>
<Properties xmlns="http://schemas.openxmlformats.org/officeDocument/2006/custom-properties" xmlns:vt="http://schemas.openxmlformats.org/officeDocument/2006/docPropsVTypes"/>
</file>