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estimated-length-and-delivery-timeline"/>
    <w:p>
      <w:pPr>
        <w:pStyle w:val="Heading1"/>
      </w:pPr>
      <w:r>
        <w:t xml:space="preserve">Estimated Length and Delivery Timeline</w:t>
      </w:r>
    </w:p>
    <w:bookmarkStart w:id="13" w:name="X65f780c30521fb98879175f077d0b3af39eef27"/>
    <w:p>
      <w:pPr>
        <w:pStyle w:val="Heading2"/>
      </w:pPr>
      <w:r>
        <w:t xml:space="preserve">The Strategic Capital Order: Finance, Technology, and the New Global Hierarchy</w:t>
      </w:r>
    </w:p>
    <w:p>
      <w:r>
        <w:pict>
          <v:rect style="width:0;height:1.5pt" o:hralign="center" o:hrstd="t" o:hr="t"/>
        </w:pict>
      </w:r>
    </w:p>
    <w:bookmarkStart w:id="9" w:name="estimated-length"/>
    <w:p>
      <w:pPr>
        <w:pStyle w:val="Heading3"/>
      </w:pPr>
      <w:r>
        <w:t xml:space="preserve">Estimated Length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Word Count</w:t>
            </w:r>
          </w:p>
        </w:tc>
      </w:tr>
      <w:tr>
        <w:tc>
          <w:tcPr/>
          <w:p>
            <w:pPr>
              <w:pStyle w:val="Compact"/>
            </w:pPr>
            <w:r>
              <w:t xml:space="preserve">Introduction</w:t>
            </w:r>
          </w:p>
        </w:tc>
        <w:tc>
          <w:tcPr/>
          <w:p>
            <w:pPr>
              <w:pStyle w:val="Compact"/>
            </w:pPr>
            <w:r>
              <w:t xml:space="preserve">10,000</w:t>
            </w:r>
          </w:p>
        </w:tc>
      </w:tr>
      <w:tr>
        <w:tc>
          <w:tcPr/>
          <w:p>
            <w:pPr>
              <w:pStyle w:val="Compact"/>
            </w:pPr>
            <w:r>
              <w:t xml:space="preserve">Part I: Theoretical Framework (2 chapters)</w:t>
            </w:r>
          </w:p>
        </w:tc>
        <w:tc>
          <w:tcPr/>
          <w:p>
            <w:pPr>
              <w:pStyle w:val="Compact"/>
            </w:pPr>
            <w:r>
              <w:t xml:space="preserve">20,000</w:t>
            </w:r>
          </w:p>
        </w:tc>
      </w:tr>
      <w:tr>
        <w:tc>
          <w:tcPr/>
          <w:p>
            <w:pPr>
              <w:pStyle w:val="Compact"/>
            </w:pPr>
            <w:r>
              <w:t xml:space="preserve">Part II: The Object of Financing (2 chapters)</w:t>
            </w:r>
          </w:p>
        </w:tc>
        <w:tc>
          <w:tcPr/>
          <w:p>
            <w:pPr>
              <w:pStyle w:val="Compact"/>
            </w:pPr>
            <w:r>
              <w:t xml:space="preserve">19,000</w:t>
            </w:r>
          </w:p>
        </w:tc>
      </w:tr>
      <w:tr>
        <w:tc>
          <w:tcPr/>
          <w:p>
            <w:pPr>
              <w:pStyle w:val="Compact"/>
            </w:pPr>
            <w:r>
              <w:t xml:space="preserve">Part III: The Financing Mechanism (3 chapters)</w:t>
            </w:r>
          </w:p>
        </w:tc>
        <w:tc>
          <w:tcPr/>
          <w:p>
            <w:pPr>
              <w:pStyle w:val="Compact"/>
            </w:pPr>
            <w:r>
              <w:t xml:space="preserve">28,000</w:t>
            </w:r>
          </w:p>
        </w:tc>
      </w:tr>
      <w:tr>
        <w:tc>
          <w:tcPr/>
          <w:p>
            <w:pPr>
              <w:pStyle w:val="Compact"/>
            </w:pPr>
            <w:r>
              <w:t xml:space="preserve">Part IV: Mechanisms of Dominance (2 chapters)</w:t>
            </w:r>
          </w:p>
        </w:tc>
        <w:tc>
          <w:tcPr/>
          <w:p>
            <w:pPr>
              <w:pStyle w:val="Compact"/>
            </w:pPr>
            <w:r>
              <w:t xml:space="preserve">19,000</w:t>
            </w:r>
          </w:p>
        </w:tc>
      </w:tr>
      <w:tr>
        <w:tc>
          <w:tcPr/>
          <w:p>
            <w:pPr>
              <w:pStyle w:val="Compact"/>
            </w:pPr>
            <w:r>
              <w:t xml:space="preserve">Part V: The Global Hierarchy (2 chapters)</w:t>
            </w:r>
          </w:p>
        </w:tc>
        <w:tc>
          <w:tcPr/>
          <w:p>
            <w:pPr>
              <w:pStyle w:val="Compact"/>
            </w:pPr>
            <w:r>
              <w:t xml:space="preserve">20,000</w:t>
            </w:r>
          </w:p>
        </w:tc>
      </w:tr>
      <w:tr>
        <w:tc>
          <w:tcPr/>
          <w:p>
            <w:pPr>
              <w:pStyle w:val="Compact"/>
            </w:pPr>
            <w:r>
              <w:t xml:space="preserve">Part VI: Resilience and Outlook (3 chapters)</w:t>
            </w:r>
          </w:p>
        </w:tc>
        <w:tc>
          <w:tcPr/>
          <w:p>
            <w:pPr>
              <w:pStyle w:val="Compact"/>
            </w:pPr>
            <w:r>
              <w:t xml:space="preserve">28,000</w:t>
            </w:r>
          </w:p>
        </w:tc>
      </w:tr>
      <w:tr>
        <w:tc>
          <w:tcPr/>
          <w:p>
            <w:pPr>
              <w:pStyle w:val="Compact"/>
            </w:pPr>
            <w:r>
              <w:rPr>
                <w:b/>
                <w:bCs/>
              </w:rPr>
              <w:t xml:space="preserve">Subtotal (main text)</w:t>
            </w:r>
          </w:p>
        </w:tc>
        <w:tc>
          <w:tcPr/>
          <w:p>
            <w:pPr>
              <w:pStyle w:val="Compact"/>
            </w:pPr>
            <w:r>
              <w:rPr>
                <w:b/>
                <w:bCs/>
              </w:rPr>
              <w:t xml:space="preserve">~144,000</w:t>
            </w:r>
          </w:p>
        </w:tc>
      </w:tr>
      <w:tr>
        <w:tc>
          <w:tcPr/>
          <w:p>
            <w:pPr>
              <w:pStyle w:val="Compact"/>
            </w:pPr>
            <w:r>
              <w:t xml:space="preserve">Notes, references, bibliography (est.)</w:t>
            </w:r>
          </w:p>
        </w:tc>
        <w:tc>
          <w:tcPr/>
          <w:p>
            <w:pPr>
              <w:pStyle w:val="Compact"/>
            </w:pPr>
            <w:r>
              <w:t xml:space="preserve">~16,000</w:t>
            </w:r>
          </w:p>
        </w:tc>
      </w:tr>
      <w:tr>
        <w:tc>
          <w:tcPr/>
          <w:p>
            <w:pPr>
              <w:pStyle w:val="Compact"/>
            </w:pPr>
            <w:r>
              <w:t xml:space="preserve">Tables, figures, appendices (est.)</w:t>
            </w:r>
          </w:p>
        </w:tc>
        <w:tc>
          <w:tcPr/>
          <w:p>
            <w:pPr>
              <w:pStyle w:val="Compact"/>
            </w:pPr>
            <w:r>
              <w:t xml:space="preserve">~10,000</w:t>
            </w:r>
          </w:p>
        </w:tc>
      </w:tr>
      <w:tr>
        <w:tc>
          <w:tcPr/>
          <w:p>
            <w:pPr>
              <w:pStyle w:val="Compact"/>
            </w:pPr>
            <w:r>
              <w:rPr>
                <w:b/>
                <w:bCs/>
              </w:rPr>
              <w:t xml:space="preserve">Total estimated manuscript length</w:t>
            </w:r>
          </w:p>
        </w:tc>
        <w:tc>
          <w:tcPr/>
          <w:p>
            <w:pPr>
              <w:pStyle w:val="Compact"/>
            </w:pPr>
            <w:r>
              <w:rPr>
                <w:b/>
                <w:bCs/>
              </w:rPr>
              <w:t xml:space="preserve">~170,000 words</w:t>
            </w:r>
          </w:p>
        </w:tc>
      </w:tr>
    </w:tbl>
    <w:p>
      <w:pPr>
        <w:pStyle w:val="BodyText"/>
      </w:pPr>
      <w:r>
        <w:rPr>
          <w:b/>
          <w:bCs/>
        </w:rPr>
        <w:t xml:space="preserve">Estimated print length:</w:t>
      </w:r>
      <w:r>
        <w:t xml:space="preserve"> </w:t>
      </w:r>
      <w:r>
        <w:t xml:space="preserve">~450–500 pages</w:t>
      </w:r>
    </w:p>
    <w:p>
      <w:pPr>
        <w:pStyle w:val="BodyText"/>
      </w:pPr>
      <w:r>
        <w:rPr>
          <w:b/>
          <w:bCs/>
        </w:rPr>
        <w:t xml:space="preserve">Tables and figures:</w:t>
      </w:r>
      <w:r>
        <w:t xml:space="preserve"> </w:t>
      </w:r>
      <w:r>
        <w:t xml:space="preserve">The book will include approximately 15–20 tables (comparative data on CAC dimensions, margin analysis, country profiles, scenario matrices) and 10–15 figures (value chain maps, financing architecture diagrams, radar profiles, historical comparison charts). Following EE convention, each figure counts as approximately 500 words.</w:t>
      </w:r>
    </w:p>
    <w:bookmarkEnd w:id="9"/>
    <w:bookmarkStart w:id="10" w:name="note-on-length"/>
    <w:p>
      <w:pPr>
        <w:pStyle w:val="Heading3"/>
      </w:pPr>
      <w:r>
        <w:t xml:space="preserve">Note on Length</w:t>
      </w:r>
    </w:p>
    <w:p>
      <w:pPr>
        <w:pStyle w:val="FirstParagraph"/>
      </w:pPr>
      <w:r>
        <w:t xml:space="preserve">The manuscript’s length reflects the book’s comprehensive scope: a new analytical framework (Part I), detailed empirical mapping of the investment complex (Part II), systematic analysis of three layers of financial intermediation (Part III), empirical documentation of six causal mechanisms (Part IV), application across the full global hierarchy (Part V), and systemic risk and scenario analysis (Part VI).</w:t>
      </w:r>
    </w:p>
    <w:p>
      <w:pPr>
        <w:pStyle w:val="BodyText"/>
      </w:pPr>
      <w:r>
        <w:t xml:space="preserve">The author is open to discussing condensation options with the editor, including:</w:t>
      </w:r>
      <w:r>
        <w:t xml:space="preserve"> </w:t>
      </w:r>
      <w:r>
        <w:t xml:space="preserve">- Combining Parts IV and V into a single empirical section (~30,000 words saved)</w:t>
      </w:r>
      <w:r>
        <w:t xml:space="preserve"> </w:t>
      </w:r>
      <w:r>
        <w:t xml:space="preserve">- Reducing the financial intermediation section from three to two chapters (~9,000 words saved)</w:t>
      </w:r>
      <w:r>
        <w:t xml:space="preserve"> </w:t>
      </w:r>
      <w:r>
        <w:t xml:space="preserve">- Publishing the scenarios and systemic risk analysis as a separate companion policy paper</w:t>
      </w:r>
    </w:p>
    <w:p>
      <w:pPr>
        <w:pStyle w:val="BodyText"/>
      </w:pPr>
      <w:r>
        <w:t xml:space="preserve">A condensed version of approximately 100,000–110,000 words is feasible without losing the core analytical contribution.</w:t>
      </w:r>
    </w:p>
    <w:bookmarkEnd w:id="10"/>
    <w:bookmarkStart w:id="11" w:name="delivery-timeline"/>
    <w:p>
      <w:pPr>
        <w:pStyle w:val="Heading3"/>
      </w:pPr>
      <w:r>
        <w:t xml:space="preserve">Delivery Timeline</w:t>
      </w:r>
    </w:p>
    <w:p>
      <w:pPr>
        <w:pStyle w:val="FirstParagraph"/>
      </w:pPr>
      <w:r>
        <w:t xml:space="preserve">The complete concept has been developed in detail (chapter-by-chapter descriptions for all 14 chapters, analytical framework specified, empirical cases identified, data sources mapped). The manuscript will be written directly in English.</w:t>
      </w:r>
    </w:p>
    <w:p>
      <w:pPr>
        <w:pStyle w:val="BodyText"/>
      </w:pPr>
      <w:r>
        <w:rPr>
          <w:b/>
          <w:bCs/>
        </w:rPr>
        <w:t xml:space="preserve">Proposed delivery:</w:t>
      </w:r>
      <w:r>
        <w:t xml:space="preserve"> </w:t>
      </w:r>
      <w:r>
        <w:t xml:space="preserve">18 months from contract signing.</w:t>
      </w:r>
    </w:p>
    <w:tbl>
      <w:tblPr>
        <w:tblStyle w:val="Table"/>
        <w:tblW w:type="pct" w:w="5000"/>
        <w:tblLayout w:type="fixed"/>
        <w:tblLook w:firstRow="1" w:lastRow="0" w:firstColumn="0" w:lastColumn="0" w:noHBand="0" w:noVBand="0" w:val="0020"/>
      </w:tblPr>
      <w:tblGrid>
        <w:gridCol w:w="2132"/>
        <w:gridCol w:w="2741"/>
        <w:gridCol w:w="3046"/>
      </w:tblGrid>
      <w:tr>
        <w:trPr>
          <w:tblHeader w:val="on"/>
        </w:trPr>
        <w:tc>
          <w:tcPr/>
          <w:p>
            <w:pPr>
              <w:pStyle w:val="Compact"/>
            </w:pPr>
            <w:r>
              <w:t xml:space="preserve">Phase</w:t>
            </w:r>
          </w:p>
        </w:tc>
        <w:tc>
          <w:tcPr/>
          <w:p>
            <w:pPr>
              <w:pStyle w:val="Compact"/>
            </w:pPr>
            <w:r>
              <w:t xml:space="preserve">Content</w:t>
            </w:r>
          </w:p>
        </w:tc>
        <w:tc>
          <w:tcPr/>
          <w:p>
            <w:pPr>
              <w:pStyle w:val="Compact"/>
            </w:pPr>
            <w:r>
              <w:t xml:space="preserve">Duration</w:t>
            </w:r>
          </w:p>
        </w:tc>
      </w:tr>
      <w:tr>
        <w:tc>
          <w:tcPr/>
          <w:p>
            <w:pPr>
              <w:pStyle w:val="Compact"/>
            </w:pPr>
            <w:r>
              <w:t xml:space="preserve">Months 1–4</w:t>
            </w:r>
          </w:p>
        </w:tc>
        <w:tc>
          <w:tcPr/>
          <w:p>
            <w:pPr>
              <w:pStyle w:val="Compact"/>
            </w:pPr>
            <w:r>
              <w:t xml:space="preserve">Parts I–II (framework + investment complex)</w:t>
            </w:r>
          </w:p>
        </w:tc>
        <w:tc>
          <w:tcPr/>
          <w:p>
            <w:pPr>
              <w:pStyle w:val="Compact"/>
            </w:pPr>
            <w:r>
              <w:t xml:space="preserve">4 months</w:t>
            </w:r>
          </w:p>
        </w:tc>
      </w:tr>
      <w:tr>
        <w:tc>
          <w:tcPr/>
          <w:p>
            <w:pPr>
              <w:pStyle w:val="Compact"/>
            </w:pPr>
            <w:r>
              <w:t xml:space="preserve">Months 5–9</w:t>
            </w:r>
          </w:p>
        </w:tc>
        <w:tc>
          <w:tcPr/>
          <w:p>
            <w:pPr>
              <w:pStyle w:val="Compact"/>
            </w:pPr>
            <w:r>
              <w:t xml:space="preserve">Part III (financial intermediation)</w:t>
            </w:r>
          </w:p>
        </w:tc>
        <w:tc>
          <w:tcPr/>
          <w:p>
            <w:pPr>
              <w:pStyle w:val="Compact"/>
            </w:pPr>
            <w:r>
              <w:t xml:space="preserve">5 months</w:t>
            </w:r>
          </w:p>
        </w:tc>
      </w:tr>
      <w:tr>
        <w:tc>
          <w:tcPr/>
          <w:p>
            <w:pPr>
              <w:pStyle w:val="Compact"/>
            </w:pPr>
            <w:r>
              <w:t xml:space="preserve">Months 10–13</w:t>
            </w:r>
          </w:p>
        </w:tc>
        <w:tc>
          <w:tcPr/>
          <w:p>
            <w:pPr>
              <w:pStyle w:val="Compact"/>
            </w:pPr>
            <w:r>
              <w:t xml:space="preserve">Parts IV–V (mechanisms + hierarchy)</w:t>
            </w:r>
          </w:p>
        </w:tc>
        <w:tc>
          <w:tcPr/>
          <w:p>
            <w:pPr>
              <w:pStyle w:val="Compact"/>
            </w:pPr>
            <w:r>
              <w:t xml:space="preserve">4 months</w:t>
            </w:r>
          </w:p>
        </w:tc>
      </w:tr>
      <w:tr>
        <w:tc>
          <w:tcPr/>
          <w:p>
            <w:pPr>
              <w:pStyle w:val="Compact"/>
            </w:pPr>
            <w:r>
              <w:t xml:space="preserve">Months 14–16</w:t>
            </w:r>
          </w:p>
        </w:tc>
        <w:tc>
          <w:tcPr/>
          <w:p>
            <w:pPr>
              <w:pStyle w:val="Compact"/>
            </w:pPr>
            <w:r>
              <w:t xml:space="preserve">Part VI (resilience + scenarios) + Introduction</w:t>
            </w:r>
          </w:p>
        </w:tc>
        <w:tc>
          <w:tcPr/>
          <w:p>
            <w:pPr>
              <w:pStyle w:val="Compact"/>
            </w:pPr>
            <w:r>
              <w:t xml:space="preserve">3 months</w:t>
            </w:r>
          </w:p>
        </w:tc>
      </w:tr>
      <w:tr>
        <w:tc>
          <w:tcPr/>
          <w:p>
            <w:pPr>
              <w:pStyle w:val="Compact"/>
            </w:pPr>
            <w:r>
              <w:t xml:space="preserve">Months 17–18</w:t>
            </w:r>
          </w:p>
        </w:tc>
        <w:tc>
          <w:tcPr/>
          <w:p>
            <w:pPr>
              <w:pStyle w:val="Compact"/>
            </w:pPr>
            <w:r>
              <w:t xml:space="preserve">Revision, editing, bibliography, formatting</w:t>
            </w:r>
          </w:p>
        </w:tc>
        <w:tc>
          <w:tcPr/>
          <w:p>
            <w:pPr>
              <w:pStyle w:val="Compact"/>
            </w:pPr>
            <w:r>
              <w:t xml:space="preserve">2 months</w:t>
            </w:r>
          </w:p>
        </w:tc>
      </w:tr>
    </w:tbl>
    <w:bookmarkEnd w:id="11"/>
    <w:bookmarkStart w:id="12" w:name="manuscript-preparation"/>
    <w:p>
      <w:pPr>
        <w:pStyle w:val="Heading3"/>
      </w:pPr>
      <w:r>
        <w:t xml:space="preserve">Manuscript Preparation</w:t>
      </w:r>
    </w:p>
    <w:p>
      <w:pPr>
        <w:pStyle w:val="FirstParagraph"/>
      </w:pPr>
      <w:r>
        <w:t xml:space="preserve">The manuscript will be prepared in accordance with Edward Elgar’s Author Guidelines, including:</w:t>
      </w:r>
      <w:r>
        <w:t xml:space="preserve"> </w:t>
      </w:r>
      <w:r>
        <w:t xml:space="preserve">- Harvard referencing style</w:t>
      </w:r>
      <w:r>
        <w:t xml:space="preserve"> </w:t>
      </w:r>
      <w:r>
        <w:t xml:space="preserve">- Tables and figures prepared to EE specifications</w:t>
      </w:r>
      <w:r>
        <w:t xml:space="preserve"> </w:t>
      </w:r>
      <w:r>
        <w:t xml:space="preserve">- Separate reference list formatted per EE requirements</w:t>
      </w:r>
      <w:r>
        <w:t xml:space="preserve"> </w:t>
      </w:r>
      <w:r>
        <w:t xml:space="preserve">- Index prepared upon final manuscript approval</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