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eries-fit"/>
    <w:p>
      <w:pPr>
        <w:pStyle w:val="Heading1"/>
      </w:pPr>
      <w:r>
        <w:t xml:space="preserve">Series Fit</w:t>
      </w:r>
    </w:p>
    <w:bookmarkStart w:id="13" w:name="X65f780c30521fb98879175f077d0b3af39eef27"/>
    <w:p>
      <w:pPr>
        <w:pStyle w:val="Heading2"/>
      </w:pPr>
      <w:r>
        <w:t xml:space="preserve">The Strategic Capital Order: Finance, Technology, and the New Global Hierarchy</w:t>
      </w:r>
    </w:p>
    <w:p>
      <w:r>
        <w:pict>
          <v:rect style="width:0;height:1.5pt" o:hralign="center" o:hrstd="t" o:hr="t"/>
        </w:pict>
      </w:r>
    </w:p>
    <w:bookmarkStart w:id="9" w:name="recommended-format-standalone-monograph"/>
    <w:p>
      <w:pPr>
        <w:pStyle w:val="Heading3"/>
      </w:pPr>
      <w:r>
        <w:t xml:space="preserve">Recommended Format: Standalone Monograph</w:t>
      </w:r>
    </w:p>
    <w:p>
      <w:pPr>
        <w:pStyle w:val="FirstParagraph"/>
      </w:pPr>
      <w:r>
        <w:t xml:space="preserve">This book is best positioned as a</w:t>
      </w:r>
      <w:r>
        <w:t xml:space="preserve"> </w:t>
      </w:r>
      <w:r>
        <w:rPr>
          <w:b/>
          <w:bCs/>
        </w:rPr>
        <w:t xml:space="preserve">standalone monograph</w:t>
      </w:r>
      <w:r>
        <w:t xml:space="preserve"> </w:t>
      </w:r>
      <w:r>
        <w:t xml:space="preserve">rather than a contribution to an existing series. The rationale is threefold:</w:t>
      </w:r>
    </w:p>
    <w:p>
      <w:pPr>
        <w:numPr>
          <w:ilvl w:val="0"/>
          <w:numId w:val="1001"/>
        </w:numPr>
      </w:pPr>
      <w:r>
        <w:rPr>
          <w:b/>
          <w:bCs/>
        </w:rPr>
        <w:t xml:space="preserve">Interdisciplinary scope.</w:t>
      </w:r>
      <w:r>
        <w:t xml:space="preserve"> </w:t>
      </w:r>
      <w:r>
        <w:t xml:space="preserve">The book integrates international political economy, financial economics, technology governance, and development studies. Its analytical framework (CAC) draws on and contributes to multiple literatures simultaneously. Existing EE series tend to be anchored in a single discipline, which would constrain the book’s cross-disciplinary positioning.</w:t>
      </w:r>
    </w:p>
    <w:p>
      <w:pPr>
        <w:numPr>
          <w:ilvl w:val="0"/>
          <w:numId w:val="1001"/>
        </w:numPr>
      </w:pPr>
      <w:r>
        <w:rPr>
          <w:b/>
          <w:bCs/>
        </w:rPr>
        <w:t xml:space="preserve">Scale.</w:t>
      </w:r>
      <w:r>
        <w:t xml:space="preserve"> </w:t>
      </w:r>
      <w:r>
        <w:t xml:space="preserve">At an estimated 144,000 words across 14 chapters and 6 parts, the book is a substantial monograph that merits standalone treatment. It develops a new analytical framework, applies it empirically across multiple sectors and countries, and addresses systemic implications — a scope that exceeds typical series volume expectations.</w:t>
      </w:r>
    </w:p>
    <w:p>
      <w:pPr>
        <w:numPr>
          <w:ilvl w:val="0"/>
          <w:numId w:val="1001"/>
        </w:numPr>
      </w:pPr>
      <w:r>
        <w:rPr>
          <w:b/>
          <w:bCs/>
        </w:rPr>
        <w:t xml:space="preserve">Foundational ambition.</w:t>
      </w:r>
      <w:r>
        <w:t xml:space="preserve"> </w:t>
      </w:r>
      <w:r>
        <w:t xml:space="preserve">The CAC framework is intended as a foundational contribution that subsequent research can build upon. A standalone monograph signals this ambition more clearly than a series contribution.</w:t>
      </w:r>
    </w:p>
    <w:bookmarkEnd w:id="9"/>
    <w:bookmarkStart w:id="10" w:name="potential-series-connections"/>
    <w:p>
      <w:pPr>
        <w:pStyle w:val="Heading3"/>
      </w:pPr>
      <w:r>
        <w:t xml:space="preserve">Potential Series Connections</w:t>
      </w:r>
    </w:p>
    <w:p>
      <w:pPr>
        <w:pStyle w:val="FirstParagraph"/>
      </w:pPr>
      <w:r>
        <w:t xml:space="preserve">Should the editors prefer series placement, the following Edward Elgar series are thematically adjacent:</w:t>
      </w:r>
    </w:p>
    <w:p>
      <w:pPr>
        <w:pStyle w:val="BodyText"/>
      </w:pPr>
      <w:r>
        <w:rPr>
          <w:b/>
          <w:bCs/>
        </w:rPr>
        <w:t xml:space="preserve">Handbooks of Research on International Political Economy</w:t>
      </w:r>
      <w:r>
        <w:t xml:space="preserve"> </w:t>
      </w:r>
      <w:r>
        <w:t xml:space="preserve">— The book’s IPE foundation and global scope align with this series. It could be positioned as a monograph companion to the Handbook of Research on International Political Economy of Energy and Natural Resources, extending the analysis to strategic technology capital.</w:t>
      </w:r>
    </w:p>
    <w:p>
      <w:pPr>
        <w:pStyle w:val="BodyText"/>
      </w:pPr>
      <w:r>
        <w:rPr>
          <w:b/>
          <w:bCs/>
        </w:rPr>
        <w:t xml:space="preserve">New Thinking in Political Economy</w:t>
      </w:r>
      <w:r>
        <w:t xml:space="preserve"> </w:t>
      </w:r>
      <w:r>
        <w:t xml:space="preserve">(edited by Peter Boettke) — Thematically relevant given the book’s focus on capital allocation and institutional capacity. However, this series has a predominantly Austrian economics orientation that may not fully align with the book’s structural-institutional approach.</w:t>
      </w:r>
    </w:p>
    <w:p>
      <w:pPr>
        <w:pStyle w:val="BodyText"/>
      </w:pPr>
      <w:r>
        <w:rPr>
          <w:b/>
          <w:bCs/>
        </w:rPr>
        <w:t xml:space="preserve">Innovation, Technology and Knowledge Management</w:t>
      </w:r>
      <w:r>
        <w:t xml:space="preserve"> </w:t>
      </w:r>
      <w:r>
        <w:t xml:space="preserve">— The book’s technology value chain analysis and innovation systems dimension could fit here, though the financial intermediation and geopolitical hierarchy dimensions extend well beyond the series’ typical scope.</w:t>
      </w:r>
    </w:p>
    <w:bookmarkEnd w:id="10"/>
    <w:bookmarkStart w:id="11" w:name="complementarity-with-ee-catalog"/>
    <w:p>
      <w:pPr>
        <w:pStyle w:val="Heading3"/>
      </w:pPr>
      <w:r>
        <w:t xml:space="preserve">Complementarity with EE Catalog</w:t>
      </w:r>
    </w:p>
    <w:p>
      <w:pPr>
        <w:pStyle w:val="FirstParagraph"/>
      </w:pPr>
      <w:r>
        <w:t xml:space="preserve">The book complements several landmark titles in Edward Elgar’s catalog:</w:t>
      </w:r>
    </w:p>
    <w:p>
      <w:pPr>
        <w:numPr>
          <w:ilvl w:val="0"/>
          <w:numId w:val="1002"/>
        </w:numPr>
      </w:pPr>
      <w:r>
        <w:rPr>
          <w:b/>
          <w:bCs/>
        </w:rPr>
        <w:t xml:space="preserve">Carlota Perez,</w:t>
      </w:r>
      <w:r>
        <w:rPr>
          <w:b/>
          <w:bCs/>
        </w:rPr>
        <w:t xml:space="preserve"> </w:t>
      </w:r>
      <w:r>
        <w:rPr>
          <w:b/>
          <w:bCs/>
          <w:i/>
          <w:iCs/>
        </w:rPr>
        <w:t xml:space="preserve">Technological Revolutions and Financial Capital</w:t>
      </w:r>
      <w:r>
        <w:rPr>
          <w:b/>
          <w:bCs/>
        </w:rPr>
        <w:t xml:space="preserve"> </w:t>
      </w:r>
      <w:r>
        <w:rPr>
          <w:b/>
          <w:bCs/>
        </w:rPr>
        <w:t xml:space="preserve">(2002)</w:t>
      </w:r>
      <w:r>
        <w:t xml:space="preserve"> </w:t>
      </w:r>
      <w:r>
        <w:t xml:space="preserve">— The most direct intellectual predecessor.</w:t>
      </w:r>
      <w:r>
        <w:t xml:space="preserve"> </w:t>
      </w:r>
      <w:r>
        <w:rPr>
          <w:i/>
          <w:iCs/>
        </w:rPr>
        <w:t xml:space="preserve">The Strategic Capital Order</w:t>
      </w:r>
      <w:r>
        <w:t xml:space="preserve"> </w:t>
      </w:r>
      <w:r>
        <w:t xml:space="preserve">can be positioned as updating Perez’s finance-technology analysis for the post-2008, NBFI-dominated, geopolitically fractured landscape, while adding the global hierarchy dimension.</w:t>
      </w:r>
    </w:p>
    <w:p>
      <w:pPr>
        <w:numPr>
          <w:ilvl w:val="0"/>
          <w:numId w:val="1002"/>
        </w:numPr>
      </w:pPr>
      <w:r>
        <w:rPr>
          <w:b/>
          <w:bCs/>
        </w:rPr>
        <w:t xml:space="preserve">Ha-Joon Chang,</w:t>
      </w:r>
      <w:r>
        <w:rPr>
          <w:b/>
          <w:bCs/>
        </w:rPr>
        <w:t xml:space="preserve"> </w:t>
      </w:r>
      <w:r>
        <w:rPr>
          <w:b/>
          <w:bCs/>
          <w:i/>
          <w:iCs/>
        </w:rPr>
        <w:t xml:space="preserve">Kicking Away the Ladder</w:t>
      </w:r>
      <w:r>
        <w:rPr>
          <w:b/>
          <w:bCs/>
        </w:rPr>
        <w:t xml:space="preserve"> </w:t>
      </w:r>
      <w:r>
        <w:rPr>
          <w:b/>
          <w:bCs/>
        </w:rPr>
        <w:t xml:space="preserve">(2002)</w:t>
      </w:r>
      <w:r>
        <w:t xml:space="preserve"> </w:t>
      </w:r>
      <w:r>
        <w:t xml:space="preserve">— Chang’s analysis of how developed countries deny developing countries the policy tools they themselves used resonates with this book’s analysis of how capital allocation capacity creates self-reinforcing hierarchies.</w:t>
      </w:r>
    </w:p>
    <w:p>
      <w:pPr>
        <w:numPr>
          <w:ilvl w:val="0"/>
          <w:numId w:val="1002"/>
        </w:numPr>
      </w:pPr>
      <w:r>
        <w:rPr>
          <w:b/>
          <w:bCs/>
        </w:rPr>
        <w:t xml:space="preserve">Various EE titles on varieties of capitalism, institutional economics, and global governance</w:t>
      </w:r>
      <w:r>
        <w:t xml:space="preserve"> </w:t>
      </w:r>
      <w:r>
        <w:t xml:space="preserve">— The CAC framework engages with and extends the varieties of capitalism literature (Hall, Soskice) by adding the technology capital dimension.</w:t>
      </w:r>
    </w:p>
    <w:bookmarkEnd w:id="11"/>
    <w:bookmarkStart w:id="12" w:name="open-access"/>
    <w:p>
      <w:pPr>
        <w:pStyle w:val="Heading3"/>
      </w:pPr>
      <w:r>
        <w:t xml:space="preserve">Open Access</w:t>
      </w:r>
    </w:p>
    <w:p>
      <w:pPr>
        <w:pStyle w:val="FirstParagraph"/>
      </w:pPr>
      <w:r>
        <w:t xml:space="preserve">The author is open to discussing Open Access publication. Many European and institutional research funders now require or incentivize OA publication. The book’s relevance to policymakers and practitioners would benefit from wider accessibility.</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