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79273cbced8c9f2c00001b69205e6176ebc8ce6"/>
    <w:p>
      <w:pPr>
        <w:pStyle w:val="Heading1"/>
      </w:pPr>
      <w:r>
        <w:t xml:space="preserve">Edward Elgar Publishing — Book Proposal Form</w:t>
      </w:r>
    </w:p>
    <w:bookmarkStart w:id="9" w:name="X65f780c30521fb98879175f077d0b3af39eef27"/>
    <w:p>
      <w:pPr>
        <w:pStyle w:val="Heading2"/>
      </w:pPr>
      <w:r>
        <w:t xml:space="preserve">The Strategic Capital Order: Finance, Technology, and the New Global Hierarchy</w:t>
      </w:r>
    </w:p>
    <w:p>
      <w:r>
        <w:pict>
          <v:rect style="width:0;height:1.5pt" o:hralign="center" o:hrstd="t" o:hr="t"/>
        </w:pict>
      </w:r>
    </w:p>
    <w:bookmarkEnd w:id="9"/>
    <w:bookmarkEnd w:id="10"/>
    <w:bookmarkStart w:id="18" w:name="section-a-the-author"/>
    <w:p>
      <w:pPr>
        <w:pStyle w:val="Heading1"/>
      </w:pPr>
      <w:r>
        <w:t xml:space="preserve">SECTION A: THE AUTHOR</w:t>
      </w:r>
    </w:p>
    <w:bookmarkStart w:id="11" w:name="a1.-author-details"/>
    <w:p>
      <w:pPr>
        <w:pStyle w:val="Heading3"/>
      </w:pPr>
      <w:r>
        <w:t xml:space="preserve">A1. Author Details</w:t>
      </w:r>
    </w:p>
    <w:p>
      <w:pPr>
        <w:pStyle w:val="FirstParagraph"/>
      </w:pPr>
      <w:r>
        <w:rPr>
          <w:b/>
          <w:bCs/>
        </w:rPr>
        <w:t xml:space="preserve">Name:</w:t>
      </w:r>
      <w:r>
        <w:t xml:space="preserve"> </w:t>
      </w:r>
      <w:r>
        <w:t xml:space="preserve">[AUTHOR NAME]</w:t>
      </w:r>
      <w:r>
        <w:t xml:space="preserve"> </w:t>
      </w:r>
      <w:r>
        <w:rPr>
          <w:b/>
          <w:bCs/>
        </w:rPr>
        <w:t xml:space="preserve">Affiliation:</w:t>
      </w:r>
      <w:r>
        <w:t xml:space="preserve"> </w:t>
      </w:r>
      <w:r>
        <w:t xml:space="preserve">[AFFILIATION]</w:t>
      </w:r>
      <w:r>
        <w:t xml:space="preserve"> </w:t>
      </w:r>
      <w:r>
        <w:rPr>
          <w:b/>
          <w:bCs/>
        </w:rPr>
        <w:t xml:space="preserve">Position:</w:t>
      </w:r>
      <w:r>
        <w:t xml:space="preserve"> </w:t>
      </w:r>
      <w:r>
        <w:t xml:space="preserve">[POSITION/TITLE]</w:t>
      </w:r>
      <w:r>
        <w:t xml:space="preserve"> </w:t>
      </w:r>
      <w:r>
        <w:rPr>
          <w:b/>
          <w:bCs/>
        </w:rPr>
        <w:t xml:space="preserve">Email:</w:t>
      </w:r>
      <w:r>
        <w:t xml:space="preserve"> </w:t>
      </w:r>
      <w:r>
        <w:t xml:space="preserve">[EMAIL]</w:t>
      </w:r>
      <w:r>
        <w:t xml:space="preserve"> </w:t>
      </w:r>
      <w:r>
        <w:rPr>
          <w:b/>
          <w:bCs/>
        </w:rPr>
        <w:t xml:space="preserve">ORCID:</w:t>
      </w:r>
      <w:r>
        <w:t xml:space="preserve"> </w:t>
      </w:r>
      <w:r>
        <w:t xml:space="preserve">[ORCID]</w:t>
      </w:r>
      <w:r>
        <w:t xml:space="preserve"> </w:t>
      </w:r>
      <w:r>
        <w:rPr>
          <w:b/>
          <w:bCs/>
        </w:rPr>
        <w:t xml:space="preserve">Mailing address:</w:t>
      </w:r>
      <w:r>
        <w:t xml:space="preserve"> </w:t>
      </w:r>
      <w:r>
        <w:t xml:space="preserve">[ADDRESS]</w:t>
      </w:r>
    </w:p>
    <w:bookmarkEnd w:id="11"/>
    <w:bookmarkStart w:id="12" w:name="Xac3aff49b7b8573252c153c2a44dc031a0eee32"/>
    <w:p>
      <w:pPr>
        <w:pStyle w:val="Heading3"/>
      </w:pPr>
      <w:r>
        <w:t xml:space="preserve">A2. Research Interests and Intellectual Influences</w:t>
      </w:r>
    </w:p>
    <w:p>
      <w:pPr>
        <w:pStyle w:val="FirstParagraph"/>
      </w:pPr>
      <w:r>
        <w:t xml:space="preserve">[TO BE COMPLETED]</w:t>
      </w:r>
    </w:p>
    <w:p>
      <w:pPr>
        <w:pStyle w:val="BodyText"/>
      </w:pPr>
      <w:r>
        <w:t xml:space="preserve">The author’s research lies at the intersection of international political economy, global finance, and technology governance. Key intellectual influences include the structural power tradition (Strange), the political economy of financial intermediation (Minsky, Gabor), and the technology-finance nexus (Perez).</w:t>
      </w:r>
    </w:p>
    <w:bookmarkEnd w:id="12"/>
    <w:bookmarkStart w:id="13" w:name="a3.-publication-track-record"/>
    <w:p>
      <w:pPr>
        <w:pStyle w:val="Heading3"/>
      </w:pPr>
      <w:r>
        <w:t xml:space="preserve">A3. Publication Track Record</w:t>
      </w:r>
    </w:p>
    <w:p>
      <w:pPr>
        <w:pStyle w:val="FirstParagraph"/>
      </w:pPr>
      <w:r>
        <w:t xml:space="preserve">[TO BE COMPLETED — List peer-reviewed articles, book chapters, working papers, policy reports]</w:t>
      </w:r>
    </w:p>
    <w:bookmarkEnd w:id="13"/>
    <w:bookmarkStart w:id="14" w:name="a4.-previous-books"/>
    <w:p>
      <w:pPr>
        <w:pStyle w:val="Heading3"/>
      </w:pPr>
      <w:r>
        <w:t xml:space="preserve">A4. Previous Books</w:t>
      </w:r>
    </w:p>
    <w:p>
      <w:pPr>
        <w:pStyle w:val="FirstParagraph"/>
      </w:pPr>
      <w:r>
        <w:t xml:space="preserve">[TO BE COMPLETED — List any previously published books, or state</w:t>
      </w:r>
      <w:r>
        <w:t xml:space="preserve"> </w:t>
      </w:r>
      <w:r>
        <w:t xml:space="preserve">“This is the author’s first book-length monograph”</w:t>
      </w:r>
      <w:r>
        <w:t xml:space="preserve">]</w:t>
      </w:r>
    </w:p>
    <w:bookmarkEnd w:id="14"/>
    <w:bookmarkStart w:id="15" w:name="a5.-is-the-book-based-on-a-thesis"/>
    <w:p>
      <w:pPr>
        <w:pStyle w:val="Heading3"/>
      </w:pPr>
      <w:r>
        <w:t xml:space="preserve">A5. Is the Book Based on a Thesis?</w:t>
      </w:r>
    </w:p>
    <w:p>
      <w:pPr>
        <w:pStyle w:val="FirstParagraph"/>
      </w:pPr>
      <w:r>
        <w:t xml:space="preserve">No. The book is an original research monograph developed independently.</w:t>
      </w:r>
    </w:p>
    <w:bookmarkEnd w:id="15"/>
    <w:bookmarkStart w:id="16" w:name="a6.-nominated-referees"/>
    <w:p>
      <w:pPr>
        <w:pStyle w:val="Heading3"/>
      </w:pPr>
      <w:r>
        <w:t xml:space="preserve">A6. Nominated Referees</w:t>
      </w:r>
    </w:p>
    <w:p>
      <w:pPr>
        <w:pStyle w:val="FirstParagraph"/>
      </w:pPr>
      <w:r>
        <w:t xml:space="preserve">The author nominates the following scholars as potential proposal reviewers:</w:t>
      </w:r>
    </w:p>
    <w:p>
      <w:pPr>
        <w:pStyle w:val="Compact"/>
        <w:numPr>
          <w:ilvl w:val="0"/>
          <w:numId w:val="1001"/>
        </w:numPr>
      </w:pPr>
      <w:r>
        <w:rPr>
          <w:b/>
          <w:bCs/>
        </w:rPr>
        <w:t xml:space="preserve">[REFEREE 1]</w:t>
      </w:r>
      <w:r>
        <w:t xml:space="preserve">, [Position], [Institution] — Expertise: [area]</w:t>
      </w:r>
    </w:p>
    <w:p>
      <w:pPr>
        <w:pStyle w:val="Compact"/>
        <w:numPr>
          <w:ilvl w:val="0"/>
          <w:numId w:val="1001"/>
        </w:numPr>
      </w:pPr>
      <w:r>
        <w:rPr>
          <w:b/>
          <w:bCs/>
        </w:rPr>
        <w:t xml:space="preserve">[REFEREE 2]</w:t>
      </w:r>
      <w:r>
        <w:t xml:space="preserve">, [Position], [Institution] — Expertise: [area]</w:t>
      </w:r>
    </w:p>
    <w:p>
      <w:pPr>
        <w:pStyle w:val="Compact"/>
        <w:numPr>
          <w:ilvl w:val="0"/>
          <w:numId w:val="1001"/>
        </w:numPr>
      </w:pPr>
      <w:r>
        <w:rPr>
          <w:b/>
          <w:bCs/>
        </w:rPr>
        <w:t xml:space="preserve">[REFEREE 3]</w:t>
      </w:r>
      <w:r>
        <w:t xml:space="preserve">, [Position], [Institution] — Expertise: [area]</w:t>
      </w:r>
    </w:p>
    <w:bookmarkEnd w:id="16"/>
    <w:bookmarkStart w:id="17" w:name="a7.-co-authors-contributors"/>
    <w:p>
      <w:pPr>
        <w:pStyle w:val="Heading3"/>
      </w:pPr>
      <w:r>
        <w:t xml:space="preserve">A7. Co-authors / Contributors</w:t>
      </w:r>
    </w:p>
    <w:p>
      <w:pPr>
        <w:pStyle w:val="FirstParagraph"/>
      </w:pPr>
      <w:r>
        <w:t xml:space="preserve">This is a single-authored monograph. No co-authors or contributors.</w:t>
      </w:r>
    </w:p>
    <w:p>
      <w:r>
        <w:pict>
          <v:rect style="width:0;height:1.5pt" o:hralign="center" o:hrstd="t" o:hr="t"/>
        </w:pict>
      </w:r>
    </w:p>
    <w:bookmarkEnd w:id="17"/>
    <w:bookmarkEnd w:id="18"/>
    <w:bookmarkStart w:id="27" w:name="section-b-the-book"/>
    <w:p>
      <w:pPr>
        <w:pStyle w:val="Heading1"/>
      </w:pPr>
      <w:r>
        <w:t xml:space="preserve">SECTION B: THE BOOK</w:t>
      </w:r>
    </w:p>
    <w:bookmarkStart w:id="19" w:name="b8.-proposed-title-and-subtitle"/>
    <w:p>
      <w:pPr>
        <w:pStyle w:val="Heading3"/>
      </w:pPr>
      <w:r>
        <w:t xml:space="preserve">B8. Proposed Title and Subtitle</w:t>
      </w:r>
    </w:p>
    <w:p>
      <w:pPr>
        <w:pStyle w:val="FirstParagraph"/>
      </w:pPr>
      <w:r>
        <w:rPr>
          <w:b/>
          <w:bCs/>
        </w:rPr>
        <w:t xml:space="preserve">The Strategic Capital Order: Finance, Technology, and the New Global Hierarchy</w:t>
      </w:r>
    </w:p>
    <w:bookmarkEnd w:id="19"/>
    <w:bookmarkStart w:id="20" w:name="b9.-estimated-word-count"/>
    <w:p>
      <w:pPr>
        <w:pStyle w:val="Heading3"/>
      </w:pPr>
      <w:r>
        <w:t xml:space="preserve">B9. Estimated Word Count</w:t>
      </w:r>
    </w:p>
    <w:p>
      <w:pPr>
        <w:pStyle w:val="Compact"/>
        <w:numPr>
          <w:ilvl w:val="0"/>
          <w:numId w:val="1002"/>
        </w:numPr>
      </w:pPr>
      <w:r>
        <w:t xml:space="preserve">Main text: ~144,000 words</w:t>
      </w:r>
    </w:p>
    <w:p>
      <w:pPr>
        <w:pStyle w:val="Compact"/>
        <w:numPr>
          <w:ilvl w:val="0"/>
          <w:numId w:val="1002"/>
        </w:numPr>
      </w:pPr>
      <w:r>
        <w:t xml:space="preserve">Notes, references, bibliography: ~16,000 words</w:t>
      </w:r>
    </w:p>
    <w:p>
      <w:pPr>
        <w:pStyle w:val="Compact"/>
        <w:numPr>
          <w:ilvl w:val="0"/>
          <w:numId w:val="1002"/>
        </w:numPr>
      </w:pPr>
      <w:r>
        <w:t xml:space="preserve">Tables and figures: ~10,000 words (equivalent; ~15–20 tables, 10–15 figures at 500 words each per EE convention)</w:t>
      </w:r>
    </w:p>
    <w:p>
      <w:pPr>
        <w:pStyle w:val="Compact"/>
        <w:numPr>
          <w:ilvl w:val="0"/>
          <w:numId w:val="1002"/>
        </w:numPr>
      </w:pPr>
      <w:r>
        <w:rPr>
          <w:b/>
          <w:bCs/>
        </w:rPr>
        <w:t xml:space="preserve">Total: ~170,000 words</w:t>
      </w:r>
    </w:p>
    <w:bookmarkEnd w:id="20"/>
    <w:bookmarkStart w:id="21" w:name="b10.-expected-delivery-date"/>
    <w:p>
      <w:pPr>
        <w:pStyle w:val="Heading3"/>
      </w:pPr>
      <w:r>
        <w:t xml:space="preserve">B10. Expected Delivery Date</w:t>
      </w:r>
    </w:p>
    <w:p>
      <w:pPr>
        <w:pStyle w:val="FirstParagraph"/>
      </w:pPr>
      <w:r>
        <w:t xml:space="preserve">18 months from contract signing.</w:t>
      </w:r>
    </w:p>
    <w:bookmarkEnd w:id="21"/>
    <w:bookmarkStart w:id="22" w:name="b11.-targeted-series"/>
    <w:p>
      <w:pPr>
        <w:pStyle w:val="Heading3"/>
      </w:pPr>
      <w:r>
        <w:t xml:space="preserve">B11. Targeted Series</w:t>
      </w:r>
    </w:p>
    <w:p>
      <w:pPr>
        <w:pStyle w:val="FirstParagraph"/>
      </w:pPr>
      <w:r>
        <w:t xml:space="preserve">The book is proposed as a</w:t>
      </w:r>
      <w:r>
        <w:t xml:space="preserve"> </w:t>
      </w:r>
      <w:r>
        <w:rPr>
          <w:b/>
          <w:bCs/>
        </w:rPr>
        <w:t xml:space="preserve">standalone monograph</w:t>
      </w:r>
      <w:r>
        <w:t xml:space="preserve">. The interdisciplinary scope (IPE + financial economics + technology governance + development studies) and substantial length (144,000 words across 14 chapters) support standalone treatment.</w:t>
      </w:r>
    </w:p>
    <w:p>
      <w:pPr>
        <w:pStyle w:val="BodyText"/>
      </w:pPr>
      <w:r>
        <w:t xml:space="preserve">Should the editors prefer series placement, the book is thematically adjacent to:</w:t>
      </w:r>
      <w:r>
        <w:t xml:space="preserve"> </w:t>
      </w:r>
      <w:r>
        <w:t xml:space="preserve">- Handbooks of Research on International Political Economy series</w:t>
      </w:r>
      <w:r>
        <w:t xml:space="preserve"> </w:t>
      </w:r>
      <w:r>
        <w:t xml:space="preserve">- Innovation, Technology and Knowledge Management series</w:t>
      </w:r>
    </w:p>
    <w:bookmarkEnd w:id="22"/>
    <w:bookmarkStart w:id="23" w:name="Xdb76a40fa68df1718f3c74908e491ed501a164a"/>
    <w:p>
      <w:pPr>
        <w:pStyle w:val="Heading3"/>
      </w:pPr>
      <w:r>
        <w:t xml:space="preserve">B12. Number and Type of Figures and Tables</w:t>
      </w:r>
    </w:p>
    <w:p>
      <w:pPr>
        <w:pStyle w:val="Compact"/>
        <w:numPr>
          <w:ilvl w:val="0"/>
          <w:numId w:val="1003"/>
        </w:numPr>
      </w:pPr>
      <w:r>
        <w:t xml:space="preserve">~15–20 tables: comparative CAC data, margin analysis across value chains, country profiles, financing structure breakdowns, scenario matrices, historical comparisons</w:t>
      </w:r>
    </w:p>
    <w:p>
      <w:pPr>
        <w:pStyle w:val="Compact"/>
        <w:numPr>
          <w:ilvl w:val="0"/>
          <w:numId w:val="1003"/>
        </w:numPr>
      </w:pPr>
      <w:r>
        <w:t xml:space="preserve">~10–15 figures: value chain maps, financing architecture diagrams, radar profiles of CAC dimensions, historical comparison charts, risk interaction flowcharts</w:t>
      </w:r>
    </w:p>
    <w:bookmarkEnd w:id="23"/>
    <w:bookmarkStart w:id="24" w:name="b13.-special-features"/>
    <w:p>
      <w:pPr>
        <w:pStyle w:val="Heading3"/>
      </w:pPr>
      <w:r>
        <w:t xml:space="preserve">B13. Special Features</w:t>
      </w:r>
    </w:p>
    <w:p>
      <w:pPr>
        <w:pStyle w:val="Compact"/>
        <w:numPr>
          <w:ilvl w:val="0"/>
          <w:numId w:val="1004"/>
        </w:numPr>
      </w:pPr>
      <w:r>
        <w:rPr>
          <w:b/>
          <w:bCs/>
        </w:rPr>
        <w:t xml:space="preserve">Novel analytical framework (CAC)</w:t>
      </w:r>
      <w:r>
        <w:t xml:space="preserve"> </w:t>
      </w:r>
      <w:r>
        <w:t xml:space="preserve">with five measurable dimensions enabling systematic cross-country comparison</w:t>
      </w:r>
    </w:p>
    <w:p>
      <w:pPr>
        <w:pStyle w:val="Compact"/>
        <w:numPr>
          <w:ilvl w:val="0"/>
          <w:numId w:val="1004"/>
        </w:numPr>
      </w:pPr>
      <w:r>
        <w:rPr>
          <w:b/>
          <w:bCs/>
        </w:rPr>
        <w:t xml:space="preserve">Six-tier country typology</w:t>
      </w:r>
      <w:r>
        <w:t xml:space="preserve"> </w:t>
      </w:r>
      <w:r>
        <w:t xml:space="preserve">derived from empirical profiles</w:t>
      </w:r>
    </w:p>
    <w:p>
      <w:pPr>
        <w:pStyle w:val="Compact"/>
        <w:numPr>
          <w:ilvl w:val="0"/>
          <w:numId w:val="1004"/>
        </w:numPr>
      </w:pPr>
      <w:r>
        <w:rPr>
          <w:b/>
          <w:bCs/>
        </w:rPr>
        <w:t xml:space="preserve">Eight specified causal mechanisms</w:t>
      </w:r>
      <w:r>
        <w:t xml:space="preserve"> </w:t>
      </w:r>
      <w:r>
        <w:t xml:space="preserve">linking capital allocation to global dominance</w:t>
      </w:r>
    </w:p>
    <w:p>
      <w:pPr>
        <w:pStyle w:val="Compact"/>
        <w:numPr>
          <w:ilvl w:val="0"/>
          <w:numId w:val="1004"/>
        </w:numPr>
      </w:pPr>
      <w:r>
        <w:rPr>
          <w:b/>
          <w:bCs/>
        </w:rPr>
        <w:t xml:space="preserve">Five forward-looking scenarios</w:t>
      </w:r>
      <w:r>
        <w:t xml:space="preserve"> </w:t>
      </w:r>
      <w:r>
        <w:t xml:space="preserve">to 2035 with probability assessments</w:t>
      </w:r>
    </w:p>
    <w:p>
      <w:pPr>
        <w:pStyle w:val="Compact"/>
        <w:numPr>
          <w:ilvl w:val="0"/>
          <w:numId w:val="1004"/>
        </w:numPr>
      </w:pPr>
      <w:r>
        <w:rPr>
          <w:b/>
          <w:bCs/>
        </w:rPr>
        <w:t xml:space="preserve">Policy implications</w:t>
      </w:r>
      <w:r>
        <w:t xml:space="preserve"> </w:t>
      </w:r>
      <w:r>
        <w:t xml:space="preserve">tailored to each hierarchical tier</w:t>
      </w:r>
    </w:p>
    <w:bookmarkEnd w:id="24"/>
    <w:bookmarkStart w:id="25" w:name="b14.-index"/>
    <w:p>
      <w:pPr>
        <w:pStyle w:val="Heading3"/>
      </w:pPr>
      <w:r>
        <w:t xml:space="preserve">B14. Index</w:t>
      </w:r>
    </w:p>
    <w:p>
      <w:pPr>
        <w:pStyle w:val="FirstParagraph"/>
      </w:pPr>
      <w:r>
        <w:t xml:space="preserve">An index will be prepared upon final manuscript approval, in accordance with EE guidelines.</w:t>
      </w:r>
    </w:p>
    <w:bookmarkEnd w:id="25"/>
    <w:bookmarkStart w:id="26" w:name="b15.-supplementary-materials"/>
    <w:p>
      <w:pPr>
        <w:pStyle w:val="Heading3"/>
      </w:pPr>
      <w:r>
        <w:t xml:space="preserve">B15. Supplementary Materials</w:t>
      </w:r>
    </w:p>
    <w:p>
      <w:pPr>
        <w:pStyle w:val="FirstParagraph"/>
      </w:pPr>
      <w:r>
        <w:t xml:space="preserve">No supplementary online materials planned at this stage. The author is open to providing a companion data appendix with CAC indicators if the editor considers it valuable.</w:t>
      </w:r>
    </w:p>
    <w:p>
      <w:r>
        <w:pict>
          <v:rect style="width:0;height:1.5pt" o:hralign="center" o:hrstd="t" o:hr="t"/>
        </w:pict>
      </w:r>
    </w:p>
    <w:bookmarkEnd w:id="26"/>
    <w:bookmarkEnd w:id="27"/>
    <w:bookmarkStart w:id="35" w:name="section-c-the-synopsis"/>
    <w:p>
      <w:pPr>
        <w:pStyle w:val="Heading1"/>
      </w:pPr>
      <w:r>
        <w:t xml:space="preserve">SECTION C: THE SYNOPSIS</w:t>
      </w:r>
    </w:p>
    <w:bookmarkStart w:id="28" w:name="c16.-book-overview-synopsis"/>
    <w:p>
      <w:pPr>
        <w:pStyle w:val="Heading3"/>
      </w:pPr>
      <w:r>
        <w:t xml:space="preserve">C16. Book Overview / Synopsis</w:t>
      </w:r>
    </w:p>
    <w:p>
      <w:pPr>
        <w:pStyle w:val="FirstParagraph"/>
      </w:pPr>
      <w:r>
        <w:rPr>
          <w:i/>
          <w:iCs/>
        </w:rPr>
        <w:t xml:space="preserve">(See full text in proposal/02_book_synopsis.md — summarized below)</w:t>
      </w:r>
    </w:p>
    <w:p>
      <w:pPr>
        <w:pStyle w:val="BodyText"/>
      </w:pPr>
      <w:r>
        <w:t xml:space="preserve">The global political economy is undergoing a capital reallocation of historic proportions. This book introduces</w:t>
      </w:r>
      <w:r>
        <w:t xml:space="preserve"> </w:t>
      </w:r>
      <w:r>
        <w:rPr>
          <w:b/>
          <w:bCs/>
        </w:rPr>
        <w:t xml:space="preserve">Capital Allocation Capacity (CAC)</w:t>
      </w:r>
      <w:r>
        <w:t xml:space="preserve"> </w:t>
      </w:r>
      <w:r>
        <w:t xml:space="preserve">as a new analytical framework for understanding how finance, technology, and geopolitics jointly produce a new global hierarchy.</w:t>
      </w:r>
    </w:p>
    <w:p>
      <w:pPr>
        <w:pStyle w:val="BodyText"/>
      </w:pPr>
      <w:r>
        <w:t xml:space="preserve">The central argument: position in the emerging order is determined not by technology ownership as such, but by the capacity to mobilize, structure, and direct capital into strategic points of the value chain spanning AI, semiconductors, energy infrastructure, and critical minerals. This capacity — combining financial depth, technological position, resource access, institutional quality, and geopolitical alignment — has become the primary determinant of a country’s hierarchical position.</w:t>
      </w:r>
    </w:p>
    <w:p>
      <w:pPr>
        <w:pStyle w:val="BodyText"/>
      </w:pPr>
      <w:r>
        <w:t xml:space="preserve">The book develops this argument in three stages: (1) mapping the integrated investment complex and its chokepoints; (2) analyzing the transformed financial intermediation architecture (NBFI, development banks, state guarantees); (3) tracing how capital allocation capacity translates into hierarchy through eight causal mechanisms. It applies the framework globally, constructing a six-tier hierarchy from AI Capital Hubs to Excluded countries, and concludes with systemic risk analysis and five scenarios to 2035.</w:t>
      </w:r>
    </w:p>
    <w:bookmarkEnd w:id="28"/>
    <w:bookmarkStart w:id="29" w:name="c17.-why-is-there-a-need-for-this-book"/>
    <w:p>
      <w:pPr>
        <w:pStyle w:val="Heading3"/>
      </w:pPr>
      <w:r>
        <w:t xml:space="preserve">C17. Why Is There a Need for This Book?</w:t>
      </w:r>
    </w:p>
    <w:p>
      <w:pPr>
        <w:pStyle w:val="FirstParagraph"/>
      </w:pPr>
      <w:r>
        <w:t xml:space="preserve">The current wave of strategic technology investment — exceeding $600 billion annually in AI infrastructure alone — is reshaping global power. Yet existing analytical frameworks address fragments of this transformation:</w:t>
      </w:r>
    </w:p>
    <w:p>
      <w:pPr>
        <w:pStyle w:val="Compact"/>
        <w:numPr>
          <w:ilvl w:val="0"/>
          <w:numId w:val="1005"/>
        </w:numPr>
      </w:pPr>
      <w:r>
        <w:t xml:space="preserve">IPE literature analyzes power structures but lacks operationalized frameworks for the technology-finance nexus</w:t>
      </w:r>
    </w:p>
    <w:p>
      <w:pPr>
        <w:pStyle w:val="Compact"/>
        <w:numPr>
          <w:ilvl w:val="0"/>
          <w:numId w:val="1005"/>
        </w:numPr>
      </w:pPr>
      <w:r>
        <w:t xml:space="preserve">Technology governance literature maps supply chains but ignores financing mechanisms</w:t>
      </w:r>
    </w:p>
    <w:p>
      <w:pPr>
        <w:pStyle w:val="Compact"/>
        <w:numPr>
          <w:ilvl w:val="0"/>
          <w:numId w:val="1005"/>
        </w:numPr>
      </w:pPr>
      <w:r>
        <w:t xml:space="preserve">Financial economics literature analyzes intermediation but not its geopolitical consequences</w:t>
      </w:r>
    </w:p>
    <w:p>
      <w:pPr>
        <w:pStyle w:val="Compact"/>
        <w:numPr>
          <w:ilvl w:val="0"/>
          <w:numId w:val="1005"/>
        </w:numPr>
      </w:pPr>
      <w:r>
        <w:t xml:space="preserve">Policy analysis is sector-specific and geographically limited</w:t>
      </w:r>
    </w:p>
    <w:p>
      <w:pPr>
        <w:pStyle w:val="FirstParagraph"/>
      </w:pPr>
      <w:r>
        <w:t xml:space="preserve">No existing work integrates the financial intermediation transformation (the shift to NBFI, development banks, and state guarantees), the strategic technology value chain (AI, semiconductors, energy, critical minerals), and the resulting global hierarchy into a single analytical framework. This gap is not merely academic — it prevents policymakers, investors, and scholars from understanding the structural forces shaping the next decades of global order.</w:t>
      </w:r>
    </w:p>
    <w:bookmarkEnd w:id="29"/>
    <w:bookmarkStart w:id="30" w:name="X043afb5fcc5d14008569c94ecdc3463089e3def"/>
    <w:p>
      <w:pPr>
        <w:pStyle w:val="Heading3"/>
      </w:pPr>
      <w:r>
        <w:t xml:space="preserve">C18. What New Material or Theoretical Approach Does the Book Offer?</w:t>
      </w:r>
    </w:p>
    <w:p>
      <w:pPr>
        <w:pStyle w:val="FirstParagraph"/>
      </w:pPr>
      <w:r>
        <w:rPr>
          <w:i/>
          <w:iCs/>
        </w:rPr>
        <w:t xml:space="preserve">(See full text in proposal/03_original_contribution.md — summarized below)</w:t>
      </w:r>
    </w:p>
    <w:p>
      <w:pPr>
        <w:pStyle w:val="BodyText"/>
      </w:pPr>
      <w:r>
        <w:t xml:space="preserve">Six original contributions:</w:t>
      </w:r>
    </w:p>
    <w:p>
      <w:pPr>
        <w:pStyle w:val="Compact"/>
        <w:numPr>
          <w:ilvl w:val="0"/>
          <w:numId w:val="1006"/>
        </w:numPr>
      </w:pPr>
      <w:r>
        <w:rPr>
          <w:b/>
          <w:bCs/>
        </w:rPr>
        <w:t xml:space="preserve">CAC as analytical framework</w:t>
      </w:r>
      <w:r>
        <w:t xml:space="preserve"> </w:t>
      </w:r>
      <w:r>
        <w:t xml:space="preserve">— five measurable dimensions integrating what Strange, Farrell/Newman, Mazzucato, Gabor, and Perez treat separately</w:t>
      </w:r>
    </w:p>
    <w:p>
      <w:pPr>
        <w:pStyle w:val="Compact"/>
        <w:numPr>
          <w:ilvl w:val="0"/>
          <w:numId w:val="1006"/>
        </w:numPr>
      </w:pPr>
      <w:r>
        <w:rPr>
          <w:b/>
          <w:bCs/>
        </w:rPr>
        <w:t xml:space="preserve">Operationalization</w:t>
      </w:r>
      <w:r>
        <w:t xml:space="preserve"> </w:t>
      </w:r>
      <w:r>
        <w:t xml:space="preserve">— specific indicators enabling systematic cross-country comparison and typology construction</w:t>
      </w:r>
    </w:p>
    <w:p>
      <w:pPr>
        <w:pStyle w:val="Compact"/>
        <w:numPr>
          <w:ilvl w:val="0"/>
          <w:numId w:val="1006"/>
        </w:numPr>
      </w:pPr>
      <w:r>
        <w:rPr>
          <w:b/>
          <w:bCs/>
        </w:rPr>
        <w:t xml:space="preserve">Eight causal mechanisms</w:t>
      </w:r>
      <w:r>
        <w:t xml:space="preserve"> </w:t>
      </w:r>
      <w:r>
        <w:t xml:space="preserve">— specified and empirically documented links between capital allocation and global dominance</w:t>
      </w:r>
    </w:p>
    <w:p>
      <w:pPr>
        <w:pStyle w:val="Compact"/>
        <w:numPr>
          <w:ilvl w:val="0"/>
          <w:numId w:val="1006"/>
        </w:numPr>
      </w:pPr>
      <w:r>
        <w:rPr>
          <w:b/>
          <w:bCs/>
        </w:rPr>
        <w:t xml:space="preserve">Financial intermediation analysis</w:t>
      </w:r>
      <w:r>
        <w:t xml:space="preserve"> </w:t>
      </w:r>
      <w:r>
        <w:t xml:space="preserve">— first integrated political economy study of how NBFI, PE, development banks, and state guarantees collectively finance strategic technology</w:t>
      </w:r>
    </w:p>
    <w:p>
      <w:pPr>
        <w:pStyle w:val="Compact"/>
        <w:numPr>
          <w:ilvl w:val="0"/>
          <w:numId w:val="1006"/>
        </w:numPr>
      </w:pPr>
      <w:r>
        <w:rPr>
          <w:b/>
          <w:bCs/>
        </w:rPr>
        <w:t xml:space="preserve">Perspective from beyond the center</w:t>
      </w:r>
      <w:r>
        <w:t xml:space="preserve"> </w:t>
      </w:r>
      <w:r>
        <w:t xml:space="preserve">— systematic analysis across all hierarchical tiers, not only the US-China rivalry</w:t>
      </w:r>
    </w:p>
    <w:p>
      <w:pPr>
        <w:pStyle w:val="Compact"/>
        <w:numPr>
          <w:ilvl w:val="0"/>
          <w:numId w:val="1006"/>
        </w:numPr>
      </w:pPr>
      <w:r>
        <w:rPr>
          <w:b/>
          <w:bCs/>
        </w:rPr>
        <w:t xml:space="preserve">New systemic risk identification</w:t>
      </w:r>
      <w:r>
        <w:t xml:space="preserve"> </w:t>
      </w:r>
      <w:r>
        <w:t xml:space="preserve">— risks at the intersection of technology concentration and financial intermediation transformation</w:t>
      </w:r>
    </w:p>
    <w:bookmarkEnd w:id="30"/>
    <w:bookmarkStart w:id="31" w:name="c19.-draft-table-of-contents"/>
    <w:p>
      <w:pPr>
        <w:pStyle w:val="Heading3"/>
      </w:pPr>
      <w:r>
        <w:t xml:space="preserve">C19. Draft Table of Contents</w:t>
      </w:r>
    </w:p>
    <w:p>
      <w:pPr>
        <w:pStyle w:val="FirstParagraph"/>
      </w:pPr>
      <w:r>
        <w:rPr>
          <w:i/>
          <w:iCs/>
        </w:rPr>
        <w:t xml:space="preserve">(See full table of contents with chapter summaries in proposal/04_table_of_contents.md)</w:t>
      </w:r>
    </w:p>
    <w:p>
      <w:pPr>
        <w:pStyle w:val="BodyText"/>
      </w:pPr>
      <w:r>
        <w:rPr>
          <w:b/>
          <w:bCs/>
        </w:rPr>
        <w:t xml:space="preserve">Introduction:</w:t>
      </w:r>
      <w:r>
        <w:t xml:space="preserve"> </w:t>
      </w:r>
      <w:r>
        <w:t xml:space="preserve">Strategic Capital as a Variable Shaping Global Order (10,000 words)</w:t>
      </w:r>
    </w:p>
    <w:p>
      <w:pPr>
        <w:pStyle w:val="BodyText"/>
      </w:pPr>
      <w:r>
        <w:rPr>
          <w:b/>
          <w:bCs/>
        </w:rPr>
        <w:t xml:space="preserve">Part I: Theoretical Framework</w:t>
      </w:r>
      <w:r>
        <w:t xml:space="preserve"> </w:t>
      </w:r>
      <w:r>
        <w:t xml:space="preserve">- Chapter 1: Capital Allocation as a Source of Dominance in the Global System (10,000)</w:t>
      </w:r>
      <w:r>
        <w:t xml:space="preserve"> </w:t>
      </w:r>
      <w:r>
        <w:t xml:space="preserve">- Chapter 2: Capital Allocation Capacity — Operationalization and Measurement (10,000)</w:t>
      </w:r>
    </w:p>
    <w:p>
      <w:pPr>
        <w:pStyle w:val="BodyText"/>
      </w:pPr>
      <w:r>
        <w:rPr>
          <w:b/>
          <w:bCs/>
        </w:rPr>
        <w:t xml:space="preserve">Part II: The Object of Financing — Strategic Technology Capital</w:t>
      </w:r>
      <w:r>
        <w:t xml:space="preserve"> </w:t>
      </w:r>
      <w:r>
        <w:t xml:space="preserve">- Chapter 3: Strategic Technology Capital — Scale, Structure, Dynamics (10,000)</w:t>
      </w:r>
      <w:r>
        <w:t xml:space="preserve"> </w:t>
      </w:r>
      <w:r>
        <w:t xml:space="preserve">- Chapter 4: Value Chain Architecture and Control Points (9,000)</w:t>
      </w:r>
    </w:p>
    <w:p>
      <w:pPr>
        <w:pStyle w:val="BodyText"/>
      </w:pPr>
      <w:r>
        <w:rPr>
          <w:b/>
          <w:bCs/>
        </w:rPr>
        <w:t xml:space="preserve">Part III: The Financing Mechanism — Intermediation Infrastructure</w:t>
      </w:r>
      <w:r>
        <w:t xml:space="preserve"> </w:t>
      </w:r>
      <w:r>
        <w:t xml:space="preserve">- Chapter 5: The Transformation of Global Financial Intermediation (10,000)</w:t>
      </w:r>
      <w:r>
        <w:t xml:space="preserve"> </w:t>
      </w:r>
      <w:r>
        <w:t xml:space="preserve">- Chapter 6: Development Banks as Architects of Risk Transformation (9,000)</w:t>
      </w:r>
      <w:r>
        <w:t xml:space="preserve"> </w:t>
      </w:r>
      <w:r>
        <w:t xml:space="preserve">- Chapter 7: The State as Guarantor of Last Resort (9,000)</w:t>
      </w:r>
    </w:p>
    <w:p>
      <w:pPr>
        <w:pStyle w:val="BodyText"/>
      </w:pPr>
      <w:r>
        <w:rPr>
          <w:b/>
          <w:bCs/>
        </w:rPr>
        <w:t xml:space="preserve">Part IV: Mechanisms of Dominance</w:t>
      </w:r>
      <w:r>
        <w:t xml:space="preserve"> </w:t>
      </w:r>
      <w:r>
        <w:t xml:space="preserve">- Chapter 8: Materialization, Path Dependency, and the Competence Spiral (10,000)</w:t>
      </w:r>
      <w:r>
        <w:t xml:space="preserve"> </w:t>
      </w:r>
      <w:r>
        <w:t xml:space="preserve">- Chapter 9: Rent Extraction, Risk Architecture, and Geopolitical Projection (9,000)</w:t>
      </w:r>
    </w:p>
    <w:p>
      <w:pPr>
        <w:pStyle w:val="BodyText"/>
      </w:pPr>
      <w:r>
        <w:rPr>
          <w:b/>
          <w:bCs/>
        </w:rPr>
        <w:t xml:space="preserve">Part V: The Global Hierarchy</w:t>
      </w:r>
      <w:r>
        <w:t xml:space="preserve"> </w:t>
      </w:r>
      <w:r>
        <w:t xml:space="preserve">- Chapter 10: Capital Allocation Centers and Specialized Nodes (10,000)</w:t>
      </w:r>
      <w:r>
        <w:t xml:space="preserve"> </w:t>
      </w:r>
      <w:r>
        <w:t xml:space="preserve">- Chapter 11: Aspirants, Resource Suppliers, and Service Consumers (10,000)</w:t>
      </w:r>
    </w:p>
    <w:p>
      <w:pPr>
        <w:pStyle w:val="BodyText"/>
      </w:pPr>
      <w:r>
        <w:rPr>
          <w:b/>
          <w:bCs/>
        </w:rPr>
        <w:t xml:space="preserve">Part VI: System Resilience and Outlook</w:t>
      </w:r>
      <w:r>
        <w:t xml:space="preserve"> </w:t>
      </w:r>
      <w:r>
        <w:t xml:space="preserve">- Chapter 12: Monetary Policy Transmission in a Disintermediated System (8,000)</w:t>
      </w:r>
      <w:r>
        <w:t xml:space="preserve"> </w:t>
      </w:r>
      <w:r>
        <w:t xml:space="preserve">- Chapter 13: New Sources of Systemic Risk (10,000)</w:t>
      </w:r>
      <w:r>
        <w:t xml:space="preserve"> </w:t>
      </w:r>
      <w:r>
        <w:t xml:space="preserve">- Chapter 14: Scenarios and Conclusions (10,000)</w:t>
      </w:r>
    </w:p>
    <w:bookmarkEnd w:id="31"/>
    <w:bookmarkStart w:id="32" w:name="c20.-key-arguments-and-conclusions"/>
    <w:p>
      <w:pPr>
        <w:pStyle w:val="Heading3"/>
      </w:pPr>
      <w:r>
        <w:t xml:space="preserve">C20. Key Arguments and Conclusions</w:t>
      </w:r>
    </w:p>
    <w:p>
      <w:pPr>
        <w:numPr>
          <w:ilvl w:val="0"/>
          <w:numId w:val="1007"/>
        </w:numPr>
      </w:pPr>
      <w:r>
        <w:t xml:space="preserve">Capital Allocation Capacity — not GDP, military spending, or technology ownership — has become the primary determinant of position in the emerging global hierarchy.</w:t>
      </w:r>
    </w:p>
    <w:p>
      <w:pPr>
        <w:numPr>
          <w:ilvl w:val="0"/>
          <w:numId w:val="1007"/>
        </w:numPr>
      </w:pPr>
      <w:r>
        <w:t xml:space="preserve">The strategic technology value chain (AI, semiconductors, energy, critical minerals) functions as an integrated investment complex where control over chokepoints requires capital of a scale and patience that few actors can mobilize.</w:t>
      </w:r>
    </w:p>
    <w:p>
      <w:pPr>
        <w:numPr>
          <w:ilvl w:val="0"/>
          <w:numId w:val="1007"/>
        </w:numPr>
      </w:pPr>
      <w:r>
        <w:t xml:space="preserve">Financial intermediation has undergone a structural transformation: commercial banks have retreated; NBFI, development banks, and state guarantees have become the dominant financing architecture for strategic technology.</w:t>
      </w:r>
    </w:p>
    <w:p>
      <w:pPr>
        <w:numPr>
          <w:ilvl w:val="0"/>
          <w:numId w:val="1007"/>
        </w:numPr>
      </w:pPr>
      <w:r>
        <w:t xml:space="preserve">Eight causal mechanisms (materialization, path dependency, competence spiral, rent extraction, risk architecture, temporal advantage, geopolitical projection, cumulation) link capital allocation to global dominance, and their interaction produces self-reinforcing hierarchies.</w:t>
      </w:r>
    </w:p>
    <w:p>
      <w:pPr>
        <w:numPr>
          <w:ilvl w:val="0"/>
          <w:numId w:val="1007"/>
        </w:numPr>
      </w:pPr>
      <w:r>
        <w:t xml:space="preserve">The global hierarchy has crystallized into six tiers, from AI Capital Hubs to Excluded countries, with movement between tiers extremely difficult due to compounding advantages at the top and compounding constraints at the bottom.</w:t>
      </w:r>
    </w:p>
    <w:p>
      <w:pPr>
        <w:numPr>
          <w:ilvl w:val="0"/>
          <w:numId w:val="1007"/>
        </w:numPr>
      </w:pPr>
      <w:r>
        <w:t xml:space="preserve">The new financing architecture creates systemic risks — concentration, opacity, hidden fiscal liabilities, fragmentation, and geopolitical-financial feedback loops — that existing regulatory frameworks are not designed to address.</w:t>
      </w:r>
    </w:p>
    <w:bookmarkEnd w:id="32"/>
    <w:bookmarkStart w:id="33" w:name="c21.-methodology-approach"/>
    <w:p>
      <w:pPr>
        <w:pStyle w:val="Heading3"/>
      </w:pPr>
      <w:r>
        <w:t xml:space="preserve">C21. Methodology / Approach</w:t>
      </w:r>
    </w:p>
    <w:p>
      <w:pPr>
        <w:pStyle w:val="FirstParagraph"/>
      </w:pPr>
      <w:r>
        <w:t xml:space="preserve">The book employs a mixed-methods approach:</w:t>
      </w:r>
    </w:p>
    <w:p>
      <w:pPr>
        <w:pStyle w:val="Compact"/>
        <w:numPr>
          <w:ilvl w:val="0"/>
          <w:numId w:val="1008"/>
        </w:numPr>
      </w:pPr>
      <w:r>
        <w:rPr>
          <w:b/>
          <w:bCs/>
        </w:rPr>
        <w:t xml:space="preserve">Framework development:</w:t>
      </w:r>
      <w:r>
        <w:t xml:space="preserve"> </w:t>
      </w:r>
      <w:r>
        <w:t xml:space="preserve">Conceptual and theoretical analysis drawing on IPE, financial economics, and innovation studies to construct the CAC framework</w:t>
      </w:r>
    </w:p>
    <w:p>
      <w:pPr>
        <w:pStyle w:val="Compact"/>
        <w:numPr>
          <w:ilvl w:val="0"/>
          <w:numId w:val="1008"/>
        </w:numPr>
      </w:pPr>
      <w:r>
        <w:rPr>
          <w:b/>
          <w:bCs/>
        </w:rPr>
        <w:t xml:space="preserve">Operationalization:</w:t>
      </w:r>
      <w:r>
        <w:t xml:space="preserve"> </w:t>
      </w:r>
      <w:r>
        <w:t xml:space="preserve">Index construction using publicly available data (World Bank, IMF, OECD, BIS, SIA, IEA) across five dimensions</w:t>
      </w:r>
    </w:p>
    <w:p>
      <w:pPr>
        <w:pStyle w:val="Compact"/>
        <w:numPr>
          <w:ilvl w:val="0"/>
          <w:numId w:val="1008"/>
        </w:numPr>
      </w:pPr>
      <w:r>
        <w:rPr>
          <w:b/>
          <w:bCs/>
        </w:rPr>
        <w:t xml:space="preserve">Empirical case studies:</w:t>
      </w:r>
      <w:r>
        <w:t xml:space="preserve"> </w:t>
      </w:r>
      <w:r>
        <w:t xml:space="preserve">In-depth analysis of specific cases (TSMC/Taiwan, Europe’s semiconductor trajectory, Nvidia’s ecosystem, CHIPS Act financing structures, development bank operations)</w:t>
      </w:r>
    </w:p>
    <w:p>
      <w:pPr>
        <w:pStyle w:val="Compact"/>
        <w:numPr>
          <w:ilvl w:val="0"/>
          <w:numId w:val="1008"/>
        </w:numPr>
      </w:pPr>
      <w:r>
        <w:rPr>
          <w:b/>
          <w:bCs/>
        </w:rPr>
        <w:t xml:space="preserve">Comparative analysis:</w:t>
      </w:r>
      <w:r>
        <w:t xml:space="preserve"> </w:t>
      </w:r>
      <w:r>
        <w:t xml:space="preserve">Systematic application of the CAC framework to ~30 countries across all hierarchical tiers</w:t>
      </w:r>
    </w:p>
    <w:p>
      <w:pPr>
        <w:pStyle w:val="Compact"/>
        <w:numPr>
          <w:ilvl w:val="0"/>
          <w:numId w:val="1008"/>
        </w:numPr>
      </w:pPr>
      <w:r>
        <w:rPr>
          <w:b/>
          <w:bCs/>
        </w:rPr>
        <w:t xml:space="preserve">Historical comparison:</w:t>
      </w:r>
      <w:r>
        <w:t xml:space="preserve"> </w:t>
      </w:r>
      <w:r>
        <w:t xml:space="preserve">Long-run data from the Macrohistory Database and BEA for comparison with previous capital reallocation episodes</w:t>
      </w:r>
    </w:p>
    <w:p>
      <w:pPr>
        <w:pStyle w:val="Compact"/>
        <w:numPr>
          <w:ilvl w:val="0"/>
          <w:numId w:val="1008"/>
        </w:numPr>
      </w:pPr>
      <w:r>
        <w:rPr>
          <w:b/>
          <w:bCs/>
        </w:rPr>
        <w:t xml:space="preserve">Scenario analysis:</w:t>
      </w:r>
      <w:r>
        <w:t xml:space="preserve"> </w:t>
      </w:r>
      <w:r>
        <w:t xml:space="preserve">Structured scenario development using morphological analysis for 2035 projections</w:t>
      </w:r>
    </w:p>
    <w:bookmarkEnd w:id="33"/>
    <w:bookmarkStart w:id="34" w:name="c22.-relationship-to-authors-other-work"/>
    <w:p>
      <w:pPr>
        <w:pStyle w:val="Heading3"/>
      </w:pPr>
      <w:r>
        <w:t xml:space="preserve">C22. Relationship to Author’s Other Work</w:t>
      </w:r>
    </w:p>
    <w:p>
      <w:pPr>
        <w:pStyle w:val="FirstParagraph"/>
      </w:pPr>
      <w:r>
        <w:t xml:space="preserve">[TO BE COMPLETED — Describe how this book relates to the author’s existing research agenda, publications, and ongoing projects]</w:t>
      </w:r>
    </w:p>
    <w:p>
      <w:r>
        <w:pict>
          <v:rect style="width:0;height:1.5pt" o:hralign="center" o:hrstd="t" o:hr="t"/>
        </w:pict>
      </w:r>
    </w:p>
    <w:bookmarkEnd w:id="34"/>
    <w:bookmarkEnd w:id="35"/>
    <w:bookmarkStart w:id="41" w:name="section-d-the-market"/>
    <w:p>
      <w:pPr>
        <w:pStyle w:val="Heading1"/>
      </w:pPr>
      <w:r>
        <w:t xml:space="preserve">SECTION D: THE MARKET</w:t>
      </w:r>
    </w:p>
    <w:bookmarkStart w:id="36" w:name="d23.-primary-readership-target-audience"/>
    <w:p>
      <w:pPr>
        <w:pStyle w:val="Heading3"/>
      </w:pPr>
      <w:r>
        <w:t xml:space="preserve">D23. Primary Readership / Target Audience</w:t>
      </w:r>
    </w:p>
    <w:p>
      <w:pPr>
        <w:pStyle w:val="FirstParagraph"/>
      </w:pPr>
      <w:r>
        <w:rPr>
          <w:b/>
          <w:bCs/>
        </w:rPr>
        <w:t xml:space="preserve">Primary academic:</w:t>
      </w:r>
      <w:r>
        <w:t xml:space="preserve"> </w:t>
      </w:r>
      <w:r>
        <w:t xml:space="preserve">IPE scholars and students; financial economics researchers; technology governance and innovation studies scholars; development studies researchers.</w:t>
      </w:r>
    </w:p>
    <w:p>
      <w:pPr>
        <w:pStyle w:val="BodyText"/>
      </w:pPr>
      <w:r>
        <w:rPr>
          <w:b/>
          <w:bCs/>
        </w:rPr>
        <w:t xml:space="preserve">Practitioners:</w:t>
      </w:r>
      <w:r>
        <w:t xml:space="preserve"> </w:t>
      </w:r>
      <w:r>
        <w:t xml:space="preserve">Investment professionals in strategic technology sectors; development bank professionals (EIB, KfW, JBIC, World Bank, EBRD); central bank and financial stability officials (BIS, FSB); sovereign wealth fund analysts.</w:t>
      </w:r>
    </w:p>
    <w:p>
      <w:pPr>
        <w:pStyle w:val="BodyText"/>
      </w:pPr>
      <w:r>
        <w:rPr>
          <w:b/>
          <w:bCs/>
        </w:rPr>
        <w:t xml:space="preserve">Policy:</w:t>
      </w:r>
      <w:r>
        <w:t xml:space="preserve"> </w:t>
      </w:r>
      <w:r>
        <w:t xml:space="preserve">Government officials in finance/economy/industry ministries; think tank researchers (Bruegel, CSIS, Chatham House, IISS, Peterson Institute).</w:t>
      </w:r>
    </w:p>
    <w:bookmarkEnd w:id="36"/>
    <w:bookmarkStart w:id="37" w:name="d24.-secondary-markets-course-adoption"/>
    <w:p>
      <w:pPr>
        <w:pStyle w:val="Heading3"/>
      </w:pPr>
      <w:r>
        <w:t xml:space="preserve">D24. Secondary Markets / Course Adoption</w:t>
      </w:r>
    </w:p>
    <w:p>
      <w:pPr>
        <w:pStyle w:val="Compact"/>
        <w:numPr>
          <w:ilvl w:val="0"/>
          <w:numId w:val="1009"/>
        </w:numPr>
      </w:pPr>
      <w:r>
        <w:t xml:space="preserve">Graduate seminars in IPE (core or supplementary reading)</w:t>
      </w:r>
    </w:p>
    <w:p>
      <w:pPr>
        <w:pStyle w:val="Compact"/>
        <w:numPr>
          <w:ilvl w:val="0"/>
          <w:numId w:val="1009"/>
        </w:numPr>
      </w:pPr>
      <w:r>
        <w:t xml:space="preserve">Graduate courses in global finance and financial intermediation</w:t>
      </w:r>
    </w:p>
    <w:p>
      <w:pPr>
        <w:pStyle w:val="Compact"/>
        <w:numPr>
          <w:ilvl w:val="0"/>
          <w:numId w:val="1009"/>
        </w:numPr>
      </w:pPr>
      <w:r>
        <w:t xml:space="preserve">Technology policy and governance programs</w:t>
      </w:r>
    </w:p>
    <w:p>
      <w:pPr>
        <w:pStyle w:val="Compact"/>
        <w:numPr>
          <w:ilvl w:val="0"/>
          <w:numId w:val="1009"/>
        </w:numPr>
      </w:pPr>
      <w:r>
        <w:t xml:space="preserve">MBA and executive education modules on international finance and geopolitical risk</w:t>
      </w:r>
    </w:p>
    <w:p>
      <w:pPr>
        <w:pStyle w:val="Compact"/>
        <w:numPr>
          <w:ilvl w:val="0"/>
          <w:numId w:val="1009"/>
        </w:numPr>
      </w:pPr>
      <w:r>
        <w:t xml:space="preserve">Public policy programs covering industrial policy and geoeconomics</w:t>
      </w:r>
    </w:p>
    <w:bookmarkEnd w:id="37"/>
    <w:bookmarkStart w:id="38" w:name="d25.-competing-and-related-titles"/>
    <w:p>
      <w:pPr>
        <w:pStyle w:val="Heading3"/>
      </w:pPr>
      <w:r>
        <w:t xml:space="preserve">D25. Competing and Related Titles</w:t>
      </w:r>
    </w:p>
    <w:p>
      <w:pPr>
        <w:pStyle w:val="FirstParagraph"/>
      </w:pPr>
      <w:r>
        <w:rPr>
          <w:i/>
          <w:iCs/>
        </w:rPr>
        <w:t xml:space="preserve">(See full analysis in proposal/05_competing_titles.md — summarized below)</w:t>
      </w:r>
    </w:p>
    <w:tbl>
      <w:tblPr>
        <w:tblStyle w:val="Table"/>
        <w:tblW w:type="pct" w:w="5000"/>
        <w:tblLayout w:type="fixed"/>
        <w:tblLook w:firstRow="1" w:lastRow="0" w:firstColumn="0" w:lastColumn="0" w:noHBand="0" w:noVBand="0" w:val="0020"/>
      </w:tblPr>
      <w:tblGrid>
        <w:gridCol w:w="1026"/>
        <w:gridCol w:w="1173"/>
        <w:gridCol w:w="880"/>
        <w:gridCol w:w="1613"/>
        <w:gridCol w:w="3226"/>
      </w:tblGrid>
      <w:tr>
        <w:trPr>
          <w:tblHeader w:val="on"/>
        </w:trPr>
        <w:tc>
          <w:tcPr/>
          <w:p>
            <w:pPr>
              <w:pStyle w:val="Compact"/>
            </w:pPr>
            <w:r>
              <w:t xml:space="preserve">Title</w:t>
            </w:r>
          </w:p>
        </w:tc>
        <w:tc>
          <w:tcPr/>
          <w:p>
            <w:pPr>
              <w:pStyle w:val="Compact"/>
            </w:pPr>
            <w:r>
              <w:t xml:space="preserve">Author</w:t>
            </w:r>
          </w:p>
        </w:tc>
        <w:tc>
          <w:tcPr/>
          <w:p>
            <w:pPr>
              <w:pStyle w:val="Compact"/>
            </w:pPr>
            <w:r>
              <w:t xml:space="preserve">Year</w:t>
            </w:r>
          </w:p>
        </w:tc>
        <w:tc>
          <w:tcPr/>
          <w:p>
            <w:pPr>
              <w:pStyle w:val="Compact"/>
            </w:pPr>
            <w:r>
              <w:t xml:space="preserve">Publisher</w:t>
            </w:r>
          </w:p>
        </w:tc>
        <w:tc>
          <w:tcPr/>
          <w:p>
            <w:pPr>
              <w:pStyle w:val="Compact"/>
            </w:pPr>
            <w:r>
              <w:t xml:space="preserve">How This Book Differs</w:t>
            </w:r>
          </w:p>
        </w:tc>
      </w:tr>
      <w:tr>
        <w:tc>
          <w:tcPr/>
          <w:p>
            <w:pPr>
              <w:pStyle w:val="Compact"/>
            </w:pPr>
            <w:r>
              <w:rPr>
                <w:i/>
                <w:iCs/>
              </w:rPr>
              <w:t xml:space="preserve">Technological Revolutions and Financial Capital</w:t>
            </w:r>
          </w:p>
        </w:tc>
        <w:tc>
          <w:tcPr/>
          <w:p>
            <w:pPr>
              <w:pStyle w:val="Compact"/>
            </w:pPr>
            <w:r>
              <w:t xml:space="preserve">Perez</w:t>
            </w:r>
          </w:p>
        </w:tc>
        <w:tc>
          <w:tcPr/>
          <w:p>
            <w:pPr>
              <w:pStyle w:val="Compact"/>
            </w:pPr>
            <w:r>
              <w:t xml:space="preserve">2002</w:t>
            </w:r>
          </w:p>
        </w:tc>
        <w:tc>
          <w:tcPr/>
          <w:p>
            <w:pPr>
              <w:pStyle w:val="Compact"/>
            </w:pPr>
            <w:r>
              <w:t xml:space="preserve">Edward Elgar</w:t>
            </w:r>
          </w:p>
        </w:tc>
        <w:tc>
          <w:tcPr/>
          <w:p>
            <w:pPr>
              <w:pStyle w:val="Compact"/>
            </w:pPr>
            <w:r>
              <w:t xml:space="preserve">Adds hierarchy dimension; updates for NBFI-dominated landscape</w:t>
            </w:r>
          </w:p>
        </w:tc>
      </w:tr>
      <w:tr>
        <w:tc>
          <w:tcPr/>
          <w:p>
            <w:pPr>
              <w:pStyle w:val="Compact"/>
            </w:pPr>
            <w:r>
              <w:rPr>
                <w:i/>
                <w:iCs/>
              </w:rPr>
              <w:t xml:space="preserve">Chip War</w:t>
            </w:r>
          </w:p>
        </w:tc>
        <w:tc>
          <w:tcPr/>
          <w:p>
            <w:pPr>
              <w:pStyle w:val="Compact"/>
            </w:pPr>
            <w:r>
              <w:t xml:space="preserve">Miller</w:t>
            </w:r>
          </w:p>
        </w:tc>
        <w:tc>
          <w:tcPr/>
          <w:p>
            <w:pPr>
              <w:pStyle w:val="Compact"/>
            </w:pPr>
            <w:r>
              <w:t xml:space="preserve">2022</w:t>
            </w:r>
          </w:p>
        </w:tc>
        <w:tc>
          <w:tcPr/>
          <w:p>
            <w:pPr>
              <w:pStyle w:val="Compact"/>
            </w:pPr>
            <w:r>
              <w:t xml:space="preserve">Scribner</w:t>
            </w:r>
          </w:p>
        </w:tc>
        <w:tc>
          <w:tcPr/>
          <w:p>
            <w:pPr>
              <w:pStyle w:val="Compact"/>
            </w:pPr>
            <w:r>
              <w:t xml:space="preserve">Provides financial-analytical depth and CAC framework</w:t>
            </w:r>
          </w:p>
        </w:tc>
      </w:tr>
      <w:tr>
        <w:tc>
          <w:tcPr/>
          <w:p>
            <w:pPr>
              <w:pStyle w:val="Compact"/>
            </w:pPr>
            <w:r>
              <w:rPr>
                <w:i/>
                <w:iCs/>
              </w:rPr>
              <w:t xml:space="preserve">Underground Empire</w:t>
            </w:r>
          </w:p>
        </w:tc>
        <w:tc>
          <w:tcPr/>
          <w:p>
            <w:pPr>
              <w:pStyle w:val="Compact"/>
            </w:pPr>
            <w:r>
              <w:t xml:space="preserve">Farrell &amp; Newman</w:t>
            </w:r>
          </w:p>
        </w:tc>
        <w:tc>
          <w:tcPr/>
          <w:p>
            <w:pPr>
              <w:pStyle w:val="Compact"/>
            </w:pPr>
            <w:r>
              <w:t xml:space="preserve">2023</w:t>
            </w:r>
          </w:p>
        </w:tc>
        <w:tc>
          <w:tcPr/>
          <w:p>
            <w:pPr>
              <w:pStyle w:val="Compact"/>
            </w:pPr>
            <w:r>
              <w:t xml:space="preserve">Henry Holt</w:t>
            </w:r>
          </w:p>
        </w:tc>
        <w:tc>
          <w:tcPr/>
          <w:p>
            <w:pPr>
              <w:pStyle w:val="Compact"/>
            </w:pPr>
            <w:r>
              <w:t xml:space="preserve">Explains how chokepoints are</w:t>
            </w:r>
            <w:r>
              <w:t xml:space="preserve"> </w:t>
            </w:r>
            <w:r>
              <w:rPr>
                <w:i/>
                <w:iCs/>
              </w:rPr>
              <w:t xml:space="preserve">created</w:t>
            </w:r>
            <w:r>
              <w:t xml:space="preserve"> </w:t>
            </w:r>
            <w:r>
              <w:t xml:space="preserve">through capital allocation</w:t>
            </w:r>
          </w:p>
        </w:tc>
      </w:tr>
      <w:tr>
        <w:tc>
          <w:tcPr/>
          <w:p>
            <w:pPr>
              <w:pStyle w:val="Compact"/>
            </w:pPr>
            <w:r>
              <w:rPr>
                <w:i/>
                <w:iCs/>
              </w:rPr>
              <w:t xml:space="preserve">The Entrepreneurial State</w:t>
            </w:r>
          </w:p>
        </w:tc>
        <w:tc>
          <w:tcPr/>
          <w:p>
            <w:pPr>
              <w:pStyle w:val="Compact"/>
            </w:pPr>
            <w:r>
              <w:t xml:space="preserve">Mazzucato</w:t>
            </w:r>
          </w:p>
        </w:tc>
        <w:tc>
          <w:tcPr/>
          <w:p>
            <w:pPr>
              <w:pStyle w:val="Compact"/>
            </w:pPr>
            <w:r>
              <w:t xml:space="preserve">2013/18</w:t>
            </w:r>
          </w:p>
        </w:tc>
        <w:tc>
          <w:tcPr/>
          <w:p>
            <w:pPr>
              <w:pStyle w:val="Compact"/>
            </w:pPr>
            <w:r>
              <w:t xml:space="preserve">Anthem/Penguin</w:t>
            </w:r>
          </w:p>
        </w:tc>
        <w:tc>
          <w:tcPr/>
          <w:p>
            <w:pPr>
              <w:pStyle w:val="Compact"/>
            </w:pPr>
            <w:r>
              <w:t xml:space="preserve">Extends to full intermediation architecture and global hierarchy</w:t>
            </w:r>
          </w:p>
        </w:tc>
      </w:tr>
      <w:tr>
        <w:tc>
          <w:tcPr/>
          <w:p>
            <w:pPr>
              <w:pStyle w:val="Compact"/>
            </w:pPr>
            <w:r>
              <w:rPr>
                <w:i/>
                <w:iCs/>
              </w:rPr>
              <w:t xml:space="preserve">Crashed</w:t>
            </w:r>
            <w:r>
              <w:t xml:space="preserve"> </w:t>
            </w:r>
            <w:r>
              <w:t xml:space="preserve">/</w:t>
            </w:r>
            <w:r>
              <w:t xml:space="preserve"> </w:t>
            </w:r>
            <w:r>
              <w:rPr>
                <w:i/>
                <w:iCs/>
              </w:rPr>
              <w:t xml:space="preserve">Shutdown</w:t>
            </w:r>
          </w:p>
        </w:tc>
        <w:tc>
          <w:tcPr/>
          <w:p>
            <w:pPr>
              <w:pStyle w:val="Compact"/>
            </w:pPr>
            <w:r>
              <w:t xml:space="preserve">Tooze</w:t>
            </w:r>
          </w:p>
        </w:tc>
        <w:tc>
          <w:tcPr/>
          <w:p>
            <w:pPr>
              <w:pStyle w:val="Compact"/>
            </w:pPr>
            <w:r>
              <w:t xml:space="preserve">2018/21</w:t>
            </w:r>
          </w:p>
        </w:tc>
        <w:tc>
          <w:tcPr/>
          <w:p>
            <w:pPr>
              <w:pStyle w:val="Compact"/>
            </w:pPr>
            <w:r>
              <w:t xml:space="preserve">Viking</w:t>
            </w:r>
          </w:p>
        </w:tc>
        <w:tc>
          <w:tcPr/>
          <w:p>
            <w:pPr>
              <w:pStyle w:val="Compact"/>
            </w:pPr>
            <w:r>
              <w:t xml:space="preserve">Forward-looking investment focus vs. retrospective crisis focus</w:t>
            </w:r>
          </w:p>
        </w:tc>
      </w:tr>
      <w:tr>
        <w:tc>
          <w:tcPr/>
          <w:p>
            <w:pPr>
              <w:pStyle w:val="Compact"/>
            </w:pPr>
            <w:r>
              <w:t xml:space="preserve">“Wall Street Consensus”</w:t>
            </w:r>
          </w:p>
        </w:tc>
        <w:tc>
          <w:tcPr/>
          <w:p>
            <w:pPr>
              <w:pStyle w:val="Compact"/>
            </w:pPr>
            <w:r>
              <w:t xml:space="preserve">Gabor</w:t>
            </w:r>
          </w:p>
        </w:tc>
        <w:tc>
          <w:tcPr/>
          <w:p>
            <w:pPr>
              <w:pStyle w:val="Compact"/>
            </w:pPr>
            <w:r>
              <w:t xml:space="preserve">2021</w:t>
            </w:r>
          </w:p>
        </w:tc>
        <w:tc>
          <w:tcPr/>
          <w:p>
            <w:pPr>
              <w:pStyle w:val="Compact"/>
            </w:pPr>
            <w:r>
              <w:t xml:space="preserve">Dev. &amp; Change</w:t>
            </w:r>
          </w:p>
        </w:tc>
        <w:tc>
          <w:tcPr/>
          <w:p>
            <w:pPr>
              <w:pStyle w:val="Compact"/>
            </w:pPr>
            <w:r>
              <w:t xml:space="preserve">Extends de-risking to strategic tech; introduces CAC comparison</w:t>
            </w:r>
          </w:p>
        </w:tc>
      </w:tr>
    </w:tbl>
    <w:p>
      <w:pPr>
        <w:pStyle w:val="BodyText"/>
      </w:pPr>
      <w:r>
        <w:rPr>
          <w:b/>
          <w:bCs/>
        </w:rPr>
        <w:t xml:space="preserve">No existing book combines:</w:t>
      </w:r>
      <w:r>
        <w:t xml:space="preserve"> </w:t>
      </w:r>
      <w:r>
        <w:t xml:space="preserve">a systematic comparative framework (CAC), integrated financial intermediation analysis, all tiers of the global hierarchy, and systemic risk implications.</w:t>
      </w:r>
    </w:p>
    <w:bookmarkEnd w:id="38"/>
    <w:bookmarkStart w:id="39" w:name="d26.-suggested-format-and-price"/>
    <w:p>
      <w:pPr>
        <w:pStyle w:val="Heading3"/>
      </w:pPr>
      <w:r>
        <w:t xml:space="preserve">D26. Suggested Format and Price</w:t>
      </w:r>
    </w:p>
    <w:p>
      <w:pPr>
        <w:pStyle w:val="FirstParagraph"/>
      </w:pPr>
      <w:r>
        <w:t xml:space="preserve">The author defers to the publisher on format and pricing decisions. A hardcover academic edition followed by a paperback edition would be standard for this type of monograph. The author is also open to discussing Open Access publication.</w:t>
      </w:r>
    </w:p>
    <w:bookmarkEnd w:id="39"/>
    <w:bookmarkStart w:id="40" w:name="d27.-societies-networks-and-institutions"/>
    <w:p>
      <w:pPr>
        <w:pStyle w:val="Heading3"/>
      </w:pPr>
      <w:r>
        <w:t xml:space="preserve">D27. Societies, Networks, and Institutions</w:t>
      </w:r>
    </w:p>
    <w:p>
      <w:pPr>
        <w:pStyle w:val="FirstParagraph"/>
      </w:pPr>
      <w:r>
        <w:t xml:space="preserve">The book would be of interest to members and affiliates of:</w:t>
      </w:r>
      <w:r>
        <w:t xml:space="preserve"> </w:t>
      </w:r>
      <w:r>
        <w:t xml:space="preserve">- International Studies Association (ISA), IPE section</w:t>
      </w:r>
      <w:r>
        <w:t xml:space="preserve"> </w:t>
      </w:r>
      <w:r>
        <w:t xml:space="preserve">- European Consortium for Political Research (ECPR)</w:t>
      </w:r>
      <w:r>
        <w:t xml:space="preserve"> </w:t>
      </w:r>
      <w:r>
        <w:t xml:space="preserve">- Society for the Advancement of Socio-Economics (SASE)</w:t>
      </w:r>
      <w:r>
        <w:t xml:space="preserve"> </w:t>
      </w:r>
      <w:r>
        <w:t xml:space="preserve">- Financial Stability Board (FSB) research network</w:t>
      </w:r>
      <w:r>
        <w:t xml:space="preserve"> </w:t>
      </w:r>
      <w:r>
        <w:t xml:space="preserve">- OECD Science, Technology and Innovation directorate</w:t>
      </w:r>
      <w:r>
        <w:t xml:space="preserve"> </w:t>
      </w:r>
      <w:r>
        <w:t xml:space="preserve">- BIS research community</w:t>
      </w:r>
      <w:r>
        <w:t xml:space="preserve"> </w:t>
      </w:r>
      <w:r>
        <w:t xml:space="preserve">- National and multilateral development bank research units</w:t>
      </w:r>
    </w:p>
    <w:p>
      <w:r>
        <w:pict>
          <v:rect style="width:0;height:1.5pt" o:hralign="center" o:hrstd="t" o:hr="t"/>
        </w:pict>
      </w:r>
    </w:p>
    <w:p>
      <w:pPr>
        <w:pStyle w:val="FirstParagraph"/>
      </w:pPr>
      <w:r>
        <w:rPr>
          <w:i/>
          <w:iCs/>
        </w:rPr>
        <w:t xml:space="preserve">Proposal submitted: February 2026</w:t>
      </w:r>
      <w:r>
        <w:t xml:space="preserve"> </w:t>
      </w:r>
      <w:r>
        <w:rPr>
          <w:i/>
          <w:iCs/>
        </w:rPr>
        <w:t xml:space="preserve">All placeholder fields marked […] to be completed before formal submission.</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2026-02-11T19:40:22Z</dcterms:created>
  <dcterms:modified xsi:type="dcterms:W3CDTF">2026-02-11T19:40:22Z</dcterms:modified>
</cp:coreProperties>
</file>

<file path=docProps/custom.xml><?xml version="1.0" encoding="utf-8"?>
<Properties xmlns="http://schemas.openxmlformats.org/officeDocument/2006/custom-properties" xmlns:vt="http://schemas.openxmlformats.org/officeDocument/2006/docPropsVTypes"/>
</file>