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treszczenie-książki"/>
    <w:p>
      <w:pPr>
        <w:pStyle w:val="Heading1"/>
      </w:pPr>
      <w:r>
        <w:t xml:space="preserve">Streszczenie książki</w:t>
      </w:r>
    </w:p>
    <w:bookmarkStart w:id="9" w:name="X65f780c30521fb98879175f077d0b3af39eef27"/>
    <w:p>
      <w:pPr>
        <w:pStyle w:val="Heading2"/>
      </w:pPr>
      <w:r>
        <w:t xml:space="preserve">The Strategic Capital Order: Finance, Technology, and the New Global Hierarchy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Globalna ekonomia polityczna przechodzi realokację kapitału o historycznych proporcjach. Korporacje hyperscalerów — Microsoft, Alphabet, Amazon, Meta, Apple, Oracle, Tesla — inwestują łącznie ponad 600 miliardów dolarów rocznie w infrastrukturę sztucznej inteligencji, przekraczając nakłady inwestycyjne wielu państw. Siedem firm odpowiada za 30% całkowitych wydatków kapitałowych indeksu S&amp;P 500. Inwestycje związane z AI szacowane są na 1,2% PKB Stanów Zjednoczonych i przypisuje się im około połowy niedawnego wzrostu amerykańskiej gospodarki. Ta koncentracja inwestycji dorównuje lub przewyższa, w swojej wczesnej intensywności, wielkie mobilizacje kapitału nowoczesnej historii: boom kolejowy (1860–1890), elektryfikację (1900–1930) i budowę infrastruktury telekomunikacyjnej (1990–2000).</w:t>
      </w:r>
    </w:p>
    <w:p>
      <w:pPr>
        <w:pStyle w:val="BodyText"/>
      </w:pPr>
      <w:r>
        <w:t xml:space="preserve">Istniejące ramy analityczne nie potrafią jednak uchwycić tego, co wyróżnia obecny moment. Literatury poświęcone globalnym łańcuchom wartości, zarządzaniu technologią i uzbrojonym współzależnościom oświetlają</w:t>
      </w:r>
      <w:r>
        <w:t xml:space="preserve"> </w:t>
      </w:r>
      <w:r>
        <w:rPr>
          <w:i/>
          <w:iCs/>
        </w:rPr>
        <w:t xml:space="preserve">co</w:t>
      </w:r>
      <w:r>
        <w:t xml:space="preserve"> </w:t>
      </w:r>
      <w:r>
        <w:t xml:space="preserve">— infrastrukturę fizyczną, wąskie gardła, kontrole eksportowe — ale nie</w:t>
      </w:r>
      <w:r>
        <w:t xml:space="preserve"> </w:t>
      </w:r>
      <w:r>
        <w:rPr>
          <w:i/>
          <w:iCs/>
        </w:rPr>
        <w:t xml:space="preserve">jak</w:t>
      </w:r>
      <w:r>
        <w:t xml:space="preserve">. Jak ta infrastruktura jest finansowana? Kto mobilizuje kapitał, kto strukturyzuje ryzyko i kto ostatecznie ponosi straty w przypadku niepowodzenia projektów? Te pytania nie są drugorzędne. Odpowiedzi na nie determinują, kto kontroluje infrastrukturę, a zatem kto kontroluje kształtujący się porządek.</w:t>
      </w:r>
    </w:p>
    <w:p>
      <w:pPr>
        <w:pStyle w:val="BodyText"/>
      </w:pPr>
      <w:r>
        <w:t xml:space="preserve">Książka wprowadza</w:t>
      </w:r>
      <w:r>
        <w:t xml:space="preserve"> </w:t>
      </w:r>
      <w:r>
        <w:rPr>
          <w:b/>
          <w:bCs/>
        </w:rPr>
        <w:t xml:space="preserve">Zdolność do Alokacji Kapitału (Capital Allocation Capacity — CAC)</w:t>
      </w:r>
      <w:r>
        <w:t xml:space="preserve"> </w:t>
      </w:r>
      <w:r>
        <w:t xml:space="preserve">jako nową ramę analityczną służącą zrozumieniu relacji między finansami, technologią a globalną władzą. CAC definiowana jest jako zdolność kraju do mobilizacji, strukturyzowania i kierowania kapitału w strategiczne punkty łańcuchów wartości technologii przyszłości. Rama rozkłada tę zdolność na pięć mierzalnych wymiarów — zdolność finansową (głębokość rynku kapitałowego, niebankowe pośrednictwo finansowe, siła banków rozwoju), zdolność technologiczną (pozycja w łańcuchu wartości półprzewodników, ekosystem AI), zdolność surowcową (minerały krytyczne, dostęp do energii), zdolność instytucjonalną (stabilność regulacyjna, koherencja polityki przemysłowej) oraz zdolność geopolityczną (przynależność sojusznicza, status w kontrolach eksportowych, gwarancje bezpieczeństwa). Teza jest taka, że CAC — nie PKB, nie wydatki wojskowe, nie posiadanie technologii jako takiej — stała się podstawową determinantą pozycji kraju w globalnej hierarchii, która właśnie się kształtuje.</w:t>
      </w:r>
    </w:p>
    <w:p>
      <w:pPr>
        <w:pStyle w:val="BodyText"/>
      </w:pPr>
      <w:r>
        <w:t xml:space="preserve">Książka rozwija ten argument w trzech etapach.</w:t>
      </w:r>
    </w:p>
    <w:p>
      <w:pPr>
        <w:pStyle w:val="BodyText"/>
      </w:pPr>
      <w:r>
        <w:rPr>
          <w:b/>
          <w:bCs/>
        </w:rPr>
        <w:t xml:space="preserve">Po pierwsze</w:t>
      </w:r>
      <w:r>
        <w:t xml:space="preserve">, mapuje przedmiot finansowania — zintegrowany kompleks inwestycyjny obejmujący obliczenia AI, półprzewodniki, infrastrukturę energetyczną i minerały krytyczne — jako pojedynczy, współzależny łańcuch wartości. Od wydobycia minerałów ziem rzadkich, przez produkcję chipów, po trenowanie modeli AI — każdy węzeł wymaga masywnych nakładów kapitałowych i zależy od wszystkich pozostałych. Identyfikowane są kluczowe wąskie gardła (TSMC w zaawansowanej produkcji, ASML w litografii EUV, Nvidia w sprzęcie do trenowania AI, Chiny w przetwarzaniu REE) i analizowana jest ich ekonomika: wysokie bariery wejścia, ograniczona podaż, nieelastyczny popyt i renty monopolistyczne.</w:t>
      </w:r>
    </w:p>
    <w:p>
      <w:pPr>
        <w:pStyle w:val="BodyText"/>
      </w:pPr>
      <w:r>
        <w:rPr>
          <w:b/>
          <w:bCs/>
        </w:rPr>
        <w:t xml:space="preserve">Po drugie</w:t>
      </w:r>
      <w:r>
        <w:t xml:space="preserve">, książka analizuje sam mechanizm finansowania — infrastrukturę pośrednictwa, przez którą kapitał dociera do technologii strategicznych. Infrastruktura ta przeszła transformację strukturalną. Banki komercyjne, ograniczone regulacjami Basel III/IV i awersją do ryzyka, wycofały się z długoterminowego finansowania nakładów inwestycyjnych. Ich miejsce zajęła nowa architektura: private credit (z 500 mld USD w 2010 do ponad 1,5 bln USD w 2024), fundusze infrastrukturalne PE (BlackRock, KKR, Brookfield w centrach danych i energetyce), fundusze suwerenne oraz — co kluczowe — banki rozwoju i gwarancje państwowe. Książka bada, jak banki rozwoju (KfW, EIB, JBIC, KDB, China Development Bank) funkcjonują jako „agenci de-riskingu”, przekształcając projekty z niefinansowalnych w bankowalne. Wprowadza koncepcję państwa jako „dostawcy risk wrappera” — nie bezpośredniego inwestora, lecz gwaranta, którego zobowiązania (CHIPS Act, EU Chips Act, japońskie subsydia) umożliwiają inwestycje prywatne, tworząc jednocześnie ukryte warunkowe zobowiązania fiskalne o nieznanej skali.</w:t>
      </w:r>
    </w:p>
    <w:p>
      <w:pPr>
        <w:pStyle w:val="BodyText"/>
      </w:pPr>
      <w:r>
        <w:rPr>
          <w:b/>
          <w:bCs/>
        </w:rPr>
        <w:t xml:space="preserve">Po trzecie</w:t>
      </w:r>
      <w:r>
        <w:t xml:space="preserve">, książka śledzi konsekwencje — jak zdolność do alokacji kapitału przekłada się na globalną hierarchię przez osiem mechanizmów przyczynowych: materializację, zależność od ścieżki, spiralę kompetencyjną, ekstrakcję rent, architekturę ryzyka, przewagę temporalną, projekcję geopolityczną i kumulację. Mechanizmy te dokumentowane są empirycznie na przypadkach Tajwanu/TSMC, europejskiej trajektorii półprzewodnikowej i dominacji ekosystemowej Nvidii.</w:t>
      </w:r>
    </w:p>
    <w:p>
      <w:pPr>
        <w:pStyle w:val="BodyText"/>
      </w:pPr>
      <w:r>
        <w:t xml:space="preserve">Stosując ramę CAC globalnie, książka konstruuje sześciopoziomową hierarchię:</w:t>
      </w:r>
      <w:r>
        <w:t xml:space="preserve"> </w:t>
      </w:r>
      <w:r>
        <w:rPr>
          <w:b/>
          <w:bCs/>
        </w:rPr>
        <w:t xml:space="preserve">Centra Alokacji AI</w:t>
      </w:r>
      <w:r>
        <w:t xml:space="preserve"> </w:t>
      </w:r>
      <w:r>
        <w:t xml:space="preserve">(Stany Zjednoczone jako jedyne pełne centrum),</w:t>
      </w:r>
      <w:r>
        <w:t xml:space="preserve"> </w:t>
      </w:r>
      <w:r>
        <w:rPr>
          <w:b/>
          <w:bCs/>
        </w:rPr>
        <w:t xml:space="preserve">Wyspecjalizowane Węzły</w:t>
      </w:r>
      <w:r>
        <w:t xml:space="preserve"> </w:t>
      </w:r>
      <w:r>
        <w:t xml:space="preserve">(Tajwan, Korea Południowa, Holandia, Japonia),</w:t>
      </w:r>
      <w:r>
        <w:t xml:space="preserve"> </w:t>
      </w:r>
      <w:r>
        <w:rPr>
          <w:b/>
          <w:bCs/>
        </w:rPr>
        <w:t xml:space="preserve">Aspirujący Naśladowcy</w:t>
      </w:r>
      <w:r>
        <w:t xml:space="preserve"> </w:t>
      </w:r>
      <w:r>
        <w:t xml:space="preserve">(UE, Indie),</w:t>
      </w:r>
      <w:r>
        <w:t xml:space="preserve"> </w:t>
      </w:r>
      <w:r>
        <w:rPr>
          <w:b/>
          <w:bCs/>
        </w:rPr>
        <w:t xml:space="preserve">Dostawcy Surowców</w:t>
      </w:r>
      <w:r>
        <w:t xml:space="preserve"> </w:t>
      </w:r>
      <w:r>
        <w:t xml:space="preserve">(Australia, Chile, DRK, państwa Zatoki),</w:t>
      </w:r>
      <w:r>
        <w:t xml:space="preserve"> </w:t>
      </w:r>
      <w:r>
        <w:rPr>
          <w:b/>
          <w:bCs/>
        </w:rPr>
        <w:t xml:space="preserve">Konsumenci Usług</w:t>
      </w:r>
      <w:r>
        <w:t xml:space="preserve"> </w:t>
      </w:r>
      <w:r>
        <w:t xml:space="preserve">(Europa Środkowa, Azja Południowo-Wschodnia, Ameryka Łacińska, większość Afryki) oraz</w:t>
      </w:r>
      <w:r>
        <w:t xml:space="preserve"> </w:t>
      </w:r>
      <w:r>
        <w:rPr>
          <w:b/>
          <w:bCs/>
        </w:rPr>
        <w:t xml:space="preserve">Wykluczeni</w:t>
      </w:r>
      <w:r>
        <w:t xml:space="preserve"> </w:t>
      </w:r>
      <w:r>
        <w:t xml:space="preserve">(Rosja, Iran, Korea Północna).</w:t>
      </w:r>
    </w:p>
    <w:p>
      <w:pPr>
        <w:pStyle w:val="BodyText"/>
      </w:pPr>
      <w:r>
        <w:t xml:space="preserve">Książka zamyka się analizą odporności systemowej. Identyfikuje nowe źródła ryzyka — koncentrację w Magnificent 7, brak przejrzystości w private credit, ukryte zobowiązania fiskalne z gwarancji państwowych, fragmentację finansową między systemami zachodnim i chińskim oraz ryzyko geopolityczne jako ryzyko finansowe. Analizuje osłabienie transmisji polityki monetarnej oraz przedstawia pięć scenariuszy do 2035 roku z implikacjami dla polityki dostosowanymi do każdego poziomu hierarchii.</w:t>
      </w:r>
    </w:p>
    <w:p>
      <w:pPr>
        <w:pStyle w:val="BodyText"/>
      </w:pPr>
      <w:r>
        <w:rPr>
          <w:b/>
          <w:bCs/>
        </w:rPr>
        <w:t xml:space="preserve">The Strategic Capital Order</w:t>
      </w:r>
      <w:r>
        <w:t xml:space="preserve"> </w:t>
      </w:r>
      <w:r>
        <w:t xml:space="preserve">wnosi kilka oryginalnych wkładów: nową ramę analityczną (CAC) z mierzalnymi wymiarami; osiem mechanizmów przyczynowych łączących alokację kapitału z dominacją; systematyczną analizę transformacji pośrednictwa finansowego; perspektywę obejmującą nie tylko liderów, ale również aspirantów, dostawców i konsumentów; oraz identyfikację nowych ryzyk systemowych na przecięciu finansów technologicznych, geopolityki i stabilności finansowej.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Szacowana objętość: ~144 000 słów (~450 stron druku)</w:t>
      </w:r>
      <w:r>
        <w:t xml:space="preserve"> </w:t>
      </w:r>
      <w:r>
        <w:rPr>
          <w:i/>
          <w:iCs/>
        </w:rPr>
        <w:t xml:space="preserve">14 rozdziałów w 6 częściach plus wprowadzenie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2026-02-11T19:40:22Z</dcterms:created>
  <dcterms:modified xsi:type="dcterms:W3CDTF">2026-02-11T19:40:22Z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