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oryginalny-wkład-do-wiedzy"/>
    <w:p>
      <w:pPr>
        <w:pStyle w:val="Heading1"/>
      </w:pPr>
      <w:r>
        <w:t xml:space="preserve">Oryginalny wkład do wiedzy</w:t>
      </w:r>
    </w:p>
    <w:bookmarkStart w:id="16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Książka wnosi sześć odrębnych wkładów do istniejącej literatury, z których każdy wypełnia lukę na przecięciu międzynarodowej ekonomii politycznej, finansów globalnych i zarządzania technologią.</w:t>
      </w:r>
    </w:p>
    <w:bookmarkStart w:id="9" w:name="X6f0581c3032e18975fb3529c0ddc8eeb684ce5c"/>
    <w:p>
      <w:pPr>
        <w:pStyle w:val="Heading3"/>
      </w:pPr>
      <w:r>
        <w:t xml:space="preserve">1. Nowa rama analityczna: Zdolność do Alokacji Kapitału (CAC)</w:t>
      </w:r>
    </w:p>
    <w:p>
      <w:pPr>
        <w:pStyle w:val="FirstParagraph"/>
      </w:pPr>
      <w:r>
        <w:t xml:space="preserve">Głównym wkładem książki jest opracowanie</w:t>
      </w:r>
      <w:r>
        <w:t xml:space="preserve"> </w:t>
      </w:r>
      <w:r>
        <w:rPr>
          <w:b/>
          <w:bCs/>
        </w:rPr>
        <w:t xml:space="preserve">Zdolności do Alokacji Kapitału</w:t>
      </w:r>
      <w:r>
        <w:t xml:space="preserve"> </w:t>
      </w:r>
      <w:r>
        <w:t xml:space="preserve">jako mierzalnego, wielowymiarowego konstruktu wyjaśniającego, dlaczego niektóre państwa mogą kierować kapitał w technologie strategiczne, a inne nie. Istniejące ramy uchwytują elementy tej dynamiki, ale nie integrują ich: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Władza strukturalna Susan Strange</w:t>
      </w:r>
      <w:r>
        <w:t xml:space="preserve"> </w:t>
      </w:r>
      <w:r>
        <w:t xml:space="preserve">(1988) identyfikuje finanse i wiedzę jako dwie z czterech struktur władzy w systemie międzynarodowym. Jednak rama Strange’a nie teoretyzuje mechanizmów, przez które zdolność finansowa przekłada się na dominację technologiczną. Rama CAC operacjonalizuje intuicję Strange’a o finansowej władzy strukturalnej dla konkretnego kontekstu kompleksu inwestycyjnego AI-półprzewodniki-energia.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Uzbrojona współzależność Farrella i Newmana</w:t>
      </w:r>
      <w:r>
        <w:t xml:space="preserve"> </w:t>
      </w:r>
      <w:r>
        <w:t xml:space="preserve">(2019) pokazuje, jak wąskie gardła sieci globalnych łańcuchów dostaw mogą być wykorzystywane koercyjnie. Ich analiza skupia się na</w:t>
      </w:r>
      <w:r>
        <w:t xml:space="preserve"> </w:t>
      </w:r>
      <w:r>
        <w:rPr>
          <w:i/>
          <w:iCs/>
        </w:rPr>
        <w:t xml:space="preserve">użyciu</w:t>
      </w:r>
      <w:r>
        <w:t xml:space="preserve"> </w:t>
      </w:r>
      <w:r>
        <w:t xml:space="preserve">istniejących chokepoints, nie adresując systematycznie</w:t>
      </w:r>
      <w:r>
        <w:t xml:space="preserve"> </w:t>
      </w:r>
      <w:r>
        <w:rPr>
          <w:i/>
          <w:iCs/>
        </w:rPr>
        <w:t xml:space="preserve">jak</w:t>
      </w:r>
      <w:r>
        <w:t xml:space="preserve"> </w:t>
      </w:r>
      <w:r>
        <w:t xml:space="preserve">te chokepoints zostały stworzone przez decyzje alokacyjne kapitału.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Państwo przedsiębiorcze Mazzucato</w:t>
      </w:r>
      <w:r>
        <w:t xml:space="preserve"> </w:t>
      </w:r>
      <w:r>
        <w:t xml:space="preserve">(2013) demonstruje historyczną rolę państwa jako kluczowego podejmującego ryzyko i innowatora. Rama CAC rozszerza analizę na całą architekturę pośrednictwa (private credit, PE, banki rozwoju, gwarancje) i — kluczowo — śledzi, jak zdolność państwa przekłada się na hierarchię globalną.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Wall Street Consensus Gabor</w:t>
      </w:r>
      <w:r>
        <w:t xml:space="preserve"> </w:t>
      </w:r>
      <w:r>
        <w:t xml:space="preserve">(2021) analizuje państwo de-riskujące i finansjalizację polityki rozwojowej. Rama CAC podziela uwagę Gabor dla transformacji ryzyka, ale rozszerza analizę z finansów rozwojowych na strategiczny kapitał technologiczny i wprowadza pięciowymiarowy konstrukt umożliwiający porównania między krajami.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Rewolucje technologiczne i kapitał finansowy Perez</w:t>
      </w:r>
      <w:r>
        <w:t xml:space="preserve"> </w:t>
      </w:r>
      <w:r>
        <w:t xml:space="preserve">(2002) dostarcza fundamentalną analizę interakcji między kapitałem finansowym a innowacją technologiczną. Rama CAC buduje na cyklicznym modelu Perez, dodając wymiar hierarchii geopolitycznej i aktualizując analizę pośrednictwa finansowego dla krajobrazu post-2008 zdominowanego przez NBFI.</w:t>
      </w:r>
    </w:p>
    <w:bookmarkEnd w:id="9"/>
    <w:bookmarkStart w:id="10" w:name="Xc47045dde16bc2dae5ed70585def5b20b5d84c6"/>
    <w:p>
      <w:pPr>
        <w:pStyle w:val="Heading3"/>
      </w:pPr>
      <w:r>
        <w:t xml:space="preserve">2. Operacjonalizacja z mierzalnymi wskaźnikami</w:t>
      </w:r>
    </w:p>
    <w:p>
      <w:pPr>
        <w:pStyle w:val="FirstParagraph"/>
      </w:pPr>
      <w:r>
        <w:t xml:space="preserve">W odróżnieniu od większości istniejącej literatury o władzy strukturalnej czy suwerenności technologicznej, rama CAC jest zoperacjonalizowana ze specyficznymi wskaźnikami dla każdego z pięciu wymiarów. Umożliwia to: systematyczne porównania między krajami; konstrukcję typologii opartych na profilach empirycznych; identyfikację konkretnych luk zdolnościowych; oraz śledzenie rozwoju zdolności w czasie.</w:t>
      </w:r>
    </w:p>
    <w:bookmarkEnd w:id="10"/>
    <w:bookmarkStart w:id="11" w:name="osiem-mechanizmów-przyczynowych"/>
    <w:p>
      <w:pPr>
        <w:pStyle w:val="Heading3"/>
      </w:pPr>
      <w:r>
        <w:t xml:space="preserve">3. Osiem mechanizmów przyczynowych</w:t>
      </w:r>
    </w:p>
    <w:p>
      <w:pPr>
        <w:pStyle w:val="FirstParagraph"/>
      </w:pPr>
      <w:r>
        <w:t xml:space="preserve">Książka identyfikuje i dokumentuje empirycznie osiem odrębnych mechanizmów przyczynowych łączących alokację kapitału z dominacją — materializację, zależność od ścieżki, spiralę kompetencyjną, ekstrakcję rent, architekturę ryzyka, przewagę temporalną, projekcję geopolityczną i kumulację — oraz demonstruje ich interakcje.</w:t>
      </w:r>
    </w:p>
    <w:bookmarkEnd w:id="11"/>
    <w:bookmarkStart w:id="12" w:name="X858db96c4923832ff31f0a11d2b1c810b95e501"/>
    <w:p>
      <w:pPr>
        <w:pStyle w:val="Heading3"/>
      </w:pPr>
      <w:r>
        <w:t xml:space="preserve">4. Systematyczna analiza transformacji pośrednictwa finansowego</w:t>
      </w:r>
    </w:p>
    <w:p>
      <w:pPr>
        <w:pStyle w:val="FirstParagraph"/>
      </w:pPr>
      <w:r>
        <w:t xml:space="preserve">Przesunięcie od finansowania zdominowanego przez banki do zdominowanego przez NBFI nie zostało dotąd systematycznie zbadane z perspektywy ekonomii politycznej. Książka dostarcza pierwszą zintegrowaną analizę tego, jak private credit, fundusze infrastrukturalne PE, fundusze suwerenne, banki rozwoju i gwarancje państwowe tworzą łącznie nową architekturę pośrednictwa dla strategicznego kapitału technologicznego.</w:t>
      </w:r>
    </w:p>
    <w:bookmarkEnd w:id="12"/>
    <w:bookmarkStart w:id="13" w:name="perspektywa-z-poza-centrum"/>
    <w:p>
      <w:pPr>
        <w:pStyle w:val="Heading3"/>
      </w:pPr>
      <w:r>
        <w:t xml:space="preserve">5. Perspektywa z poza centrum</w:t>
      </w:r>
    </w:p>
    <w:p>
      <w:pPr>
        <w:pStyle w:val="FirstParagraph"/>
      </w:pPr>
      <w:r>
        <w:t xml:space="preserve">Większość istniejących analiz fali inwestycyjnej AI/półprzewodników jest pisana z perspektywy Stanów Zjednoczonych lub, drugoplanowo, Chin. Książka systematycznie analizuje doświadczenia i perspektywy krajów na wszystkich poziomach hierarchii — w tym aspirantów, dostawców surowców, konsumentów usług i wykluczonych. Ta perspektywa ujawnia dynamiki niewidoczne z centrum.</w:t>
      </w:r>
    </w:p>
    <w:bookmarkEnd w:id="13"/>
    <w:bookmarkStart w:id="14" w:name="identyfikacja-nowych-ryzyk-systemowych"/>
    <w:p>
      <w:pPr>
        <w:pStyle w:val="Heading3"/>
      </w:pPr>
      <w:r>
        <w:t xml:space="preserve">6. Identyfikacja nowych ryzyk systemowych</w:t>
      </w:r>
    </w:p>
    <w:p>
      <w:pPr>
        <w:pStyle w:val="FirstParagraph"/>
      </w:pPr>
      <w:r>
        <w:t xml:space="preserve">Książka identyfikuje kilka źródeł ryzyka systemowego nieadekwatnie ujętych w istniejącej literaturze stabilności finansowej: problem „Too Big to Fail 2.0” dla korporacji technologicznych; brak przejrzystości ekspozycji private credit; akumulację warunkowych zobowiązań fiskalnych z programów gwarancji państwowych; oraz potencjał wzmacniających się interakcji między szokami geopolitycznymi, zakłóceniami dostaw technologii, stratami na rynkach finansowych i stresem fiskalnym.</w:t>
      </w:r>
    </w:p>
    <w:p>
      <w:r>
        <w:pict>
          <v:rect style="width:0;height:1.5pt" o:hralign="center" o:hrstd="t" o:hr="t"/>
        </w:pict>
      </w:r>
    </w:p>
    <w:bookmarkEnd w:id="14"/>
    <w:bookmarkStart w:id="15" w:name="podsumowanie-pozycjonowania"/>
    <w:p>
      <w:pPr>
        <w:pStyle w:val="Heading3"/>
      </w:pPr>
      <w:r>
        <w:t xml:space="preserve">Podsumowanie pozycjonowania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Istniejąca rama</w:t>
            </w:r>
          </w:p>
        </w:tc>
        <w:tc>
          <w:tcPr/>
          <w:p>
            <w:pPr>
              <w:pStyle w:val="Compact"/>
            </w:pPr>
            <w:r>
              <w:t xml:space="preserve">Uchwytuje</w:t>
            </w:r>
          </w:p>
        </w:tc>
        <w:tc>
          <w:tcPr/>
          <w:p>
            <w:pPr>
              <w:pStyle w:val="Compact"/>
            </w:pPr>
            <w:r>
              <w:t xml:space="preserve">Pomija</w:t>
            </w:r>
          </w:p>
        </w:tc>
        <w:tc>
          <w:tcPr/>
          <w:p>
            <w:pPr>
              <w:pStyle w:val="Compact"/>
            </w:pPr>
            <w:r>
              <w:t xml:space="preserve">CAC dodaje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Strange (władza strukturalna)</w:t>
            </w:r>
          </w:p>
        </w:tc>
        <w:tc>
          <w:tcPr/>
          <w:p>
            <w:pPr>
              <w:pStyle w:val="Compact"/>
            </w:pPr>
            <w:r>
              <w:t xml:space="preserve">Finanse jako struktura władzy</w:t>
            </w:r>
          </w:p>
        </w:tc>
        <w:tc>
          <w:tcPr/>
          <w:p>
            <w:pPr>
              <w:pStyle w:val="Compact"/>
            </w:pPr>
            <w:r>
              <w:t xml:space="preserve">Specyfikę nexusu technologia-finanse</w:t>
            </w:r>
          </w:p>
        </w:tc>
        <w:tc>
          <w:tcPr/>
          <w:p>
            <w:pPr>
              <w:pStyle w:val="Compact"/>
            </w:pPr>
            <w:r>
              <w:t xml:space="preserve">Zoperacjonalizowany konstrukt 5 wymiarów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Farrell i Newman (uzbrojona współzależność)</w:t>
            </w:r>
          </w:p>
        </w:tc>
        <w:tc>
          <w:tcPr/>
          <w:p>
            <w:pPr>
              <w:pStyle w:val="Compact"/>
            </w:pPr>
            <w:r>
              <w:t xml:space="preserve">Eksploatację chokepoints</w:t>
            </w:r>
          </w:p>
        </w:tc>
        <w:tc>
          <w:tcPr/>
          <w:p>
            <w:pPr>
              <w:pStyle w:val="Compact"/>
            </w:pPr>
            <w:r>
              <w:t xml:space="preserve">Jak chokepoints powstają przez kapitał</w:t>
            </w:r>
          </w:p>
        </w:tc>
        <w:tc>
          <w:tcPr/>
          <w:p>
            <w:pPr>
              <w:pStyle w:val="Compact"/>
            </w:pPr>
            <w:r>
              <w:t xml:space="preserve">Alokacja kapitału jako źródło chokepoints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Mazzucato (państwo przedsiębiorcze)</w:t>
            </w:r>
          </w:p>
        </w:tc>
        <w:tc>
          <w:tcPr/>
          <w:p>
            <w:pPr>
              <w:pStyle w:val="Compact"/>
            </w:pPr>
            <w:r>
              <w:t xml:space="preserve">Państwo jako podejmujące ryzyko</w:t>
            </w:r>
          </w:p>
        </w:tc>
        <w:tc>
          <w:tcPr/>
          <w:p>
            <w:pPr>
              <w:pStyle w:val="Compact"/>
            </w:pPr>
            <w:r>
              <w:t xml:space="preserve">Pełną architekturę pośrednictwa; hierarchię</w:t>
            </w:r>
          </w:p>
        </w:tc>
        <w:tc>
          <w:tcPr/>
          <w:p>
            <w:pPr>
              <w:pStyle w:val="Compact"/>
            </w:pPr>
            <w:r>
              <w:t xml:space="preserve">NBFI + banki rozwoju + gwarancje + hierarchia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Gabor (Wall Street Consensus)</w:t>
            </w:r>
          </w:p>
        </w:tc>
        <w:tc>
          <w:tcPr/>
          <w:p>
            <w:pPr>
              <w:pStyle w:val="Compact"/>
            </w:pPr>
            <w:r>
              <w:t xml:space="preserve">Państwo de-riskujące w rozwoju</w:t>
            </w:r>
          </w:p>
        </w:tc>
        <w:tc>
          <w:tcPr/>
          <w:p>
            <w:pPr>
              <w:pStyle w:val="Compact"/>
            </w:pPr>
            <w:r>
              <w:t xml:space="preserve">Strategiczny kapitał technologiczny</w:t>
            </w:r>
          </w:p>
        </w:tc>
        <w:tc>
          <w:tcPr/>
          <w:p>
            <w:pPr>
              <w:pStyle w:val="Compact"/>
            </w:pPr>
            <w:r>
              <w:t xml:space="preserve">CAC jako rama porównawcza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Perez (rewolucje technologiczne)</w:t>
            </w:r>
          </w:p>
        </w:tc>
        <w:tc>
          <w:tcPr/>
          <w:p>
            <w:pPr>
              <w:pStyle w:val="Compact"/>
            </w:pPr>
            <w:r>
              <w:t xml:space="preserve">Cykle finanse-technologia</w:t>
            </w:r>
          </w:p>
        </w:tc>
        <w:tc>
          <w:tcPr/>
          <w:p>
            <w:pPr>
              <w:pStyle w:val="Compact"/>
            </w:pPr>
            <w:r>
              <w:t xml:space="preserve">Hierarchię geopolityczną; krajobraz NBFI post-2008</w:t>
            </w:r>
          </w:p>
        </w:tc>
        <w:tc>
          <w:tcPr/>
          <w:p>
            <w:pPr>
              <w:pStyle w:val="Compact"/>
            </w:pPr>
            <w:r>
              <w:t xml:space="preserve">Wymiar hierarchii; zaktualizowane pośrednictwo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Miller (Chip War)</w:t>
            </w:r>
          </w:p>
        </w:tc>
        <w:tc>
          <w:tcPr/>
          <w:p>
            <w:pPr>
              <w:pStyle w:val="Compact"/>
            </w:pPr>
            <w:r>
              <w:t xml:space="preserve">Narrację geopolityczną półprzewodników</w:t>
            </w:r>
          </w:p>
        </w:tc>
        <w:tc>
          <w:tcPr/>
          <w:p>
            <w:pPr>
              <w:pStyle w:val="Compact"/>
            </w:pPr>
            <w:r>
              <w:t xml:space="preserve">Mechanizmy finansowania; ramę analityczną</w:t>
            </w:r>
          </w:p>
        </w:tc>
        <w:tc>
          <w:tcPr/>
          <w:p>
            <w:pPr>
              <w:pStyle w:val="Compact"/>
            </w:pPr>
            <w:r>
              <w:t xml:space="preserve">Rama CAC; analiza pośrednictwa finansowego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Tooze (Crashed/Shutdown)</w:t>
            </w:r>
          </w:p>
        </w:tc>
        <w:tc>
          <w:tcPr/>
          <w:p>
            <w:pPr>
              <w:pStyle w:val="Compact"/>
            </w:pPr>
            <w:r>
              <w:t xml:space="preserve">Dynamikę kryzysów finansowych</w:t>
            </w:r>
          </w:p>
        </w:tc>
        <w:tc>
          <w:tcPr/>
          <w:p>
            <w:pPr>
              <w:pStyle w:val="Compact"/>
            </w:pPr>
            <w:r>
              <w:t xml:space="preserve">Alokację kapitału technologicznego</w:t>
            </w:r>
          </w:p>
        </w:tc>
        <w:tc>
          <w:tcPr/>
          <w:p>
            <w:pPr>
              <w:pStyle w:val="Compact"/>
            </w:pPr>
            <w:r>
              <w:t xml:space="preserve">Fokus na technologie strategiczne; zdolność predykcyjna CAC</w:t>
            </w:r>
          </w:p>
        </w:tc>
      </w:tr>
    </w:tbl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2026-02-11T19:40:22Z</dcterms:created>
  <dcterms:modified xsi:type="dcterms:W3CDTF">2026-02-11T19:40:22Z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