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spis-treści-z-opisami-rozdziałów"/>
    <w:p>
      <w:pPr>
        <w:pStyle w:val="Heading1"/>
      </w:pPr>
      <w:r>
        <w:t xml:space="preserve">Spis treści z opisami rozdziałów</w:t>
      </w:r>
    </w:p>
    <w:bookmarkStart w:id="9" w:name="X65f780c30521fb98879175f077d0b3af39eef27"/>
    <w:p>
      <w:pPr>
        <w:pStyle w:val="Heading2"/>
      </w:pPr>
      <w:r>
        <w:t xml:space="preserve">The Strategic Capital Order: Finance, Technology, and the New Global Hierarchy</w:t>
      </w:r>
    </w:p>
    <w:p>
      <w:r>
        <w:pict>
          <v:rect style="width:0;height:1.5pt" o:hralign="center" o:hrstd="t" o:hr="t"/>
        </w:pict>
      </w:r>
    </w:p>
    <w:bookmarkEnd w:id="9"/>
    <w:bookmarkStart w:id="10" w:name="Xd37b1aa35e7353689b88d99e5bceb5c9b2b86a1"/>
    <w:p>
      <w:pPr>
        <w:pStyle w:val="Heading2"/>
      </w:pPr>
      <w:r>
        <w:t xml:space="preserve">Wprowadzenie: Kapitał strategiczny jako zmienna kształtująca porządek globalny</w:t>
      </w:r>
    </w:p>
    <w:p>
      <w:pPr>
        <w:pStyle w:val="FirstParagraph"/>
      </w:pPr>
      <w:r>
        <w:rPr>
          <w:i/>
          <w:iCs/>
        </w:rPr>
        <w:t xml:space="preserve">(Szacowana objętość: 10 000 słów)</w:t>
      </w:r>
    </w:p>
    <w:p>
      <w:pPr>
        <w:pStyle w:val="BodyText"/>
      </w:pPr>
      <w:r>
        <w:t xml:space="preserve">Wprowadzenie przedstawia centralną tezę książki i ustanawia jej oryginalność. Otwiera je empiryczna zagadka: ponad 600 mld USD rocznych nakładów inwestycyjnych hyperscalerów, 30% capex S&amp;P 500 skoncentrowane w siedmiu korporacjach technologicznych, inwestycje związane z AI szacowane na 1,2% PKB USA. Dane te umieszczone zostają w perspektywie historycznej — boom kolejowy (1860–1890), elektryfikacja (1900–1930), telekomunikacja (1990–2000). Następnie formułowany jest argument centralny: pozycję w kształtującym się porządku globalnym determinuje nie posiadanie technologii, lecz</w:t>
      </w:r>
      <w:r>
        <w:t xml:space="preserve"> </w:t>
      </w:r>
      <w:r>
        <w:rPr>
          <w:b/>
          <w:bCs/>
        </w:rPr>
        <w:t xml:space="preserve">zdolność do alokacji kapitału</w:t>
      </w:r>
      <w:r>
        <w:t xml:space="preserve"> </w:t>
      </w:r>
      <w:r>
        <w:t xml:space="preserve">w strategiczne punkty łańcucha wartości. Rozdział wprowadza również drugą oś analityczną: transformację samej infrastruktury pośrednictwa finansowego — przesunięcie od banków komercyjnych ku NBFI, rosnącą rolę banków rozwoju i powrót państwa jako gwaranta ostatniej instancji. Książka pozycjonowana jest wobec czterech nurtów literatury: ekonomii politycznej finansów globalnych (Strange, Helleiner, Cohen), studiów nad globalnymi łańcuchami wartości (Gereffi, Baldwin), varieties of capitalism (Hall, Soskice) oraz badań nad stabilnością finansową (Minsky, Adrian, FSB).</w:t>
      </w:r>
    </w:p>
    <w:p>
      <w:r>
        <w:pict>
          <v:rect style="width:0;height:1.5pt" o:hralign="center" o:hrstd="t" o:hr="t"/>
        </w:pict>
      </w:r>
    </w:p>
    <w:bookmarkEnd w:id="10"/>
    <w:bookmarkStart w:id="13" w:name="część-i-rama-teoretyczna"/>
    <w:p>
      <w:pPr>
        <w:pStyle w:val="Heading2"/>
      </w:pPr>
      <w:r>
        <w:t xml:space="preserve">CZĘŚĆ I: RAMA TEORETYCZNA</w:t>
      </w:r>
    </w:p>
    <w:bookmarkStart w:id="11" w:name="X50b1226fb3f196d2c2ab2ce625d5ac6bdd69f35"/>
    <w:p>
      <w:pPr>
        <w:pStyle w:val="Heading3"/>
      </w:pPr>
      <w:r>
        <w:t xml:space="preserve">Rozdział 1: Alokacja kapitału jako źródło dominacji w systemie globalnym</w:t>
      </w:r>
    </w:p>
    <w:p>
      <w:pPr>
        <w:pStyle w:val="FirstParagraph"/>
      </w:pPr>
      <w:r>
        <w:rPr>
          <w:i/>
          <w:iCs/>
        </w:rPr>
        <w:t xml:space="preserve">(10 000 słów)</w:t>
      </w:r>
    </w:p>
    <w:p>
      <w:pPr>
        <w:pStyle w:val="BodyText"/>
      </w:pPr>
      <w:r>
        <w:t xml:space="preserve">Rozdział argumentuje, że zdolność do alokacji kapitału — nie zaś posiadanie technologii, talentów czy surowców — stanowi fundamentalną determinantę pozycji w globalnej hierarchii. Identyfikuje i analizuje osiem mechanizmów przyczynowych: (1) materializację — kapitał staje się infrastrukturą fizyczną; (2) zależność od ścieżki — infrastruktura tworzy fakty trwałe dekady; (3) spiralę kompetencyjną — budowanie generuje wiedzę ukrytą, pogłębiając lukę; (4) ekstrakcję rent — kontrola chokepoints generuje renty monopolistyczne; (5) architekturę ryzyka — struktury finansowania determinują podział strat; (6) przewagę temporalną — szybka mobilizacja kapitału umożliwia przyspieszenie; (7) projekcję geopolityczną — inwestycje tworzą zależności polityczne; (8) kumulację — kapitał odtwarza sam siebie. Każdy mechanizm ilustrowany jest empirycznie. Rozdział kończy się trzema testowalnymi hipotezami o relacji między zdolnością alokacyjną a pozycją globalną.</w:t>
      </w:r>
    </w:p>
    <w:bookmarkEnd w:id="11"/>
    <w:bookmarkStart w:id="12" w:name="Xef99003c6775294c600f61df7e9de19bec1c83b"/>
    <w:p>
      <w:pPr>
        <w:pStyle w:val="Heading3"/>
      </w:pPr>
      <w:r>
        <w:t xml:space="preserve">Rozdział 2: Zdolność do alokacji kapitału — operacjonalizacja i pomiar</w:t>
      </w:r>
    </w:p>
    <w:p>
      <w:pPr>
        <w:pStyle w:val="FirstParagraph"/>
      </w:pPr>
      <w:r>
        <w:rPr>
          <w:i/>
          <w:iCs/>
        </w:rPr>
        <w:t xml:space="preserve">(10 000 słów)</w:t>
      </w:r>
    </w:p>
    <w:p>
      <w:pPr>
        <w:pStyle w:val="BodyText"/>
      </w:pPr>
      <w:r>
        <w:t xml:space="preserve">Rozdział przekształca koncepcję CAC w mierzalny konstrukt analityczny. Definiuje CAC jako zdolność kraju do mobilizacji, strukturyzowania i kierowania kapitału w strategiczne punkty łańcuchów wartości. Konstrukt rozkładany jest na pięć wymiarów: (1) zdolność finansową — głębokość rynku, NBFI, banki rozwoju, gwarancje; (2) zdolność technologiczną — pozycja w łańcuchu półprzewodników, infrastruktura AI, R&amp;D; (3) zdolność surowcową — minerały krytyczne, energia, woda; (4) zdolność instytucjonalną — regulacje, biurokracja, IP, koherencja polityki przemysłowej; (5) zdolność geopolityczną — sojusze, kontrole eksportowe, gwarancje bezpieczeństwa. Na tej podstawie konstruowana jest sześciopoziomowa typologia krajów: Centra Alokacji AI, Wyspecjalizowane Węzły, Aspirujący Naśladowcy, Dostawcy Surowców, Konsumenci Usług, Wykluczeni.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X417caacca40bce6f564318dbbe5f902f97471c2"/>
    <w:p>
      <w:pPr>
        <w:pStyle w:val="Heading2"/>
      </w:pPr>
      <w:r>
        <w:t xml:space="preserve">CZĘŚĆ II: PRZEDMIOT FINANSOWANIA — STRATEGICZNY KAPITAŁ TECHNOLOGICZNY</w:t>
      </w:r>
    </w:p>
    <w:bookmarkStart w:id="14" w:name="X322096d3de94b819277981b64aa249e65d1732b"/>
    <w:p>
      <w:pPr>
        <w:pStyle w:val="Heading3"/>
      </w:pPr>
      <w:r>
        <w:t xml:space="preserve">Rozdział 3: Strategiczny kapitał technologiczny — skala, struktura, dynamika</w:t>
      </w:r>
    </w:p>
    <w:p>
      <w:pPr>
        <w:pStyle w:val="FirstParagraph"/>
      </w:pPr>
      <w:r>
        <w:rPr>
          <w:i/>
          <w:iCs/>
        </w:rPr>
        <w:t xml:space="preserve">(10 000 słów)</w:t>
      </w:r>
    </w:p>
    <w:p>
      <w:pPr>
        <w:pStyle w:val="BodyText"/>
      </w:pPr>
      <w:r>
        <w:t xml:space="preserve">Rozdział dokumentuje skalę i strukturę globalnych przepływów kapitału, argumentując, że AI, półprzewodniki, infrastruktura energetyczna i minerały krytyczne muszą być rozumiane jako zintegrowany kompleks inwestycyjny. Przedstawia zagregowane dane: capex hyperscalerów &gt;600 mld USD rocznie, nakłady na fabryki chipów &gt;200 mld USD rocznie, dominacja Chin w przetwarzaniu minerałów (85% REE, 70%+ litu). Demonstruje integrację sektorów w jeden łańcuch wartości i porównuje obecny cykl z historycznymi precedensami.</w:t>
      </w:r>
    </w:p>
    <w:bookmarkEnd w:id="14"/>
    <w:bookmarkStart w:id="15" w:name="X643dfbdeba0e207ba2c3b69c48dafe34618f2e1"/>
    <w:p>
      <w:pPr>
        <w:pStyle w:val="Heading3"/>
      </w:pPr>
      <w:r>
        <w:t xml:space="preserve">Rozdział 4: Architektura łańcucha wartości i punkty kontroli</w:t>
      </w:r>
    </w:p>
    <w:p>
      <w:pPr>
        <w:pStyle w:val="FirstParagraph"/>
      </w:pPr>
      <w:r>
        <w:rPr>
          <w:i/>
          <w:iCs/>
        </w:rPr>
        <w:t xml:space="preserve">(9 000 słów)</w:t>
      </w:r>
    </w:p>
    <w:p>
      <w:pPr>
        <w:pStyle w:val="BodyText"/>
      </w:pPr>
      <w:r>
        <w:t xml:space="preserve">Rozdział mapuje globalny łańcuch wartości technologii strategicznych, identyfikując chokepoints: TSMC (90% zaawansowanych chipów), ASML (100% EUV), Nvidia (dominacja GPU z marżami 70%+), chińskie przetwarzanie REE (85%). Analizuje ekonomikę chokepoints — bariery wejścia, renty monopolistyczne — oraz śledzi przepływy kapitału przez wąskie gardła. Argumentuje, że kontrola chokepoints wymaga kapitału na skalę, którą nieliczni mogą zmobilizować, a kraje bez zdolności alokacyjnej nie mogą kontrolować łańcucha.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X0ed23664290c0a0eed9205a9ddb510d681d7d1b"/>
    <w:p>
      <w:pPr>
        <w:pStyle w:val="Heading2"/>
      </w:pPr>
      <w:r>
        <w:t xml:space="preserve">CZĘŚĆ III: MECHANIZM FINANSOWANIA — INFRASTRUKTURA POŚREDNICTWA</w:t>
      </w:r>
    </w:p>
    <w:bookmarkStart w:id="17" w:name="X7517756c6f863269fc8cf2d35c1cf4c94dec386"/>
    <w:p>
      <w:pPr>
        <w:pStyle w:val="Heading3"/>
      </w:pPr>
      <w:r>
        <w:t xml:space="preserve">Rozdział 5: Transformacja globalnego pośrednictwa finansowego</w:t>
      </w:r>
    </w:p>
    <w:p>
      <w:pPr>
        <w:pStyle w:val="FirstParagraph"/>
      </w:pPr>
      <w:r>
        <w:rPr>
          <w:i/>
          <w:iCs/>
        </w:rPr>
        <w:t xml:space="preserve">(10 000 słów)</w:t>
      </w:r>
    </w:p>
    <w:p>
      <w:pPr>
        <w:pStyle w:val="BodyText"/>
      </w:pPr>
      <w:r>
        <w:t xml:space="preserve">Rozdział dokumentuje strukturalne przesunięcie od banków komercyjnych ku NBFI. Analizuje wycofanie banków (Basel III/IV, niedopasowanie strukturalne), wzrost private credit (z ~500 mld do &gt;1,5 bln USD), transformację PE z LBO ku infrastrukturze (BlackRock/GIP, data centers), oraz mapuje nową architekturę finansowania — od wewnętrznych przepływów pieniężnych hyperscalerów (94% reinwestowane) przez obligacje korporacyjne i private credit po fundusze suwerenne i gwarancje państwowe. Porównuje struktury: USA (rynki kapitałowe + NBFI), Europa (fragmentacja, banki rozwoju), Azja (model hybrydowy), Chiny (dominacja państwowa).</w:t>
      </w:r>
    </w:p>
    <w:bookmarkEnd w:id="17"/>
    <w:bookmarkStart w:id="18" w:name="Xde6df1ea2c14e001ed49dc392d049c72bddcef2"/>
    <w:p>
      <w:pPr>
        <w:pStyle w:val="Heading3"/>
      </w:pPr>
      <w:r>
        <w:t xml:space="preserve">Rozdział 6: Banki rozwoju jako architekci transformacji ryzyka</w:t>
      </w:r>
    </w:p>
    <w:p>
      <w:pPr>
        <w:pStyle w:val="FirstParagraph"/>
      </w:pPr>
      <w:r>
        <w:rPr>
          <w:i/>
          <w:iCs/>
        </w:rPr>
        <w:t xml:space="preserve">(9 000 słów)</w:t>
      </w:r>
    </w:p>
    <w:p>
      <w:pPr>
        <w:pStyle w:val="BodyText"/>
      </w:pPr>
      <w:r>
        <w:t xml:space="preserve">Rozdział analizuje banki rozwoju jako instytucje przekształcające profil ryzyka projektów. Bada KfW, EIB, JBIC, KDB i China Development Bank. Analizuje mechanizmy transformacji ryzyka — first-loss, gwarancje, dług podporządkowany — pokazując, jak zaangażowanie NDB przekształca projekty z niefinansowalnych w bankowalne. Argumentuje, że zdolność NDB stała się sama w sobie źródłem hierarchii globalnej.</w:t>
      </w:r>
    </w:p>
    <w:bookmarkEnd w:id="18"/>
    <w:bookmarkStart w:id="19" w:name="Xe62e563fc49954255e4deb3973e2345fc879ce0"/>
    <w:p>
      <w:pPr>
        <w:pStyle w:val="Heading3"/>
      </w:pPr>
      <w:r>
        <w:t xml:space="preserve">Rozdział 7: Państwo jako gwarant ostatniej instancji</w:t>
      </w:r>
    </w:p>
    <w:p>
      <w:pPr>
        <w:pStyle w:val="FirstParagraph"/>
      </w:pPr>
      <w:r>
        <w:rPr>
          <w:i/>
          <w:iCs/>
        </w:rPr>
        <w:t xml:space="preserve">(9 000 słów)</w:t>
      </w:r>
    </w:p>
    <w:p>
      <w:pPr>
        <w:pStyle w:val="BodyText"/>
      </w:pPr>
      <w:r>
        <w:t xml:space="preserve">Rozdział analizuje powrót państwa jako dostawcy gwarancji i „risk wrapperów”. Wykorzystuje CHIPS Act jako przypadek paradygmatyczny, bada programy globalne (EU Chips Act, Japonia, Korea), wprowadza taksonomię risk wrapperów i analizuje ukryte zobowiązania fiskalne (contingent liabilities &gt;100 mld USD dla samych USA). Demonstruje, że zdolność do gwarantowania sama jest źródłem hierarchii.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część-iv-mechanizmy-dominacji"/>
    <w:p>
      <w:pPr>
        <w:pStyle w:val="Heading2"/>
      </w:pPr>
      <w:r>
        <w:t xml:space="preserve">CZĘŚĆ IV: MECHANIZMY DOMINACJI</w:t>
      </w:r>
    </w:p>
    <w:bookmarkStart w:id="21" w:name="Xfe99a99e85cd49b9ed994769572db181b6d5fd8"/>
    <w:p>
      <w:pPr>
        <w:pStyle w:val="Heading3"/>
      </w:pPr>
      <w:r>
        <w:t xml:space="preserve">Rozdział 8: Materializacja, zależność od ścieżki i spirala kompetencyjna</w:t>
      </w:r>
    </w:p>
    <w:p>
      <w:pPr>
        <w:pStyle w:val="FirstParagraph"/>
      </w:pPr>
      <w:r>
        <w:rPr>
          <w:i/>
          <w:iCs/>
        </w:rPr>
        <w:t xml:space="preserve">(10 000 słów)</w:t>
      </w:r>
    </w:p>
    <w:p>
      <w:pPr>
        <w:pStyle w:val="BodyText"/>
      </w:pPr>
      <w:r>
        <w:t xml:space="preserve">Rozdział dostarcza dowodów empirycznych dla trzech mechanizmów. Materializacja dokumentowana jest na przypadku Tajwan/TSMC (40 lat kumulacji, pozycja nieodtwarzalna nawet za 500 mld USD w dekadę). Zależność od ścieżki ilustruje trajektoria europejska (niedoinwestowanie lat 90./2000., przesunięcie do specialty semiconductors, EU Chips Act jako potencjalnie „za mało, za późno”). Spirala kompetencyjna analizowana jest na przypadku Nvidii (od GPU przez CUDA do 80%+ udziału w AI training, z marżami 70%+). Formalizuje interakcje: kapitał → infrastruktura → wiedza ukryta → lepsza produkcja → wyższe marże → więcej kapitału (spirala).</w:t>
      </w:r>
    </w:p>
    <w:bookmarkEnd w:id="21"/>
    <w:bookmarkStart w:id="22" w:name="X8df4b544057a5159c12cc82ee9998b878cfb19a"/>
    <w:p>
      <w:pPr>
        <w:pStyle w:val="Heading3"/>
      </w:pPr>
      <w:r>
        <w:t xml:space="preserve">Rozdział 9: Ekstrakcja rent, architektura ryzyka i projekcja geopolityczna</w:t>
      </w:r>
    </w:p>
    <w:p>
      <w:pPr>
        <w:pStyle w:val="FirstParagraph"/>
      </w:pPr>
      <w:r>
        <w:rPr>
          <w:i/>
          <w:iCs/>
        </w:rPr>
        <w:t xml:space="preserve">(9 000 słów)</w:t>
      </w:r>
    </w:p>
    <w:p>
      <w:pPr>
        <w:pStyle w:val="BodyText"/>
      </w:pPr>
      <w:r>
        <w:t xml:space="preserve">Rozdział dokumentuje trzy dalsze mechanizmy. Ekstrakcję rent analizuje przez pryzmat marż w łańcuchu wartości (od 20-30% w wydobyciu REE do 70%+ w projektowaniu GPU). Architekturę ryzyka bada na strukturach finansowania CHIPS Act, porównując modele USA, Chin i UE. Projekcję geopolityczną analizuje przez pryzmat inwestycji jako instrumentu wpływu — od relokacji łańcuchów dostaw po inwestycje BRI. Argumentuje, że renty finansują dalsze inwestycje, architektura ryzyka determinuje rozkład zysków i strat, a projekcja geopolityczna tworzy zależności wzmacniające dominację.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część-v-globalna-hierarchia"/>
    <w:p>
      <w:pPr>
        <w:pStyle w:val="Heading2"/>
      </w:pPr>
      <w:r>
        <w:t xml:space="preserve">CZĘŚĆ V: GLOBALNA HIERARCHIA</w:t>
      </w:r>
    </w:p>
    <w:bookmarkStart w:id="24" w:name="Xb2026d822a7176dba3b4cc10ceaec6ee7f69979"/>
    <w:p>
      <w:pPr>
        <w:pStyle w:val="Heading3"/>
      </w:pPr>
      <w:r>
        <w:t xml:space="preserve">Rozdział 10: Centra alokacji kapitału i wyspecjalizowane węzły</w:t>
      </w:r>
    </w:p>
    <w:p>
      <w:pPr>
        <w:pStyle w:val="FirstParagraph"/>
      </w:pPr>
      <w:r>
        <w:rPr>
          <w:i/>
          <w:iCs/>
        </w:rPr>
        <w:t xml:space="preserve">(10 000 słów)</w:t>
      </w:r>
    </w:p>
    <w:p>
      <w:pPr>
        <w:pStyle w:val="BodyText"/>
      </w:pPr>
      <w:r>
        <w:t xml:space="preserve">Rozdział analizuje szczyty hierarchii. USA jako jedyne pełne centrum alokacji: najgłębsze rynki kapitałowe, dominacja w PE/private credit (60%+ globalnego AUM), dolar jako waluta rezerwowa, dominacja w projektowaniu i 54% pojemności data center — z ograniczeniem w postaci zależności produkcyjnej od TSMC. Chiny jako aspirujące centrum pod presją: masywny kapitał państwowy, ale 3-4 generacje za w zaawansowanych chipach i odcięte od EUV. Wyspecjalizowane węzły: Tajwan (ekstremalny leverage dzięki TSMC), Korea Południowa (Samsung/SK Hynix + chaebol-KDB), Holandia (100% monopol ASML na EUV), Japonia (equipment i materiały, próba powrotu przez Rapidus).</w:t>
      </w:r>
    </w:p>
    <w:bookmarkEnd w:id="24"/>
    <w:bookmarkStart w:id="25" w:name="Xd8b675a3108d17e9d5ac40a6418bc929d871448"/>
    <w:p>
      <w:pPr>
        <w:pStyle w:val="Heading3"/>
      </w:pPr>
      <w:r>
        <w:t xml:space="preserve">Rozdział 11: Aspiranci, dostawcy surowców i konsumenci usług</w:t>
      </w:r>
    </w:p>
    <w:p>
      <w:pPr>
        <w:pStyle w:val="FirstParagraph"/>
      </w:pPr>
      <w:r>
        <w:rPr>
          <w:i/>
          <w:iCs/>
        </w:rPr>
        <w:t xml:space="preserve">(10 000 słów)</w:t>
      </w:r>
    </w:p>
    <w:p>
      <w:pPr>
        <w:pStyle w:val="BodyText"/>
      </w:pPr>
      <w:r>
        <w:t xml:space="preserve">Rozdział analizuje niższe poziomy hierarchii. Aspiranci: UE (dylemat „suwerenności cyfrowej”, fragmentacja rynków, ale ASML i sojusze), Japonia (powrót po utraconej dekadzie), Indie (realistyczna trajektoria jako „AI back office”). Dostawcy surowców: Australia (lit, REE, silne instytucje), Chile (nacjonalizacja litu, ryzyko commodity trap), DRK (70% kobaltu, ekstrakcja przez chińskie firmy), państwa Zatoki (transformacja petrodolarów w pozycję AI). Konsumenci usług — Polska i Europa Środkowa jako przypadek: płytkie rynki, brak produkcji chipów, zależność strategiczna, transfer wartości do Seattle i Mountain View. Wykluczeni (Rosja post-2022, Iran): wykluczenie technologiczne pogłębia się w czasie.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część-vi-odporność-systemu-i-perspektywy"/>
    <w:p>
      <w:pPr>
        <w:pStyle w:val="Heading2"/>
      </w:pPr>
      <w:r>
        <w:t xml:space="preserve">CZĘŚĆ VI: ODPORNOŚĆ SYSTEMU I PERSPEKTYWY</w:t>
      </w:r>
    </w:p>
    <w:bookmarkStart w:id="27" w:name="X0897a91aa05d58ee880b8c84f14f6df385f70a4"/>
    <w:p>
      <w:pPr>
        <w:pStyle w:val="Heading3"/>
      </w:pPr>
      <w:r>
        <w:t xml:space="preserve">Rozdział 12: Transmisja polityki monetarnej w zdezintermediowanym systemie</w:t>
      </w:r>
    </w:p>
    <w:p>
      <w:pPr>
        <w:pStyle w:val="FirstParagraph"/>
      </w:pPr>
      <w:r>
        <w:rPr>
          <w:i/>
          <w:iCs/>
        </w:rPr>
        <w:t xml:space="preserve">(8 000 słów)</w:t>
      </w:r>
    </w:p>
    <w:p>
      <w:pPr>
        <w:pStyle w:val="BodyText"/>
      </w:pPr>
      <w:r>
        <w:t xml:space="preserve">Rozdział analizuje zagadkę empiryczną: Fed podniósł stopy z 0% do 5,5%, a AI capex wzrósł zamiast spaść. Wyjaśnia to nową strukturą finansowania: hyperscalerzy finansują się z wewnętrznych przepływów (niewrażliwe na stopy), private credit mniej wrażliwy niż kredyt bankowy, gwarancje państwowe obniżają efektywny koszt. Rozważa implikacje dla mandatu banków centralnych i asymetrie między krajami.</w:t>
      </w:r>
    </w:p>
    <w:bookmarkEnd w:id="27"/>
    <w:bookmarkStart w:id="28" w:name="X25bdd1103e4d226a25fee01652e98e9e1b5f4ff"/>
    <w:p>
      <w:pPr>
        <w:pStyle w:val="Heading3"/>
      </w:pPr>
      <w:r>
        <w:t xml:space="preserve">Rozdział 13: Nowe źródła ryzyka systemowego</w:t>
      </w:r>
    </w:p>
    <w:p>
      <w:pPr>
        <w:pStyle w:val="FirstParagraph"/>
      </w:pPr>
      <w:r>
        <w:rPr>
          <w:i/>
          <w:iCs/>
        </w:rPr>
        <w:t xml:space="preserve">(10 000 słów)</w:t>
      </w:r>
    </w:p>
    <w:p>
      <w:pPr>
        <w:pStyle w:val="BodyText"/>
      </w:pPr>
      <w:r>
        <w:t xml:space="preserve">Rozdział identyfikuje nowe ryzyka: koncentracja (Magnificent 7 ~40% S&amp;P 500), brak przejrzystości w private credit (leverage, kowenanty, ekspozycje nieznane), ukryte zobowiązania fiskalne (setki miliardów z gwarancji nieujętych w budżetach), fragmentacja (dwa systemy finansowe: zachodni i chiński), ryzyko geopolityczne jako finansowe (scenariusz tajwański jako globalny szok kaskadowy). Analizuje interakcje między ryzykami i ocenia odporność systemu: banki bardziej odporne niż 2008, ale NBFI mniej przejrzyste, bez backstopu, państwa obciążone, koordynacja globalna słabsza.</w:t>
      </w:r>
    </w:p>
    <w:bookmarkEnd w:id="28"/>
    <w:bookmarkStart w:id="29" w:name="rozdział-14-scenariusze-i-wnioski"/>
    <w:p>
      <w:pPr>
        <w:pStyle w:val="Heading3"/>
      </w:pPr>
      <w:r>
        <w:t xml:space="preserve">Rozdział 14: Scenariusze i wnioski</w:t>
      </w:r>
    </w:p>
    <w:p>
      <w:pPr>
        <w:pStyle w:val="FirstParagraph"/>
      </w:pPr>
      <w:r>
        <w:rPr>
          <w:i/>
          <w:iCs/>
        </w:rPr>
        <w:t xml:space="preserve">(10 000 słów)</w:t>
      </w:r>
    </w:p>
    <w:p>
      <w:pPr>
        <w:pStyle w:val="BodyText"/>
      </w:pPr>
      <w:r>
        <w:t xml:space="preserve">Rozdział przedstawia pięć scenariuszy do 2035: (1) konsolidacja hierarchii (35%), (2) fragmentacja z napięciami (25%), (3) kryzys systemowy (15%), (4) europejskie przebudzenie (10%), (5) nowy multilateralizm (15%). Syntezuje implikacje dla polityki na każdym poziomie hierarchii: zarządzanie ryzykiem koncentracji dla centrów, utrzymanie niezastępowalności dla węzłów, realistyczne strategie niszowe dla aspirantów, budowa przetwarzania dla dostawców, inwestycja w talenty dla konsumentów, regulacja NBFI dla systemu międzynarodowego. Formułuje agendę badawczą i kończy refleksją o alokacji kapitału jako procesie kształtującym przyszły porządek globalny.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odsumowanie"/>
    <w:p>
      <w:pPr>
        <w:pStyle w:val="Heading2"/>
      </w:pPr>
      <w:r>
        <w:t xml:space="preserve">Podsumowanie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Część</w:t>
            </w:r>
          </w:p>
        </w:tc>
        <w:tc>
          <w:tcPr/>
          <w:p>
            <w:pPr>
              <w:pStyle w:val="Compact"/>
            </w:pPr>
            <w:r>
              <w:t xml:space="preserve">Tytuł</w:t>
            </w:r>
          </w:p>
        </w:tc>
        <w:tc>
          <w:tcPr/>
          <w:p>
            <w:pPr>
              <w:pStyle w:val="Compact"/>
            </w:pPr>
            <w:r>
              <w:t xml:space="preserve">Rozdziały</w:t>
            </w:r>
          </w:p>
        </w:tc>
        <w:tc>
          <w:tcPr/>
          <w:p>
            <w:pPr>
              <w:pStyle w:val="Compact"/>
            </w:pPr>
            <w:r>
              <w:t xml:space="preserve">Objętość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Wprowadzenie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10 000 słów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Rama teoretyczna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20 000 słów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</w:t>
            </w:r>
          </w:p>
        </w:tc>
        <w:tc>
          <w:tcPr/>
          <w:p>
            <w:pPr>
              <w:pStyle w:val="Compact"/>
            </w:pPr>
            <w:r>
              <w:t xml:space="preserve">Przedmiot finansowania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19 000 słów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Mechanizm finansowania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28 000 słów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</w:t>
            </w:r>
          </w:p>
        </w:tc>
        <w:tc>
          <w:tcPr/>
          <w:p>
            <w:pPr>
              <w:pStyle w:val="Compact"/>
            </w:pPr>
            <w:r>
              <w:t xml:space="preserve">Mechanizmy dominacji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19 000 słów</w:t>
            </w:r>
          </w:p>
        </w:tc>
      </w:tr>
      <w:tr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Globalna hierarchia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20 000 słów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</w:t>
            </w:r>
          </w:p>
        </w:tc>
        <w:tc>
          <w:tcPr/>
          <w:p>
            <w:pPr>
              <w:pStyle w:val="Compact"/>
            </w:pPr>
            <w:r>
              <w:t xml:space="preserve">Odporność i perspektywy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28 000 słów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Razem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 rozdziałów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~144 000 słów</w:t>
            </w:r>
          </w:p>
        </w:tc>
      </w:tr>
    </w:tbl>
    <w:p>
      <w:pPr>
        <w:pStyle w:val="BodyText"/>
      </w:pPr>
      <w:r>
        <w:rPr>
          <w:b/>
          <w:bCs/>
        </w:rPr>
        <w:t xml:space="preserve">Szacowana objętość druku:</w:t>
      </w:r>
      <w:r>
        <w:t xml:space="preserve"> </w:t>
      </w:r>
      <w:r>
        <w:t xml:space="preserve">~450 stron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2026-02-11T19:40:22Z</dcterms:created>
  <dcterms:modified xsi:type="dcterms:W3CDTF">2026-02-11T19:40:22Z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