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ublikacje-konkurencyjne-i-pokrewne"/>
    <w:p>
      <w:pPr>
        <w:pStyle w:val="Heading1"/>
      </w:pPr>
      <w:r>
        <w:t xml:space="preserve">Publikacje konkurencyjne i pokrewne</w:t>
      </w:r>
    </w:p>
    <w:bookmarkStart w:id="18" w:name="X65f780c30521fb98879175f077d0b3af39eef27"/>
    <w:p>
      <w:pPr>
        <w:pStyle w:val="Heading2"/>
      </w:pPr>
      <w:r>
        <w:t xml:space="preserve">The Strategic Capital Order: Finance, Technology, and the New Global Hierarchy</w:t>
      </w:r>
    </w:p>
    <w:p>
      <w:r>
        <w:pict>
          <v:rect style="width:0;height:1.5pt" o:hralign="center" o:hrstd="t" o:hr="t"/>
        </w:pict>
      </w:r>
    </w:p>
    <w:bookmarkStart w:id="9" w:name="X1f1e35244d245ae68747c6a24023c1c8e07c0df"/>
    <w:p>
      <w:pPr>
        <w:pStyle w:val="Heading3"/>
      </w:pPr>
      <w:r>
        <w:t xml:space="preserve">1. Carlota Perez,</w:t>
      </w:r>
      <w:r>
        <w:t xml:space="preserve"> </w:t>
      </w:r>
      <w:r>
        <w:rPr>
          <w:i/>
          <w:iCs/>
        </w:rPr>
        <w:t xml:space="preserve">Technological Revolutions and Financial Capital: The Dynamics of Bubbles and Golden Ages</w:t>
      </w:r>
      <w:r>
        <w:t xml:space="preserve"> </w:t>
      </w:r>
      <w:r>
        <w:t xml:space="preserve">(Edward Elgar, 2002)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Przełomowe dzieło Perez ustanawia teoretyczną relację między kapitałem finansowym a rewolucjami technologicznymi. Jest najważniejszym intelektualnym poprzednikiem niniejszej książki i — co istotne — tytułem Edward Elgar.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t xml:space="preserve">Perez dostarcza historyczną analizę cykliczną.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buduje na jej dorobku, ale wprowadza: (a) hierarchię geopolityczną wytwarzaną przez każdy cykl; (b) współczesną transformację pośrednictwa od banków ku NBFI; (c) zoperacjonalizowaną ramę (CAC) porównującą zdolności krajów. Gdzie Perez analizuje wzorce historyczne, niniejsza książka dostarcza ramę analityczną ze zdolnością predykcyjną dla bieżącego cyklu.</w:t>
      </w:r>
    </w:p>
    <w:p>
      <w:r>
        <w:pict>
          <v:rect style="width:0;height:1.5pt" o:hralign="center" o:hrstd="t" o:hr="t"/>
        </w:pict>
      </w:r>
    </w:p>
    <w:bookmarkEnd w:id="9"/>
    <w:bookmarkStart w:id="10" w:name="Xd5c1acd2436141968db452095999aaf3430b6fc"/>
    <w:p>
      <w:pPr>
        <w:pStyle w:val="Heading3"/>
      </w:pPr>
      <w:r>
        <w:t xml:space="preserve">2. Chris Miller,</w:t>
      </w:r>
      <w:r>
        <w:t xml:space="preserve"> </w:t>
      </w:r>
      <w:r>
        <w:rPr>
          <w:i/>
          <w:iCs/>
        </w:rPr>
        <w:t xml:space="preserve">Chip War: The Fight for the World’s Most Critical Technology</w:t>
      </w:r>
      <w:r>
        <w:t xml:space="preserve"> </w:t>
      </w:r>
      <w:r>
        <w:t xml:space="preserve">(Scribner, 2022)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Dominująca narracja popularna o geopolitycznym znaczeniu przemysłu półprzewodników, szeroko czytana przez decydentów.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rPr>
          <w:i/>
          <w:iCs/>
        </w:rPr>
        <w:t xml:space="preserve">Chip War</w:t>
      </w:r>
      <w:r>
        <w:t xml:space="preserve"> </w:t>
      </w:r>
      <w:r>
        <w:t xml:space="preserve">to historia narracyjna — bogata, ale pozbawiona ramy analitycznej. Nie analizuje systematycznie mechanizmów finansowych, przez które infrastruktura półprzewodnikowa jest budowana.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uzupełnia Millera, dostarczając głębię finansową i analityczną: jak TSMC jest faktycznie finansowane, dlaczego Europa nie może powtórzyć trajektorii Tajwanu, i jakie konkretne zdolności finansowe determinują, czy kraj staje się producentem czy konsumentem.</w:t>
      </w:r>
    </w:p>
    <w:p>
      <w:r>
        <w:pict>
          <v:rect style="width:0;height:1.5pt" o:hralign="center" o:hrstd="t" o:hr="t"/>
        </w:pict>
      </w:r>
    </w:p>
    <w:bookmarkEnd w:id="10"/>
    <w:bookmarkStart w:id="11" w:name="Xaf6bc7c2dd157fd9c8ee1cdc3bc9eec24a629ba"/>
    <w:p>
      <w:pPr>
        <w:pStyle w:val="Heading3"/>
      </w:pPr>
      <w:r>
        <w:t xml:space="preserve">3. Henry Farrell i Abraham Newman,</w:t>
      </w:r>
      <w:r>
        <w:t xml:space="preserve"> </w:t>
      </w:r>
      <w:r>
        <w:rPr>
          <w:i/>
          <w:iCs/>
        </w:rPr>
        <w:t xml:space="preserve">Underground Empire: How America Weaponized the World Economy</w:t>
      </w:r>
      <w:r>
        <w:t xml:space="preserve"> </w:t>
      </w:r>
      <w:r>
        <w:t xml:space="preserve">(Henry Holt, 2023)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Analiza wąskich gardeł sieci i ich instrumentalizacji przez Stany Zjednoczone bezpośrednio wiąże się z tematyką chokepoints w niniejszej książce.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rPr>
          <w:i/>
          <w:iCs/>
        </w:rPr>
        <w:t xml:space="preserve">Underground Empire</w:t>
      </w:r>
      <w:r>
        <w:t xml:space="preserve"> </w:t>
      </w:r>
      <w:r>
        <w:t xml:space="preserve">skupia się na eksploatacji istniejących chokepoints. Nie adresuje systematycznie, jak te chokepoints powstały przez dekady decyzji alokacji kapitału.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dostarcza brakujące ogniwo: mechanizmy finansowe i procesy alokacyjne, które tworzą infrastrukturę opisywaną przez Farrella i Newmana.</w:t>
      </w:r>
    </w:p>
    <w:p>
      <w:r>
        <w:pict>
          <v:rect style="width:0;height:1.5pt" o:hralign="center" o:hrstd="t" o:hr="t"/>
        </w:pict>
      </w:r>
    </w:p>
    <w:bookmarkEnd w:id="11"/>
    <w:bookmarkStart w:id="12" w:name="Xc576b53c917874ccbcea72a3c51167b01abeb64"/>
    <w:p>
      <w:pPr>
        <w:pStyle w:val="Heading3"/>
      </w:pPr>
      <w:r>
        <w:t xml:space="preserve">4. Mariana Mazzucato,</w:t>
      </w:r>
      <w:r>
        <w:t xml:space="preserve"> </w:t>
      </w:r>
      <w:r>
        <w:rPr>
          <w:i/>
          <w:iCs/>
        </w:rPr>
        <w:t xml:space="preserve">The Entrepreneurial State: Debunking Public vs. Private Sector Myths</w:t>
      </w:r>
      <w:r>
        <w:t xml:space="preserve"> </w:t>
      </w:r>
      <w:r>
        <w:t xml:space="preserve">(Anthem Press, 2013; Penguin, 2018)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Argument Mazzucato o państwie jako kluczowym podejmującym ryzyko w innowacjach stanowi fundament analizy gwarancji państwowych i banków rozwoju w niniejszej książce.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t xml:space="preserve">Mazzucato skupia się na kontekście krajowym (USA) i retrospektywnym (iPhone, internet, biotech).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rozszerza rolę państwa na współczesną funkcję „dostawcy risk wrappera”, osadza państwo w szerszej architekturze pośrednictwa (NBFI, PE, SWF) i śledzi, jak zróżnicowane zdolności państw przekładają się na globalną hierarchię. Analiza jest prospektywna i porównawcza.</w:t>
      </w:r>
    </w:p>
    <w:p>
      <w:r>
        <w:pict>
          <v:rect style="width:0;height:1.5pt" o:hralign="center" o:hrstd="t" o:hr="t"/>
        </w:pict>
      </w:r>
    </w:p>
    <w:bookmarkEnd w:id="12"/>
    <w:bookmarkStart w:id="13" w:name="X67426876310fa070b5cf13b254faffacdca72b9"/>
    <w:p>
      <w:pPr>
        <w:pStyle w:val="Heading3"/>
      </w:pPr>
      <w:r>
        <w:t xml:space="preserve">5. Adam Tooze,</w:t>
      </w:r>
      <w:r>
        <w:t xml:space="preserve"> </w:t>
      </w:r>
      <w:r>
        <w:rPr>
          <w:i/>
          <w:iCs/>
        </w:rPr>
        <w:t xml:space="preserve">Crashed</w:t>
      </w:r>
      <w:r>
        <w:t xml:space="preserve"> </w:t>
      </w:r>
      <w:r>
        <w:t xml:space="preserve">(Viking, 2018) i</w:t>
      </w:r>
      <w:r>
        <w:t xml:space="preserve"> </w:t>
      </w:r>
      <w:r>
        <w:rPr>
          <w:i/>
          <w:iCs/>
        </w:rPr>
        <w:t xml:space="preserve">Shutdown</w:t>
      </w:r>
      <w:r>
        <w:t xml:space="preserve"> </w:t>
      </w:r>
      <w:r>
        <w:t xml:space="preserve">(Viking, 2021)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Tooze jest wiodącym narratorem powiązań między dynamiką finansową a geopolityką. Obe książki demonstrują ekonomię polityczną kryzysów finansowych.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t xml:space="preserve">Tooze skupia się na kryzysach i retrospekcji — analizuje, jak szoki finansowe przekształcają władzę.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koncentruje się na inwestycjach i perspektywie — analizuje, jak alokacja kapitału w technologie strategiczne konstruuje nową hierarchię</w:t>
      </w:r>
      <w:r>
        <w:t xml:space="preserve"> </w:t>
      </w:r>
      <w:r>
        <w:rPr>
          <w:i/>
          <w:iCs/>
        </w:rPr>
        <w:t xml:space="preserve">zanim</w:t>
      </w:r>
      <w:r>
        <w:t xml:space="preserve"> </w:t>
      </w:r>
      <w:r>
        <w:t xml:space="preserve">dojdzie do kryzysu. Rama CAC dostarcza strukturę analityczną, której podejście narracyjne Tooze’a, choć znakomite, nie oferuje.</w:t>
      </w:r>
    </w:p>
    <w:p>
      <w:r>
        <w:pict>
          <v:rect style="width:0;height:1.5pt" o:hralign="center" o:hrstd="t" o:hr="t"/>
        </w:pict>
      </w:r>
    </w:p>
    <w:bookmarkEnd w:id="13"/>
    <w:bookmarkStart w:id="14" w:name="X7a4b623a18143b925aa40d289042415202e756d"/>
    <w:p>
      <w:pPr>
        <w:pStyle w:val="Heading3"/>
      </w:pPr>
      <w:r>
        <w:t xml:space="preserve">6. Daniela Gabor, „The Wall Street Consensus” (</w:t>
      </w:r>
      <w:r>
        <w:rPr>
          <w:i/>
          <w:iCs/>
        </w:rPr>
        <w:t xml:space="preserve">Development and Change</w:t>
      </w:r>
      <w:r>
        <w:t xml:space="preserve">, 2021) i prace pokrewne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Koncepcja Gabor o „państwie de-riskującym” i Wall Street Consensus bezpośrednio wiąże się z analizą risk wrapperów i funkcji banków rozwoju.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t xml:space="preserve">Rama Gabor rozwinięta jest w kontekście finansów rozwojowych (Globalne Południe).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rozszerza logikę de-riskingu na strategiczny kapitał technologiczny zarówno w krajach rozwiniętych, jak i rozwijających się, wprowadza konstrukt CAC do porównań systematycznych i analizuje implikacje ryzyka systemowego.</w:t>
      </w:r>
    </w:p>
    <w:p>
      <w:r>
        <w:pict>
          <v:rect style="width:0;height:1.5pt" o:hralign="center" o:hrstd="t" o:hr="t"/>
        </w:pict>
      </w:r>
    </w:p>
    <w:bookmarkEnd w:id="14"/>
    <w:bookmarkStart w:id="15" w:name="X3bd1170ac459bbb974f7d4fb5cf74813086e1cd"/>
    <w:p>
      <w:pPr>
        <w:pStyle w:val="Heading3"/>
      </w:pPr>
      <w:r>
        <w:t xml:space="preserve">7. Bruno Macaes, prace o technologii i porządku światowym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Macaes pisze o technologii jako czynniku przekształcającym rywalizację geopolityczną.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t xml:space="preserve">Prace Macaesa są eseistyczne i konceptualne, bez strukturyzowanej ramy analitycznej.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dostarcza głębię finansowo-analityczną i systematyczną ramę nieobecną w bardziej spekulatywnym podejściu Macaesa.</w:t>
      </w:r>
    </w:p>
    <w:p>
      <w:r>
        <w:pict>
          <v:rect style="width:0;height:1.5pt" o:hralign="center" o:hrstd="t" o:hr="t"/>
        </w:pict>
      </w:r>
    </w:p>
    <w:bookmarkEnd w:id="15"/>
    <w:bookmarkStart w:id="16" w:name="X860c31b919462390f1c92d3c2d1ce32846d51ac"/>
    <w:p>
      <w:pPr>
        <w:pStyle w:val="Heading3"/>
      </w:pPr>
      <w:r>
        <w:t xml:space="preserve">8. Raporty instytutów: Bruegel, CSIS, IISS i analogicznych</w:t>
      </w:r>
    </w:p>
    <w:p>
      <w:pPr>
        <w:pStyle w:val="FirstParagraph"/>
      </w:pPr>
      <w:r>
        <w:rPr>
          <w:b/>
          <w:bCs/>
        </w:rPr>
        <w:t xml:space="preserve">Znaczenie:</w:t>
      </w:r>
      <w:r>
        <w:t xml:space="preserve"> </w:t>
      </w:r>
      <w:r>
        <w:t xml:space="preserve">Rosnące zasoby analiz politycznych dotyczących łańcuchów dostaw półprzewodników, zarządzania AI i rywalizacji strategicznej.</w:t>
      </w:r>
    </w:p>
    <w:p>
      <w:pPr>
        <w:pStyle w:val="BodyText"/>
      </w:pPr>
      <w:r>
        <w:rPr>
          <w:b/>
          <w:bCs/>
        </w:rPr>
        <w:t xml:space="preserve">Różnicowanie:</w:t>
      </w:r>
      <w:r>
        <w:t xml:space="preserve"> </w:t>
      </w:r>
      <w:r>
        <w:t xml:space="preserve">Raporty polityczne są sektorowe (półprzewodniki LUB AI LUB minerały), geograficznie ograniczone (perspektywa USA, perspektywa UE) i skupione na rekomendacjach bez unifikującej ramy analitycznej.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integruje sektory, obejmuje całą hierarchię, dostarcza ramę teoretyczną i adresuje wymiar pośrednictwa finansowego.</w:t>
      </w:r>
    </w:p>
    <w:p>
      <w:r>
        <w:pict>
          <v:rect style="width:0;height:1.5pt" o:hralign="center" o:hrstd="t" o:hr="t"/>
        </w:pict>
      </w:r>
    </w:p>
    <w:bookmarkEnd w:id="16"/>
    <w:bookmarkStart w:id="17" w:name="podsumowanie-luka-rynkowa"/>
    <w:p>
      <w:pPr>
        <w:pStyle w:val="Heading3"/>
      </w:pPr>
      <w:r>
        <w:t xml:space="preserve">Podsumowanie: Luka rynkowa</w:t>
      </w:r>
    </w:p>
    <w:p>
      <w:pPr>
        <w:pStyle w:val="FirstParagraph"/>
      </w:pPr>
      <w:r>
        <w:t xml:space="preserve">Żadna istniejąca książka nie łączy: (a) systematycznej ramy porównawczej zdolności krajów do uczestnictwa w inwestycjach technologii strategicznych; (b) zintegrowanej analizy architektury pośrednictwa finansowego; (c) uwagi dla wszystkich poziomów hierarchii; i (d) analizy implikacji ryzyka systemowego na przecięciu koncentracji technologicznej i transformacji pośrednictwa.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wypełnia tę lukę.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2026-02-11T19:40:22Z</dcterms:created>
  <dcterms:modified xsi:type="dcterms:W3CDTF">2026-02-11T19:40:22Z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