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rupa-docelowa-i-rynek"/>
    <w:p>
      <w:pPr>
        <w:pStyle w:val="Heading1"/>
      </w:pPr>
      <w:r>
        <w:t xml:space="preserve">Grupa docelowa i rynek</w:t>
      </w:r>
    </w:p>
    <w:bookmarkStart w:id="16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bookmarkStart w:id="9" w:name="podstawowa-grupa-akademicka"/>
    <w:p>
      <w:pPr>
        <w:pStyle w:val="Heading3"/>
      </w:pPr>
      <w:r>
        <w:t xml:space="preserve">Podstawowa grupa akademicka</w:t>
      </w:r>
    </w:p>
    <w:p>
      <w:pPr>
        <w:pStyle w:val="FirstParagraph"/>
      </w:pPr>
      <w:r>
        <w:rPr>
          <w:b/>
          <w:bCs/>
        </w:rPr>
        <w:t xml:space="preserve">Badacze i zaawansowani studenci międzynarodowej ekonomii politycznej (IPE).</w:t>
      </w:r>
      <w:r>
        <w:t xml:space="preserve"> </w:t>
      </w:r>
      <w:r>
        <w:t xml:space="preserve">Centralna rama książki — CAC — jest zakorzeniona w teorii IPE (Strange, Helleiner, Cohen) i wnosi bezpośrednio do debat o władzy strukturalnej, globalnym zarządzaniu i ekonomii politycznej finansów. Kluczowe czasopisma:</w:t>
      </w:r>
      <w:r>
        <w:t xml:space="preserve"> </w:t>
      </w:r>
      <w:r>
        <w:rPr>
          <w:i/>
          <w:iCs/>
        </w:rPr>
        <w:t xml:space="preserve">Review of International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New Political Economy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Organization</w:t>
      </w:r>
      <w:r>
        <w:t xml:space="preserve">,</w:t>
      </w:r>
      <w:r>
        <w:t xml:space="preserve"> </w:t>
      </w:r>
      <w:r>
        <w:rPr>
          <w:i/>
          <w:iCs/>
        </w:rPr>
        <w:t xml:space="preserve">Global Governance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Badacze ekonomii finansowej i finansów rozwojowych.</w:t>
      </w:r>
      <w:r>
        <w:t xml:space="preserve"> </w:t>
      </w:r>
      <w:r>
        <w:t xml:space="preserve">Analiza wzrostu NBFI, private credit, transformacji ryzyka przez banki rozwoju oraz warunkowych zobowiązań fiskalnych wnosi do debat o pośrednictwie, ryzyku systemowym i transmisji polityki monetarnej. Kluczowe czasopisma: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International Money and Finance</w:t>
      </w:r>
      <w:r>
        <w:t xml:space="preserve">,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Badacze zarządzania technologią i studiów innowacyjnych.</w:t>
      </w:r>
      <w:r>
        <w:t xml:space="preserve"> </w:t>
      </w:r>
      <w:r>
        <w:t xml:space="preserve">Analiza łańcuchów wartości, ekonomiki chokepoints i wzorców inwestycji w półprzewodniki/AI wnosi do literatury o zarządzaniu technologią i systemach innowacji. Kluczowe czasopisma:</w:t>
      </w:r>
      <w:r>
        <w:t xml:space="preserve"> </w:t>
      </w:r>
      <w:r>
        <w:rPr>
          <w:i/>
          <w:iCs/>
        </w:rPr>
        <w:t xml:space="preserve">Research Policy</w:t>
      </w:r>
      <w:r>
        <w:t xml:space="preserve">,</w:t>
      </w:r>
      <w:r>
        <w:t xml:space="preserve"> </w:t>
      </w:r>
      <w:r>
        <w:rPr>
          <w:i/>
          <w:iCs/>
        </w:rPr>
        <w:t xml:space="preserve">Technovation</w:t>
      </w:r>
      <w:r>
        <w:t xml:space="preserve">.</w:t>
      </w:r>
    </w:p>
    <w:bookmarkEnd w:id="9"/>
    <w:bookmarkStart w:id="10" w:name="dodatkowa-grupa-akademicka"/>
    <w:p>
      <w:pPr>
        <w:pStyle w:val="Heading3"/>
      </w:pPr>
      <w:r>
        <w:t xml:space="preserve">Dodatkowa grupa akademicka</w:t>
      </w:r>
    </w:p>
    <w:p>
      <w:pPr>
        <w:pStyle w:val="FirstParagraph"/>
      </w:pPr>
      <w:r>
        <w:rPr>
          <w:b/>
          <w:bCs/>
        </w:rPr>
        <w:t xml:space="preserve">Doktoranci i zaawansowani magistranci</w:t>
      </w:r>
      <w:r>
        <w:t xml:space="preserve"> </w:t>
      </w:r>
      <w:r>
        <w:t xml:space="preserve">w dziedzinach IPE, finansów globalnych, studiów rozwojowych, ekonomii innowacji i polityki technologicznej. Rama CAC dostarcza gotowe narzędzie analityczne dla badań porównawczych i studium przypadku.</w:t>
      </w:r>
    </w:p>
    <w:p>
      <w:pPr>
        <w:pStyle w:val="BodyText"/>
      </w:pPr>
      <w:r>
        <w:rPr>
          <w:b/>
          <w:bCs/>
        </w:rPr>
        <w:t xml:space="preserve">Badacze studiów obszarowych</w:t>
      </w:r>
      <w:r>
        <w:t xml:space="preserve"> </w:t>
      </w:r>
      <w:r>
        <w:t xml:space="preserve">— Azja Wschodnia, Europa, Bliski Wschód, Europa Środkowa i Wschodnia.</w:t>
      </w:r>
    </w:p>
    <w:bookmarkEnd w:id="10"/>
    <w:bookmarkStart w:id="11" w:name="grupa-praktyków"/>
    <w:p>
      <w:pPr>
        <w:pStyle w:val="Heading3"/>
      </w:pPr>
      <w:r>
        <w:t xml:space="preserve">Grupa praktyków</w:t>
      </w:r>
    </w:p>
    <w:p>
      <w:pPr>
        <w:pStyle w:val="FirstParagraph"/>
      </w:pPr>
      <w:r>
        <w:rPr>
          <w:b/>
          <w:bCs/>
        </w:rPr>
        <w:t xml:space="preserve">Profesjonaliści inwestycyjni i analitycy finansowi</w:t>
      </w:r>
      <w:r>
        <w:t xml:space="preserve"> </w:t>
      </w:r>
      <w:r>
        <w:t xml:space="preserve">pracujący w sektorach technologii strategicznych, inwestycjach infrastrukturalnych, private credit i funduszach suwerennych.</w:t>
      </w:r>
    </w:p>
    <w:p>
      <w:pPr>
        <w:pStyle w:val="BodyText"/>
      </w:pPr>
      <w:r>
        <w:rPr>
          <w:b/>
          <w:bCs/>
        </w:rPr>
        <w:t xml:space="preserve">Profesjonaliści banków rozwoju i instytucji multilateralnych</w:t>
      </w:r>
      <w:r>
        <w:t xml:space="preserve"> </w:t>
      </w:r>
      <w:r>
        <w:t xml:space="preserve">(EIB, KfW, JBIC, Bank Światowy, IFC, EBOiR). Analiza banków rozwoju jako „agentów de-riskingu” bezpośrednio odnosi się do ich ewoluujących mandatów.</w:t>
      </w:r>
    </w:p>
    <w:p>
      <w:pPr>
        <w:pStyle w:val="BodyText"/>
      </w:pPr>
      <w:r>
        <w:rPr>
          <w:b/>
          <w:bCs/>
        </w:rPr>
        <w:t xml:space="preserve">Urzędnicy banków centralnych i organów stabilności finansowej</w:t>
      </w:r>
      <w:r>
        <w:t xml:space="preserve"> </w:t>
      </w:r>
      <w:r>
        <w:t xml:space="preserve">(BIS, FSB, krajowe banki centralne). Analiza osłabionej transmisji monetarnej, braku przejrzystości NBFI i nowych źródeł ryzyka systemowego jest bezpośrednio istotna.</w:t>
      </w:r>
    </w:p>
    <w:bookmarkEnd w:id="11"/>
    <w:bookmarkStart w:id="12" w:name="grupa-decydentów-politycznych"/>
    <w:p>
      <w:pPr>
        <w:pStyle w:val="Heading3"/>
      </w:pPr>
      <w:r>
        <w:t xml:space="preserve">Grupa decydentów politycznych</w:t>
      </w:r>
    </w:p>
    <w:p>
      <w:pPr>
        <w:pStyle w:val="FirstParagraph"/>
      </w:pPr>
      <w:r>
        <w:rPr>
          <w:b/>
          <w:bCs/>
        </w:rPr>
        <w:t xml:space="preserve">Urzędnicy rządowi w ministerstwach finansów, gospodarki i przemysłu</w:t>
      </w:r>
      <w:r>
        <w:t xml:space="preserve"> </w:t>
      </w:r>
      <w:r>
        <w:t xml:space="preserve">odpowiedzialni za politykę przemysłową, strategię półprzewodnikową, politykę AI i inwestycje technologii strategicznych — szczególnie w Europie, Japonii, Korei, Indiach i krajach Zatoki.</w:t>
      </w:r>
    </w:p>
    <w:p>
      <w:pPr>
        <w:pStyle w:val="BodyText"/>
      </w:pPr>
      <w:r>
        <w:rPr>
          <w:b/>
          <w:bCs/>
        </w:rPr>
        <w:t xml:space="preserve">Badacze think tanków i instytutów politycznych</w:t>
      </w:r>
      <w:r>
        <w:t xml:space="preserve"> </w:t>
      </w:r>
      <w:r>
        <w:t xml:space="preserve">(Bruegel, CSIS, Chatham House, IISS, Peterson Institute, Carnegie Endowment).</w:t>
      </w:r>
    </w:p>
    <w:bookmarkEnd w:id="12"/>
    <w:bookmarkStart w:id="13" w:name="potencjał-adopcji-kursowej"/>
    <w:p>
      <w:pPr>
        <w:pStyle w:val="Heading3"/>
      </w:pPr>
      <w:r>
        <w:t xml:space="preserve">Potencjał adopcji kursowej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Seminaria magisterskie IPE</w:t>
      </w:r>
      <w:r>
        <w:t xml:space="preserve">: lektura podstawowa lub uzupełniająca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Kursy finansów globalnych</w:t>
      </w:r>
      <w:r>
        <w:t xml:space="preserve">: pośrednictwo finansowe, ryzyko systemowe, finanse rozwojowe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Programy polityki technologicznej</w:t>
      </w:r>
      <w:r>
        <w:t xml:space="preserve">: polityka półprzewodnikowa, zarządzanie AI, konkurencja strategiczna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MBA i executive education</w:t>
      </w:r>
      <w:r>
        <w:t xml:space="preserve">: finanse międzynarodowe, inwestycje strategiczne, ryzyko geopolityczne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Programy polityki publicznej</w:t>
      </w:r>
      <w:r>
        <w:t xml:space="preserve">: polityka przemysłowa, rozwój gospodarczy, geoekonomia</w:t>
      </w:r>
    </w:p>
    <w:bookmarkEnd w:id="13"/>
    <w:bookmarkStart w:id="14" w:name="rynek-geograficzny"/>
    <w:p>
      <w:pPr>
        <w:pStyle w:val="Heading3"/>
      </w:pPr>
      <w:r>
        <w:t xml:space="preserve">Rynek geograficzny</w:t>
      </w:r>
    </w:p>
    <w:p>
      <w:pPr>
        <w:pStyle w:val="FirstParagraph"/>
      </w:pPr>
      <w:r>
        <w:t xml:space="preserve">Globalny zakres książki daje jej atrakcyjność na wielu rynkach geograficznych. Szczególne zainteresowanie oczekiwane jest 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 i Wielka Brytania</w:t>
      </w:r>
      <w:r>
        <w:t xml:space="preserve">: największe rynki akademickie IPE i ekonomii finansowej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Europa kontynentalna</w:t>
      </w:r>
      <w:r>
        <w:t xml:space="preserve">: książka bezpośrednio adresuje dylemat „suwerenności cyfrowej” 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Azja Wschodnia</w:t>
      </w:r>
      <w:r>
        <w:t xml:space="preserve">: Japonia, Korea i Tajwan analizowane jako wyspecjalizowane węzły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Państwa Zatoki</w:t>
      </w:r>
      <w:r>
        <w:t xml:space="preserve">: transformacja petrodolarów w AI jako centralny przypadek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Europa Środkowa i Wschodnia</w:t>
      </w:r>
      <w:r>
        <w:t xml:space="preserve">: analiza konsumenta usług dostarcza perspektywę rzadko oferowaną</w:t>
      </w:r>
    </w:p>
    <w:bookmarkEnd w:id="14"/>
    <w:bookmarkStart w:id="15" w:name="towarzystwa-i-sieci-naukowe"/>
    <w:p>
      <w:pPr>
        <w:pStyle w:val="Heading3"/>
      </w:pPr>
      <w:r>
        <w:t xml:space="preserve">Towarzystwa i sieci naukowe</w:t>
      </w:r>
    </w:p>
    <w:p>
      <w:pPr>
        <w:pStyle w:val="Compact"/>
        <w:numPr>
          <w:ilvl w:val="0"/>
          <w:numId w:val="1003"/>
        </w:numPr>
      </w:pPr>
      <w:r>
        <w:t xml:space="preserve">International Studies Association (ISA), sekcja IPE</w:t>
      </w:r>
    </w:p>
    <w:p>
      <w:pPr>
        <w:pStyle w:val="Compact"/>
        <w:numPr>
          <w:ilvl w:val="0"/>
          <w:numId w:val="1003"/>
        </w:numPr>
      </w:pPr>
      <w:r>
        <w:t xml:space="preserve">European Consortium for Political Research (ECPR)</w:t>
      </w:r>
    </w:p>
    <w:p>
      <w:pPr>
        <w:pStyle w:val="Compact"/>
        <w:numPr>
          <w:ilvl w:val="0"/>
          <w:numId w:val="1003"/>
        </w:numPr>
      </w:pPr>
      <w:r>
        <w:t xml:space="preserve">Society for the Advancement of Socio-Economics (SASE)</w:t>
      </w:r>
    </w:p>
    <w:p>
      <w:pPr>
        <w:pStyle w:val="Compact"/>
        <w:numPr>
          <w:ilvl w:val="0"/>
          <w:numId w:val="1003"/>
        </w:numPr>
      </w:pPr>
      <w:r>
        <w:t xml:space="preserve">Sieć badawcza Financial Stability Board (FSB)</w:t>
      </w:r>
    </w:p>
    <w:p>
      <w:pPr>
        <w:pStyle w:val="Compact"/>
        <w:numPr>
          <w:ilvl w:val="0"/>
          <w:numId w:val="1003"/>
        </w:numPr>
      </w:pPr>
      <w:r>
        <w:t xml:space="preserve">Społeczność OECD Science, Technology and Innovation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2026-02-11T19:40:23Z</dcterms:created>
  <dcterms:modified xsi:type="dcterms:W3CDTF">2026-02-11T19:40:23Z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