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szacowana-objętość-i-harmonogram"/>
    <w:p>
      <w:pPr>
        <w:pStyle w:val="Heading1"/>
      </w:pPr>
      <w:r>
        <w:t xml:space="preserve">Szacowana objętość i harmonogram</w:t>
      </w:r>
    </w:p>
    <w:bookmarkStart w:id="13" w:name="X65f780c30521fb98879175f077d0b3af39eef27"/>
    <w:p>
      <w:pPr>
        <w:pStyle w:val="Heading2"/>
      </w:pPr>
      <w:r>
        <w:t xml:space="preserve">The Strategic Capital Order: Finance, Technology, and the New Global Hierarchy</w:t>
      </w:r>
    </w:p>
    <w:p>
      <w:r>
        <w:pict>
          <v:rect style="width:0;height:1.5pt" o:hralign="center" o:hrstd="t" o:hr="t"/>
        </w:pict>
      </w:r>
    </w:p>
    <w:bookmarkStart w:id="9" w:name="szacowana-objętość"/>
    <w:p>
      <w:pPr>
        <w:pStyle w:val="Heading3"/>
      </w:pPr>
      <w:r>
        <w:t xml:space="preserve">Szacowana objętość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Komponent</w:t>
            </w:r>
          </w:p>
        </w:tc>
        <w:tc>
          <w:tcPr/>
          <w:p>
            <w:pPr>
              <w:pStyle w:val="Compact"/>
            </w:pPr>
            <w:r>
              <w:t xml:space="preserve">Liczba słów</w:t>
            </w:r>
          </w:p>
        </w:tc>
      </w:tr>
      <w:tr>
        <w:tc>
          <w:tcPr/>
          <w:p>
            <w:pPr>
              <w:pStyle w:val="Compact"/>
            </w:pPr>
            <w:r>
              <w:t xml:space="preserve">Wprowadzenie</w:t>
            </w:r>
          </w:p>
        </w:tc>
        <w:tc>
          <w:tcPr/>
          <w:p>
            <w:pPr>
              <w:pStyle w:val="Compact"/>
            </w:pPr>
            <w:r>
              <w:t xml:space="preserve">10 000</w:t>
            </w:r>
          </w:p>
        </w:tc>
      </w:tr>
      <w:tr>
        <w:tc>
          <w:tcPr/>
          <w:p>
            <w:pPr>
              <w:pStyle w:val="Compact"/>
            </w:pPr>
            <w:r>
              <w:t xml:space="preserve">Część I: Rama teoretyczna (2 rozdziały)</w:t>
            </w:r>
          </w:p>
        </w:tc>
        <w:tc>
          <w:tcPr/>
          <w:p>
            <w:pPr>
              <w:pStyle w:val="Compact"/>
            </w:pPr>
            <w:r>
              <w:t xml:space="preserve">20 000</w:t>
            </w:r>
          </w:p>
        </w:tc>
      </w:tr>
      <w:tr>
        <w:tc>
          <w:tcPr/>
          <w:p>
            <w:pPr>
              <w:pStyle w:val="Compact"/>
            </w:pPr>
            <w:r>
              <w:t xml:space="preserve">Część II: Przedmiot finansowania (2 rozdziały)</w:t>
            </w:r>
          </w:p>
        </w:tc>
        <w:tc>
          <w:tcPr/>
          <w:p>
            <w:pPr>
              <w:pStyle w:val="Compact"/>
            </w:pPr>
            <w:r>
              <w:t xml:space="preserve">19 000</w:t>
            </w:r>
          </w:p>
        </w:tc>
      </w:tr>
      <w:tr>
        <w:tc>
          <w:tcPr/>
          <w:p>
            <w:pPr>
              <w:pStyle w:val="Compact"/>
            </w:pPr>
            <w:r>
              <w:t xml:space="preserve">Część III: Mechanizm finansowania (3 rozdziały)</w:t>
            </w:r>
          </w:p>
        </w:tc>
        <w:tc>
          <w:tcPr/>
          <w:p>
            <w:pPr>
              <w:pStyle w:val="Compact"/>
            </w:pPr>
            <w:r>
              <w:t xml:space="preserve">28 000</w:t>
            </w:r>
          </w:p>
        </w:tc>
      </w:tr>
      <w:tr>
        <w:tc>
          <w:tcPr/>
          <w:p>
            <w:pPr>
              <w:pStyle w:val="Compact"/>
            </w:pPr>
            <w:r>
              <w:t xml:space="preserve">Część IV: Mechanizmy dominacji (2 rozdziały)</w:t>
            </w:r>
          </w:p>
        </w:tc>
        <w:tc>
          <w:tcPr/>
          <w:p>
            <w:pPr>
              <w:pStyle w:val="Compact"/>
            </w:pPr>
            <w:r>
              <w:t xml:space="preserve">19 000</w:t>
            </w:r>
          </w:p>
        </w:tc>
      </w:tr>
      <w:tr>
        <w:tc>
          <w:tcPr/>
          <w:p>
            <w:pPr>
              <w:pStyle w:val="Compact"/>
            </w:pPr>
            <w:r>
              <w:t xml:space="preserve">Część V: Globalna hierarchia (2 rozdziały)</w:t>
            </w:r>
          </w:p>
        </w:tc>
        <w:tc>
          <w:tcPr/>
          <w:p>
            <w:pPr>
              <w:pStyle w:val="Compact"/>
            </w:pPr>
            <w:r>
              <w:t xml:space="preserve">20 000</w:t>
            </w:r>
          </w:p>
        </w:tc>
      </w:tr>
      <w:tr>
        <w:tc>
          <w:tcPr/>
          <w:p>
            <w:pPr>
              <w:pStyle w:val="Compact"/>
            </w:pPr>
            <w:r>
              <w:t xml:space="preserve">Część VI: Odporność i perspektywy (3 rozdziały)</w:t>
            </w:r>
          </w:p>
        </w:tc>
        <w:tc>
          <w:tcPr/>
          <w:p>
            <w:pPr>
              <w:pStyle w:val="Compact"/>
            </w:pPr>
            <w:r>
              <w:t xml:space="preserve">28 000</w:t>
            </w:r>
          </w:p>
        </w:tc>
      </w:tr>
      <w:tr>
        <w:tc>
          <w:tcPr/>
          <w:p>
            <w:pPr>
              <w:pStyle w:val="Compact"/>
            </w:pPr>
            <w:r>
              <w:rPr>
                <w:b/>
                <w:bCs/>
              </w:rPr>
              <w:t xml:space="preserve">Suma (tekst główny)</w:t>
            </w:r>
          </w:p>
        </w:tc>
        <w:tc>
          <w:tcPr/>
          <w:p>
            <w:pPr>
              <w:pStyle w:val="Compact"/>
            </w:pPr>
            <w:r>
              <w:rPr>
                <w:b/>
                <w:bCs/>
              </w:rPr>
              <w:t xml:space="preserve">~144 000</w:t>
            </w:r>
          </w:p>
        </w:tc>
      </w:tr>
      <w:tr>
        <w:tc>
          <w:tcPr/>
          <w:p>
            <w:pPr>
              <w:pStyle w:val="Compact"/>
            </w:pPr>
            <w:r>
              <w:t xml:space="preserve">Przypisy, odniesienia, bibliografia (szac.)</w:t>
            </w:r>
          </w:p>
        </w:tc>
        <w:tc>
          <w:tcPr/>
          <w:p>
            <w:pPr>
              <w:pStyle w:val="Compact"/>
            </w:pPr>
            <w:r>
              <w:t xml:space="preserve">~16 000</w:t>
            </w:r>
          </w:p>
        </w:tc>
      </w:tr>
      <w:tr>
        <w:tc>
          <w:tcPr/>
          <w:p>
            <w:pPr>
              <w:pStyle w:val="Compact"/>
            </w:pPr>
            <w:r>
              <w:t xml:space="preserve">Tabele, ryciny, aneksy (szac.)</w:t>
            </w:r>
          </w:p>
        </w:tc>
        <w:tc>
          <w:tcPr/>
          <w:p>
            <w:pPr>
              <w:pStyle w:val="Compact"/>
            </w:pPr>
            <w:r>
              <w:t xml:space="preserve">~10 000</w:t>
            </w:r>
          </w:p>
        </w:tc>
      </w:tr>
      <w:tr>
        <w:tc>
          <w:tcPr/>
          <w:p>
            <w:pPr>
              <w:pStyle w:val="Compact"/>
            </w:pPr>
            <w:r>
              <w:rPr>
                <w:b/>
                <w:bCs/>
              </w:rPr>
              <w:t xml:space="preserve">Łączna szacowana objętość manuskryptu</w:t>
            </w:r>
          </w:p>
        </w:tc>
        <w:tc>
          <w:tcPr/>
          <w:p>
            <w:pPr>
              <w:pStyle w:val="Compact"/>
            </w:pPr>
            <w:r>
              <w:rPr>
                <w:b/>
                <w:bCs/>
              </w:rPr>
              <w:t xml:space="preserve">~170 000 słów</w:t>
            </w:r>
          </w:p>
        </w:tc>
      </w:tr>
    </w:tbl>
    <w:p>
      <w:pPr>
        <w:pStyle w:val="BodyText"/>
      </w:pPr>
      <w:r>
        <w:rPr>
          <w:b/>
          <w:bCs/>
        </w:rPr>
        <w:t xml:space="preserve">Szacowana objętość druku:</w:t>
      </w:r>
      <w:r>
        <w:t xml:space="preserve"> </w:t>
      </w:r>
      <w:r>
        <w:t xml:space="preserve">~450–500 stron</w:t>
      </w:r>
    </w:p>
    <w:p>
      <w:pPr>
        <w:pStyle w:val="BodyText"/>
      </w:pPr>
      <w:r>
        <w:rPr>
          <w:b/>
          <w:bCs/>
        </w:rPr>
        <w:t xml:space="preserve">Tabele i ryciny:</w:t>
      </w:r>
      <w:r>
        <w:t xml:space="preserve"> </w:t>
      </w:r>
      <w:r>
        <w:t xml:space="preserve">Książka zawierać będzie ok. 15–20 tabel (dane porównawcze wymiarów CAC, analiza marż, profile krajowe, macierze scenariuszy) oraz 10–15 rycin (mapy łańcuchów wartości, diagramy architektury finansowania, profile radarowe, wykresy porównań historycznych). Zgodnie z konwencją EE, każda rycina odpowiada ok. 500 słowom.</w:t>
      </w:r>
    </w:p>
    <w:bookmarkEnd w:id="9"/>
    <w:bookmarkStart w:id="10" w:name="uwaga-dotycząca-objętości"/>
    <w:p>
      <w:pPr>
        <w:pStyle w:val="Heading3"/>
      </w:pPr>
      <w:r>
        <w:t xml:space="preserve">Uwaga dotycząca objętości</w:t>
      </w:r>
    </w:p>
    <w:p>
      <w:pPr>
        <w:pStyle w:val="FirstParagraph"/>
      </w:pPr>
      <w:r>
        <w:t xml:space="preserve">Objętość manuskryptu odzwierciedla kompleksowy zakres książki. Autor jest otwarty na dyskusję opcji kondensacji z redaktorem, w tym:</w:t>
      </w:r>
      <w:r>
        <w:t xml:space="preserve"> </w:t>
      </w:r>
      <w:r>
        <w:t xml:space="preserve">- Połączenie Części IV i V w jedną sekcję empiryczną (~30 000 słów oszczędności)</w:t>
      </w:r>
      <w:r>
        <w:t xml:space="preserve"> </w:t>
      </w:r>
      <w:r>
        <w:t xml:space="preserve">- Redukcja sekcji pośrednictwa z trzech do dwóch rozdziałów (~9 000 słów oszczędności)</w:t>
      </w:r>
      <w:r>
        <w:t xml:space="preserve"> </w:t>
      </w:r>
      <w:r>
        <w:t xml:space="preserve">- Publikacja scenariuszy i analizy ryzyka jako odrębnego towarzyszącego dokumentu politycznego</w:t>
      </w:r>
    </w:p>
    <w:p>
      <w:pPr>
        <w:pStyle w:val="BodyText"/>
      </w:pPr>
      <w:r>
        <w:t xml:space="preserve">Wersja skondensowana o objętości ok. 100 000–110 000 słów jest wykonalna bez utraty rdzeniowego wkładu analitycznego.</w:t>
      </w:r>
    </w:p>
    <w:bookmarkEnd w:id="10"/>
    <w:bookmarkStart w:id="11" w:name="harmonogram-dostarczenia"/>
    <w:p>
      <w:pPr>
        <w:pStyle w:val="Heading3"/>
      </w:pPr>
      <w:r>
        <w:t xml:space="preserve">Harmonogram dostarczenia</w:t>
      </w:r>
    </w:p>
    <w:p>
      <w:pPr>
        <w:pStyle w:val="FirstParagraph"/>
      </w:pPr>
      <w:r>
        <w:t xml:space="preserve">Pełna koncepcja została opracowana szczegółowo (opisy rozdziałów dla wszystkich 14 rozdziałów, rama analityczna wyspecyfikowana, przypadki empiryczne zidentyfikowane, źródła danych zmapowane). Manuskrypt zostanie napisany bezpośrednio po angielsku.</w:t>
      </w:r>
    </w:p>
    <w:p>
      <w:pPr>
        <w:pStyle w:val="BodyText"/>
      </w:pPr>
      <w:r>
        <w:rPr>
          <w:b/>
          <w:bCs/>
        </w:rPr>
        <w:t xml:space="preserve">Proponowany termin dostarczenia:</w:t>
      </w:r>
      <w:r>
        <w:t xml:space="preserve"> </w:t>
      </w:r>
      <w:r>
        <w:t xml:space="preserve">18 miesięcy od podpisania umowy.</w:t>
      </w:r>
    </w:p>
    <w:tbl>
      <w:tblPr>
        <w:tblStyle w:val="Table"/>
        <w:tblW w:type="pct" w:w="5000"/>
        <w:tblLayout w:type="fixed"/>
        <w:tblLook w:firstRow="1" w:lastRow="0" w:firstColumn="0" w:lastColumn="0" w:noHBand="0" w:noVBand="0" w:val="0020"/>
      </w:tblPr>
      <w:tblGrid>
        <w:gridCol w:w="2066"/>
        <w:gridCol w:w="3787"/>
        <w:gridCol w:w="2066"/>
      </w:tblGrid>
      <w:tr>
        <w:trPr>
          <w:tblHeader w:val="on"/>
        </w:trPr>
        <w:tc>
          <w:tcPr/>
          <w:p>
            <w:pPr>
              <w:pStyle w:val="Compact"/>
            </w:pPr>
            <w:r>
              <w:t xml:space="preserve">Faza</w:t>
            </w:r>
          </w:p>
        </w:tc>
        <w:tc>
          <w:tcPr/>
          <w:p>
            <w:pPr>
              <w:pStyle w:val="Compact"/>
            </w:pPr>
            <w:r>
              <w:t xml:space="preserve">Zawartość</w:t>
            </w:r>
          </w:p>
        </w:tc>
        <w:tc>
          <w:tcPr/>
          <w:p>
            <w:pPr>
              <w:pStyle w:val="Compact"/>
            </w:pPr>
            <w:r>
              <w:t xml:space="preserve">Czas</w:t>
            </w:r>
          </w:p>
        </w:tc>
      </w:tr>
      <w:tr>
        <w:tc>
          <w:tcPr/>
          <w:p>
            <w:pPr>
              <w:pStyle w:val="Compact"/>
            </w:pPr>
            <w:r>
              <w:t xml:space="preserve">Miesiące 1–4</w:t>
            </w:r>
          </w:p>
        </w:tc>
        <w:tc>
          <w:tcPr/>
          <w:p>
            <w:pPr>
              <w:pStyle w:val="Compact"/>
            </w:pPr>
            <w:r>
              <w:t xml:space="preserve">Części I–II (rama + kompleks inwestycyjny)</w:t>
            </w:r>
          </w:p>
        </w:tc>
        <w:tc>
          <w:tcPr/>
          <w:p>
            <w:pPr>
              <w:pStyle w:val="Compact"/>
            </w:pPr>
            <w:r>
              <w:t xml:space="preserve">4 miesiące</w:t>
            </w:r>
          </w:p>
        </w:tc>
      </w:tr>
      <w:tr>
        <w:tc>
          <w:tcPr/>
          <w:p>
            <w:pPr>
              <w:pStyle w:val="Compact"/>
            </w:pPr>
            <w:r>
              <w:t xml:space="preserve">Miesiące 5–9</w:t>
            </w:r>
          </w:p>
        </w:tc>
        <w:tc>
          <w:tcPr/>
          <w:p>
            <w:pPr>
              <w:pStyle w:val="Compact"/>
            </w:pPr>
            <w:r>
              <w:t xml:space="preserve">Część III (pośrednictwo finansowe)</w:t>
            </w:r>
          </w:p>
        </w:tc>
        <w:tc>
          <w:tcPr/>
          <w:p>
            <w:pPr>
              <w:pStyle w:val="Compact"/>
            </w:pPr>
            <w:r>
              <w:t xml:space="preserve">5 miesięcy</w:t>
            </w:r>
          </w:p>
        </w:tc>
      </w:tr>
      <w:tr>
        <w:tc>
          <w:tcPr/>
          <w:p>
            <w:pPr>
              <w:pStyle w:val="Compact"/>
            </w:pPr>
            <w:r>
              <w:t xml:space="preserve">Miesiące 10–13</w:t>
            </w:r>
          </w:p>
        </w:tc>
        <w:tc>
          <w:tcPr/>
          <w:p>
            <w:pPr>
              <w:pStyle w:val="Compact"/>
            </w:pPr>
            <w:r>
              <w:t xml:space="preserve">Części IV–V (mechanizmy + hierarchia)</w:t>
            </w:r>
          </w:p>
        </w:tc>
        <w:tc>
          <w:tcPr/>
          <w:p>
            <w:pPr>
              <w:pStyle w:val="Compact"/>
            </w:pPr>
            <w:r>
              <w:t xml:space="preserve">4 miesiące</w:t>
            </w:r>
          </w:p>
        </w:tc>
      </w:tr>
      <w:tr>
        <w:tc>
          <w:tcPr/>
          <w:p>
            <w:pPr>
              <w:pStyle w:val="Compact"/>
            </w:pPr>
            <w:r>
              <w:t xml:space="preserve">Miesiące 14–16</w:t>
            </w:r>
          </w:p>
        </w:tc>
        <w:tc>
          <w:tcPr/>
          <w:p>
            <w:pPr>
              <w:pStyle w:val="Compact"/>
            </w:pPr>
            <w:r>
              <w:t xml:space="preserve">Część VI (odporność + scenariusze) + Wprowadzenie</w:t>
            </w:r>
          </w:p>
        </w:tc>
        <w:tc>
          <w:tcPr/>
          <w:p>
            <w:pPr>
              <w:pStyle w:val="Compact"/>
            </w:pPr>
            <w:r>
              <w:t xml:space="preserve">3 miesiące</w:t>
            </w:r>
          </w:p>
        </w:tc>
      </w:tr>
      <w:tr>
        <w:tc>
          <w:tcPr/>
          <w:p>
            <w:pPr>
              <w:pStyle w:val="Compact"/>
            </w:pPr>
            <w:r>
              <w:t xml:space="preserve">Miesiące 17–18</w:t>
            </w:r>
          </w:p>
        </w:tc>
        <w:tc>
          <w:tcPr/>
          <w:p>
            <w:pPr>
              <w:pStyle w:val="Compact"/>
            </w:pPr>
            <w:r>
              <w:t xml:space="preserve">Rewizja, redakcja, bibliografia, formatowanie</w:t>
            </w:r>
          </w:p>
        </w:tc>
        <w:tc>
          <w:tcPr/>
          <w:p>
            <w:pPr>
              <w:pStyle w:val="Compact"/>
            </w:pPr>
            <w:r>
              <w:t xml:space="preserve">2 miesiące</w:t>
            </w:r>
          </w:p>
        </w:tc>
      </w:tr>
    </w:tbl>
    <w:bookmarkEnd w:id="11"/>
    <w:bookmarkStart w:id="12" w:name="przygotowanie-manuskryptu"/>
    <w:p>
      <w:pPr>
        <w:pStyle w:val="Heading3"/>
      </w:pPr>
      <w:r>
        <w:t xml:space="preserve">Przygotowanie manuskryptu</w:t>
      </w:r>
    </w:p>
    <w:p>
      <w:pPr>
        <w:pStyle w:val="FirstParagraph"/>
      </w:pPr>
      <w:r>
        <w:t xml:space="preserve">Manuskrypt zostanie przygotowany zgodnie z wytycznymi autora Edward Elgar, w tym:</w:t>
      </w:r>
      <w:r>
        <w:t xml:space="preserve"> </w:t>
      </w:r>
      <w:r>
        <w:t xml:space="preserve">- Styl referencyjny Harvard</w:t>
      </w:r>
      <w:r>
        <w:t xml:space="preserve"> </w:t>
      </w:r>
      <w:r>
        <w:t xml:space="preserve">- Tabele i ryciny przygotowane wg specyfikacji EE</w:t>
      </w:r>
      <w:r>
        <w:t xml:space="preserve"> </w:t>
      </w:r>
      <w:r>
        <w:t xml:space="preserve">- Oddzielna lista bibliografii sformatowana wg wymogów EE</w:t>
      </w:r>
      <w:r>
        <w:t xml:space="preserve"> </w:t>
      </w:r>
      <w:r>
        <w:t xml:space="preserve">- Indeks przygotowany po zatwierdzeniu ostatecznego manuskryptu</w:t>
      </w:r>
    </w:p>
    <w:bookmarkEnd w:id="12"/>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2026-02-11T19:40:23Z</dcterms:created>
  <dcterms:modified xsi:type="dcterms:W3CDTF">2026-02-11T19:40:23Z</dcterms:modified>
</cp:coreProperties>
</file>

<file path=docProps/custom.xml><?xml version="1.0" encoding="utf-8"?>
<Properties xmlns="http://schemas.openxmlformats.org/officeDocument/2006/custom-properties" xmlns:vt="http://schemas.openxmlformats.org/officeDocument/2006/docPropsVTypes"/>
</file>