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ria-wydawnicza"/>
    <w:p>
      <w:pPr>
        <w:pStyle w:val="Heading1"/>
      </w:pPr>
      <w:r>
        <w:t xml:space="preserve">Seria wydawnicza</w:t>
      </w:r>
    </w:p>
    <w:bookmarkStart w:id="13" w:name="X65f780c30521fb98879175f077d0b3af39eef27"/>
    <w:p>
      <w:pPr>
        <w:pStyle w:val="Heading2"/>
      </w:pPr>
      <w:r>
        <w:t xml:space="preserve">The Strategic Capital Order: Finance, Technology, and the New Global Hierarchy</w:t>
      </w:r>
    </w:p>
    <w:p>
      <w:r>
        <w:pict>
          <v:rect style="width:0;height:1.5pt" o:hralign="center" o:hrstd="t" o:hr="t"/>
        </w:pict>
      </w:r>
    </w:p>
    <w:bookmarkStart w:id="9" w:name="Xa9356ad28bb9d02f424a2393c160accc75500bc"/>
    <w:p>
      <w:pPr>
        <w:pStyle w:val="Heading3"/>
      </w:pPr>
      <w:r>
        <w:t xml:space="preserve">Rekomendowany format: Monografia samodzielna</w:t>
      </w:r>
    </w:p>
    <w:p>
      <w:pPr>
        <w:pStyle w:val="FirstParagraph"/>
      </w:pPr>
      <w:r>
        <w:t xml:space="preserve">Książka najlepiej pozycjonowana jest jako</w:t>
      </w:r>
      <w:r>
        <w:t xml:space="preserve"> </w:t>
      </w:r>
      <w:r>
        <w:rPr>
          <w:b/>
          <w:bCs/>
        </w:rPr>
        <w:t xml:space="preserve">monografia samodzielna</w:t>
      </w:r>
      <w:r>
        <w:t xml:space="preserve"> </w:t>
      </w:r>
      <w:r>
        <w:t xml:space="preserve">(standalone monograph), a nie wkład do istniejącej serii. Uzasadnienie jest trojakie: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Zakres interdyscyplinarny.</w:t>
      </w:r>
      <w:r>
        <w:t xml:space="preserve"> </w:t>
      </w:r>
      <w:r>
        <w:t xml:space="preserve">Książka integruje międzynarodową ekonomię polityczną, ekonomię finansową, zarządzanie technologią i studia rozwojowe. Istniejące serie EE są zazwyczaj zakotwiczone w pojedynczej dyscyplinie, co ograniczałoby międzydyscyplinarne pozycjonowanie książki.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Skala.</w:t>
      </w:r>
      <w:r>
        <w:t xml:space="preserve"> </w:t>
      </w:r>
      <w:r>
        <w:t xml:space="preserve">Przy szacowanej objętości 144 000 słów w 14 rozdziałach i 6 częściach, książka jest istotną monografią zasługującą na samodzielne traktowanie.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Ambicja fundamentalna.</w:t>
      </w:r>
      <w:r>
        <w:t xml:space="preserve"> </w:t>
      </w:r>
      <w:r>
        <w:t xml:space="preserve">Rama CAC pomyślana jest jako wkład fundamentalny, na którym mogą budować kolejne badania. Monografia samodzielna sygnalizuje tę ambicję wyraźniej.</w:t>
      </w:r>
    </w:p>
    <w:bookmarkEnd w:id="9"/>
    <w:bookmarkStart w:id="10" w:name="potencjalne-powiązania-z-seriami"/>
    <w:p>
      <w:pPr>
        <w:pStyle w:val="Heading3"/>
      </w:pPr>
      <w:r>
        <w:t xml:space="preserve">Potencjalne powiązania z seriami</w:t>
      </w:r>
    </w:p>
    <w:p>
      <w:pPr>
        <w:pStyle w:val="FirstParagraph"/>
      </w:pPr>
      <w:r>
        <w:t xml:space="preserve">Gdyby redakcja preferowała umieszczenie w serii, następujące serie Edward Elgar są tematycznie zbliżone:</w:t>
      </w:r>
    </w:p>
    <w:p>
      <w:pPr>
        <w:pStyle w:val="BodyText"/>
      </w:pPr>
      <w:r>
        <w:rPr>
          <w:b/>
          <w:bCs/>
        </w:rPr>
        <w:t xml:space="preserve">Handbooks of Research on International Political Economy</w:t>
      </w:r>
      <w:r>
        <w:t xml:space="preserve"> </w:t>
      </w:r>
      <w:r>
        <w:t xml:space="preserve">— Fundamenty IPE książki i globalny zakres pasują do tej serii. Książka mogłaby być pozycjonowana jako monograficzny kompan do istniejących tomów.</w:t>
      </w:r>
    </w:p>
    <w:p>
      <w:pPr>
        <w:pStyle w:val="BodyText"/>
      </w:pPr>
      <w:r>
        <w:rPr>
          <w:b/>
          <w:bCs/>
        </w:rPr>
        <w:t xml:space="preserve">New Thinking in Political Economy</w:t>
      </w:r>
      <w:r>
        <w:t xml:space="preserve"> </w:t>
      </w:r>
      <w:r>
        <w:t xml:space="preserve">(red. Peter Boettke) — Tematycznie istotna, choć seria ma orientację głównie austriacką, co może nie w pełni odpowiadać strukturalno-instytucjonalnemu podejściu książki.</w:t>
      </w:r>
    </w:p>
    <w:p>
      <w:pPr>
        <w:pStyle w:val="BodyText"/>
      </w:pPr>
      <w:r>
        <w:rPr>
          <w:b/>
          <w:bCs/>
        </w:rPr>
        <w:t xml:space="preserve">Innovation, Technology and Knowledge Management</w:t>
      </w:r>
      <w:r>
        <w:t xml:space="preserve"> </w:t>
      </w:r>
      <w:r>
        <w:t xml:space="preserve">— Analiza łańcuchów wartości technologicznych i wymiar systemów innowacji mogłyby tu pasować, choć wymiary pośrednictwa finansowego i hierarchii geopolitycznej wykraczają poza typowy zakres serii.</w:t>
      </w:r>
    </w:p>
    <w:bookmarkEnd w:id="10"/>
    <w:bookmarkStart w:id="11" w:name="komplementarność-z-katalogiem-ee"/>
    <w:p>
      <w:pPr>
        <w:pStyle w:val="Heading3"/>
      </w:pPr>
      <w:r>
        <w:t xml:space="preserve">Komplementarność z katalogiem EE</w:t>
      </w:r>
    </w:p>
    <w:p>
      <w:pPr>
        <w:pStyle w:val="FirstParagraph"/>
      </w:pPr>
      <w:r>
        <w:t xml:space="preserve">Książka uzupełnia kilka przełomowych tytułów w katalogu Edward Elgar: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Carlota Perez,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Technological Revolutions and Financial Capital</w:t>
      </w:r>
      <w:r>
        <w:rPr>
          <w:b/>
          <w:bCs/>
        </w:rPr>
        <w:t xml:space="preserve"> </w:t>
      </w:r>
      <w:r>
        <w:rPr>
          <w:b/>
          <w:bCs/>
        </w:rPr>
        <w:t xml:space="preserve">(2002)</w:t>
      </w:r>
      <w:r>
        <w:t xml:space="preserve"> </w:t>
      </w:r>
      <w:r>
        <w:t xml:space="preserve">— Najważniejszy poprzednik intelektualny.</w:t>
      </w:r>
      <w:r>
        <w:t xml:space="preserve"> </w:t>
      </w:r>
      <w:r>
        <w:rPr>
          <w:i/>
          <w:iCs/>
        </w:rPr>
        <w:t xml:space="preserve">The Strategic Capital Order</w:t>
      </w:r>
      <w:r>
        <w:t xml:space="preserve"> </w:t>
      </w:r>
      <w:r>
        <w:t xml:space="preserve">aktualizuje analizę Perez dla krajobrazu post-2008, zdominowanego przez NBFI i sfragmentowanego geopolitycznie.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Ha-Joon Chang,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Kicking Away the Ladder</w:t>
      </w:r>
      <w:r>
        <w:rPr>
          <w:b/>
          <w:bCs/>
        </w:rPr>
        <w:t xml:space="preserve"> </w:t>
      </w:r>
      <w:r>
        <w:rPr>
          <w:b/>
          <w:bCs/>
        </w:rPr>
        <w:t xml:space="preserve">(2002)</w:t>
      </w:r>
      <w:r>
        <w:t xml:space="preserve"> </w:t>
      </w:r>
      <w:r>
        <w:t xml:space="preserve">— Analiza Changa, jak kraje rozwinięte odmawiają krajom rozwijającym się narzędzi, których same używały, rezonuje z analizą samowzmacniających się hierarchii w niniejszej książce.</w:t>
      </w:r>
    </w:p>
    <w:bookmarkEnd w:id="11"/>
    <w:bookmarkStart w:id="12" w:name="open-access"/>
    <w:p>
      <w:pPr>
        <w:pStyle w:val="Heading3"/>
      </w:pPr>
      <w:r>
        <w:t xml:space="preserve">Open Access</w:t>
      </w:r>
    </w:p>
    <w:p>
      <w:pPr>
        <w:pStyle w:val="FirstParagraph"/>
      </w:pPr>
      <w:r>
        <w:t xml:space="preserve">Autor jest otwarty na dyskusję publikacji Open Access. Wielu europejskich i instytucjonalnych fundatorów badań wymaga lub zachęca do publikacji OA. Szerokie grono docelowych czytelników — praktyków i decydentów — skorzystałoby z większej dostępności.</w:t>
      </w:r>
    </w:p>
    <w:bookmarkEnd w:id="12"/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2026-02-11T19:40:23Z</dcterms:created>
  <dcterms:modified xsi:type="dcterms:W3CDTF">2026-02-11T19:40:23Z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