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re-bibliography"/>
    <w:p>
      <w:pPr>
        <w:pStyle w:val="Heading1"/>
      </w:pPr>
      <w:r>
        <w:t xml:space="preserve">Core Bibliography</w:t>
      </w:r>
    </w:p>
    <w:bookmarkStart w:id="18" w:name="references-cited-in-the-proposal"/>
    <w:p>
      <w:pPr>
        <w:pStyle w:val="Heading2"/>
      </w:pPr>
      <w:r>
        <w:t xml:space="preserve">References cited in the proposal</w:t>
      </w:r>
    </w:p>
    <w:p>
      <w:r>
        <w:pict>
          <v:rect style="width:0;height:1.5pt" o:hralign="center" o:hrstd="t" o:hr="t"/>
        </w:pict>
      </w:r>
    </w:p>
    <w:bookmarkStart w:id="9" w:name="political-economy-of-global-finance"/>
    <w:p>
      <w:pPr>
        <w:pStyle w:val="Heading3"/>
      </w:pPr>
      <w:r>
        <w:t xml:space="preserve">Political Economy of Global Finance</w:t>
      </w:r>
    </w:p>
    <w:p>
      <w:pPr>
        <w:pStyle w:val="Compact"/>
        <w:numPr>
          <w:ilvl w:val="0"/>
          <w:numId w:val="1001"/>
        </w:numPr>
      </w:pPr>
      <w:r>
        <w:t xml:space="preserve">Strange, S. (1988).</w:t>
      </w:r>
      <w:r>
        <w:t xml:space="preserve"> </w:t>
      </w:r>
      <w:r>
        <w:rPr>
          <w:i/>
          <w:iCs/>
        </w:rPr>
        <w:t xml:space="preserve">States and Markets</w:t>
      </w:r>
      <w:r>
        <w:t xml:space="preserve">. London: Pinter.</w:t>
      </w:r>
    </w:p>
    <w:p>
      <w:pPr>
        <w:pStyle w:val="Compact"/>
        <w:numPr>
          <w:ilvl w:val="0"/>
          <w:numId w:val="1001"/>
        </w:numPr>
      </w:pPr>
      <w:r>
        <w:t xml:space="preserve">Strange, S. (1998).</w:t>
      </w:r>
      <w:r>
        <w:t xml:space="preserve"> </w:t>
      </w:r>
      <w:r>
        <w:rPr>
          <w:i/>
          <w:iCs/>
        </w:rPr>
        <w:t xml:space="preserve">Mad Money: When Markets Outgrow Governments</w:t>
      </w:r>
      <w:r>
        <w:t xml:space="preserve">. Ann Arbor: University of Michigan Press.</w:t>
      </w:r>
    </w:p>
    <w:p>
      <w:pPr>
        <w:pStyle w:val="Compact"/>
        <w:numPr>
          <w:ilvl w:val="0"/>
          <w:numId w:val="1001"/>
        </w:numPr>
      </w:pPr>
      <w:r>
        <w:t xml:space="preserve">Helleiner, E. (1994).</w:t>
      </w:r>
      <w:r>
        <w:t xml:space="preserve"> </w:t>
      </w:r>
      <w:r>
        <w:rPr>
          <w:i/>
          <w:iCs/>
        </w:rPr>
        <w:t xml:space="preserve">States and the Reemergence of Global Finance: From Bretton Woods to the 1990s</w:t>
      </w:r>
      <w:r>
        <w:t xml:space="preserve">. Ithaca: Cornell University Press.</w:t>
      </w:r>
    </w:p>
    <w:p>
      <w:pPr>
        <w:pStyle w:val="Compact"/>
        <w:numPr>
          <w:ilvl w:val="0"/>
          <w:numId w:val="1001"/>
        </w:numPr>
      </w:pPr>
      <w:r>
        <w:t xml:space="preserve">Cohen, B.J. (2015).</w:t>
      </w:r>
      <w:r>
        <w:t xml:space="preserve"> </w:t>
      </w:r>
      <w:r>
        <w:rPr>
          <w:i/>
          <w:iCs/>
        </w:rPr>
        <w:t xml:space="preserve">Currency Power: Understanding Monetary Rivalry</w:t>
      </w:r>
      <w:r>
        <w:t xml:space="preserve">. Princeton: Princeton University Press.</w:t>
      </w:r>
    </w:p>
    <w:p>
      <w:pPr>
        <w:pStyle w:val="Compact"/>
        <w:numPr>
          <w:ilvl w:val="0"/>
          <w:numId w:val="1001"/>
        </w:numPr>
      </w:pPr>
      <w:r>
        <w:t xml:space="preserve">Kindleberger, C.P. (1973).</w:t>
      </w:r>
      <w:r>
        <w:t xml:space="preserve"> </w:t>
      </w:r>
      <w:r>
        <w:rPr>
          <w:i/>
          <w:iCs/>
        </w:rPr>
        <w:t xml:space="preserve">The World in Depression, 1929–1939</w:t>
      </w:r>
      <w:r>
        <w:t xml:space="preserve">. Berkeley: University of California Press.</w:t>
      </w:r>
    </w:p>
    <w:bookmarkEnd w:id="9"/>
    <w:bookmarkStart w:id="10" w:name="X0603b4f156b8b5c82e6196ff562cde5e733b1f5"/>
    <w:p>
      <w:pPr>
        <w:pStyle w:val="Heading3"/>
      </w:pPr>
      <w:r>
        <w:t xml:space="preserve">Global Value Chains and Production Networks</w:t>
      </w:r>
    </w:p>
    <w:p>
      <w:pPr>
        <w:pStyle w:val="Compact"/>
        <w:numPr>
          <w:ilvl w:val="0"/>
          <w:numId w:val="1002"/>
        </w:numPr>
      </w:pPr>
      <w:r>
        <w:t xml:space="preserve">Gereffi, G. (2018).</w:t>
      </w:r>
      <w:r>
        <w:t xml:space="preserve"> </w:t>
      </w:r>
      <w:r>
        <w:rPr>
          <w:i/>
          <w:iCs/>
        </w:rPr>
        <w:t xml:space="preserve">Global Value Chains and Development: Redefining the Contours of 21st Century Capitalism</w:t>
      </w:r>
      <w:r>
        <w:t xml:space="preserve">. Cambridge: Cambridge University Press.</w:t>
      </w:r>
    </w:p>
    <w:p>
      <w:pPr>
        <w:pStyle w:val="Compact"/>
        <w:numPr>
          <w:ilvl w:val="0"/>
          <w:numId w:val="1002"/>
        </w:numPr>
      </w:pPr>
      <w:r>
        <w:t xml:space="preserve">Baldwin, R. (2016).</w:t>
      </w:r>
      <w:r>
        <w:t xml:space="preserve"> </w:t>
      </w:r>
      <w:r>
        <w:rPr>
          <w:i/>
          <w:iCs/>
        </w:rPr>
        <w:t xml:space="preserve">The Great Convergence: Information Technology and the New Globalization</w:t>
      </w:r>
      <w:r>
        <w:t xml:space="preserve">. Cambridge, MA: Harvard University Press.</w:t>
      </w:r>
    </w:p>
    <w:p>
      <w:pPr>
        <w:pStyle w:val="Compact"/>
        <w:numPr>
          <w:ilvl w:val="0"/>
          <w:numId w:val="1002"/>
        </w:numPr>
      </w:pPr>
      <w:r>
        <w:t xml:space="preserve">Milberg, W. and Winkler, D. (2013).</w:t>
      </w:r>
      <w:r>
        <w:t xml:space="preserve"> </w:t>
      </w:r>
      <w:r>
        <w:rPr>
          <w:i/>
          <w:iCs/>
        </w:rPr>
        <w:t xml:space="preserve">Outsourcing Economics: Global Value Chains in Capitalist Development</w:t>
      </w:r>
      <w:r>
        <w:t xml:space="preserve">. Cambridge: Cambridge University Press.</w:t>
      </w:r>
    </w:p>
    <w:bookmarkEnd w:id="10"/>
    <w:bookmarkStart w:id="11" w:name="X1078802e150b6aa2b0f35307d4d996adf0668c9"/>
    <w:p>
      <w:pPr>
        <w:pStyle w:val="Heading3"/>
      </w:pPr>
      <w:r>
        <w:t xml:space="preserve">Varieties of Capitalism and Institutional Analysis</w:t>
      </w:r>
    </w:p>
    <w:p>
      <w:pPr>
        <w:pStyle w:val="Compact"/>
        <w:numPr>
          <w:ilvl w:val="0"/>
          <w:numId w:val="1003"/>
        </w:numPr>
      </w:pPr>
      <w:r>
        <w:t xml:space="preserve">Hall, P.A. and Soskice, D. (eds.) (2001).</w:t>
      </w:r>
      <w:r>
        <w:t xml:space="preserve"> </w:t>
      </w:r>
      <w:r>
        <w:rPr>
          <w:i/>
          <w:iCs/>
        </w:rPr>
        <w:t xml:space="preserve">Varieties of Capitalism: The Institutional Foundations of Comparative Advantage</w:t>
      </w:r>
      <w:r>
        <w:t xml:space="preserve">. Oxford: Oxford University Press.</w:t>
      </w:r>
    </w:p>
    <w:p>
      <w:pPr>
        <w:pStyle w:val="Compact"/>
        <w:numPr>
          <w:ilvl w:val="0"/>
          <w:numId w:val="1003"/>
        </w:numPr>
      </w:pPr>
      <w:r>
        <w:t xml:space="preserve">Amable, B. (2003).</w:t>
      </w:r>
      <w:r>
        <w:t xml:space="preserve"> </w:t>
      </w:r>
      <w:r>
        <w:rPr>
          <w:i/>
          <w:iCs/>
        </w:rPr>
        <w:t xml:space="preserve">The Diversity of Modern Capitalism</w:t>
      </w:r>
      <w:r>
        <w:t xml:space="preserve">. Oxford: Oxford University Press.</w:t>
      </w:r>
    </w:p>
    <w:p>
      <w:pPr>
        <w:pStyle w:val="Compact"/>
        <w:numPr>
          <w:ilvl w:val="0"/>
          <w:numId w:val="1003"/>
        </w:numPr>
      </w:pPr>
      <w:r>
        <w:t xml:space="preserve">Mazzucato, M. (2013).</w:t>
      </w:r>
      <w:r>
        <w:t xml:space="preserve"> </w:t>
      </w:r>
      <w:r>
        <w:rPr>
          <w:i/>
          <w:iCs/>
        </w:rPr>
        <w:t xml:space="preserve">The Entrepreneurial State: Debunking Public vs. Private Sector Myths</w:t>
      </w:r>
      <w:r>
        <w:t xml:space="preserve">. London: Anthem Press. [Revised edition: Penguin, 2018.]</w:t>
      </w:r>
    </w:p>
    <w:p>
      <w:pPr>
        <w:pStyle w:val="Compact"/>
        <w:numPr>
          <w:ilvl w:val="0"/>
          <w:numId w:val="1003"/>
        </w:numPr>
      </w:pPr>
      <w:r>
        <w:t xml:space="preserve">Chang, H.-J. (2002).</w:t>
      </w:r>
      <w:r>
        <w:t xml:space="preserve"> </w:t>
      </w:r>
      <w:r>
        <w:rPr>
          <w:i/>
          <w:iCs/>
        </w:rPr>
        <w:t xml:space="preserve">Kicking Away the Ladder: Development Strategy in Historical Perspective</w:t>
      </w:r>
      <w:r>
        <w:t xml:space="preserve">. London: Anthem Press.</w:t>
      </w:r>
    </w:p>
    <w:bookmarkEnd w:id="11"/>
    <w:bookmarkStart w:id="12" w:name="X6ba2b962b972271db62e4df4c90456254ae4108"/>
    <w:p>
      <w:pPr>
        <w:pStyle w:val="Heading3"/>
      </w:pPr>
      <w:r>
        <w:t xml:space="preserve">Financial Systems, Intermediation, and Stability</w:t>
      </w:r>
    </w:p>
    <w:p>
      <w:pPr>
        <w:pStyle w:val="Compact"/>
        <w:numPr>
          <w:ilvl w:val="0"/>
          <w:numId w:val="1004"/>
        </w:numPr>
      </w:pPr>
      <w:r>
        <w:t xml:space="preserve">Minsky, H.P. (1986).</w:t>
      </w:r>
      <w:r>
        <w:t xml:space="preserve"> </w:t>
      </w:r>
      <w:r>
        <w:rPr>
          <w:i/>
          <w:iCs/>
        </w:rPr>
        <w:t xml:space="preserve">Stabilizing an Unstable Economy</w:t>
      </w:r>
      <w:r>
        <w:t xml:space="preserve">. New Haven: Yale University Press.</w:t>
      </w:r>
    </w:p>
    <w:p>
      <w:pPr>
        <w:pStyle w:val="Compact"/>
        <w:numPr>
          <w:ilvl w:val="0"/>
          <w:numId w:val="1004"/>
        </w:numPr>
      </w:pPr>
      <w:r>
        <w:t xml:space="preserve">Adrian, T. and Shin, H.S. (2010).</w:t>
      </w:r>
      <w:r>
        <w:t xml:space="preserve"> </w:t>
      </w:r>
      <w:r>
        <w:t xml:space="preserve">“Liquidity and Leverage.”</w:t>
      </w:r>
      <w:r>
        <w:t xml:space="preserve"> </w:t>
      </w:r>
      <w:r>
        <w:rPr>
          <w:i/>
          <w:iCs/>
        </w:rPr>
        <w:t xml:space="preserve">Journal of Financial Intermediation</w:t>
      </w:r>
      <w:r>
        <w:t xml:space="preserve">, 19(3), 418–437.</w:t>
      </w:r>
    </w:p>
    <w:p>
      <w:pPr>
        <w:pStyle w:val="Compact"/>
        <w:numPr>
          <w:ilvl w:val="0"/>
          <w:numId w:val="1004"/>
        </w:numPr>
      </w:pPr>
      <w:r>
        <w:t xml:space="preserve">Financial Stability Board (2023).</w:t>
      </w:r>
      <w:r>
        <w:t xml:space="preserve"> </w:t>
      </w:r>
      <w:r>
        <w:rPr>
          <w:i/>
          <w:iCs/>
        </w:rPr>
        <w:t xml:space="preserve">Global Monitoring Report on Non-Bank Financial Intermediation</w:t>
      </w:r>
      <w:r>
        <w:t xml:space="preserve">. Basel: FSB.</w:t>
      </w:r>
    </w:p>
    <w:p>
      <w:pPr>
        <w:pStyle w:val="Compact"/>
        <w:numPr>
          <w:ilvl w:val="0"/>
          <w:numId w:val="1004"/>
        </w:numPr>
      </w:pPr>
      <w:r>
        <w:t xml:space="preserve">Financial Stability Board (2024).</w:t>
      </w:r>
      <w:r>
        <w:t xml:space="preserve"> </w:t>
      </w:r>
      <w:r>
        <w:rPr>
          <w:i/>
          <w:iCs/>
        </w:rPr>
        <w:t xml:space="preserve">Global Monitoring Report on Non-Bank Financial Intermediation</w:t>
      </w:r>
      <w:r>
        <w:t xml:space="preserve">. Basel: FSB.</w:t>
      </w:r>
    </w:p>
    <w:p>
      <w:pPr>
        <w:pStyle w:val="Compact"/>
        <w:numPr>
          <w:ilvl w:val="0"/>
          <w:numId w:val="1004"/>
        </w:numPr>
      </w:pPr>
      <w:r>
        <w:t xml:space="preserve">Gabor, D. (2021).</w:t>
      </w:r>
      <w:r>
        <w:t xml:space="preserve"> </w:t>
      </w:r>
      <w:r>
        <w:t xml:space="preserve">“The Wall Street Consensus.”</w:t>
      </w:r>
      <w:r>
        <w:t xml:space="preserve"> </w:t>
      </w:r>
      <w:r>
        <w:rPr>
          <w:i/>
          <w:iCs/>
        </w:rPr>
        <w:t xml:space="preserve">Development and Change</w:t>
      </w:r>
      <w:r>
        <w:t xml:space="preserve">, 52(3), 429–459.</w:t>
      </w:r>
    </w:p>
    <w:p>
      <w:pPr>
        <w:pStyle w:val="Compact"/>
        <w:numPr>
          <w:ilvl w:val="0"/>
          <w:numId w:val="1004"/>
        </w:numPr>
      </w:pPr>
      <w:r>
        <w:t xml:space="preserve">Gabor, D. (2023).</w:t>
      </w:r>
      <w:r>
        <w:t xml:space="preserve"> </w:t>
      </w:r>
      <w:r>
        <w:t xml:space="preserve">“The (European) De-Risking State.”</w:t>
      </w:r>
      <w:r>
        <w:t xml:space="preserve"> </w:t>
      </w:r>
      <w:r>
        <w:t xml:space="preserve">SocArXiv Working Paper.</w:t>
      </w:r>
    </w:p>
    <w:bookmarkEnd w:id="12"/>
    <w:bookmarkStart w:id="13" w:name="technology-semiconductors-and-ai"/>
    <w:p>
      <w:pPr>
        <w:pStyle w:val="Heading3"/>
      </w:pPr>
      <w:r>
        <w:t xml:space="preserve">Technology, Semiconductors, and AI</w:t>
      </w:r>
    </w:p>
    <w:p>
      <w:pPr>
        <w:pStyle w:val="Compact"/>
        <w:numPr>
          <w:ilvl w:val="0"/>
          <w:numId w:val="1005"/>
        </w:numPr>
      </w:pPr>
      <w:r>
        <w:t xml:space="preserve">Miller, C. (2022).</w:t>
      </w:r>
      <w:r>
        <w:t xml:space="preserve"> </w:t>
      </w:r>
      <w:r>
        <w:rPr>
          <w:i/>
          <w:iCs/>
        </w:rPr>
        <w:t xml:space="preserve">Chip War: The Fight for the World’s Most Critical Technology</w:t>
      </w:r>
      <w:r>
        <w:t xml:space="preserve">. New York: Scribner.</w:t>
      </w:r>
    </w:p>
    <w:p>
      <w:pPr>
        <w:pStyle w:val="Compact"/>
        <w:numPr>
          <w:ilvl w:val="0"/>
          <w:numId w:val="1005"/>
        </w:numPr>
      </w:pPr>
      <w:r>
        <w:t xml:space="preserve">Farrell, H. and Newman, A.L. (2019).</w:t>
      </w:r>
      <w:r>
        <w:t xml:space="preserve"> </w:t>
      </w:r>
      <w:r>
        <w:t xml:space="preserve">“Weaponized Interdependence: How Global Economic Networks Shape State Coercion.”</w:t>
      </w:r>
      <w:r>
        <w:t xml:space="preserve"> </w:t>
      </w:r>
      <w:r>
        <w:rPr>
          <w:i/>
          <w:iCs/>
        </w:rPr>
        <w:t xml:space="preserve">International Security</w:t>
      </w:r>
      <w:r>
        <w:t xml:space="preserve">, 44(1), 42–79.</w:t>
      </w:r>
    </w:p>
    <w:p>
      <w:pPr>
        <w:pStyle w:val="Compact"/>
        <w:numPr>
          <w:ilvl w:val="0"/>
          <w:numId w:val="1005"/>
        </w:numPr>
      </w:pPr>
      <w:r>
        <w:t xml:space="preserve">Farrell, H. and Newman, A.L. (2023).</w:t>
      </w:r>
      <w:r>
        <w:t xml:space="preserve"> </w:t>
      </w:r>
      <w:r>
        <w:rPr>
          <w:i/>
          <w:iCs/>
        </w:rPr>
        <w:t xml:space="preserve">Underground Empire: How America Weaponized the World Economy</w:t>
      </w:r>
      <w:r>
        <w:t xml:space="preserve">. New York: Henry Holt.</w:t>
      </w:r>
    </w:p>
    <w:p>
      <w:pPr>
        <w:pStyle w:val="Compact"/>
        <w:numPr>
          <w:ilvl w:val="0"/>
          <w:numId w:val="1005"/>
        </w:numPr>
      </w:pPr>
      <w:r>
        <w:t xml:space="preserve">Perez, C. (2002).</w:t>
      </w:r>
      <w:r>
        <w:t xml:space="preserve"> </w:t>
      </w:r>
      <w:r>
        <w:rPr>
          <w:i/>
          <w:iCs/>
        </w:rPr>
        <w:t xml:space="preserve">Technological Revolutions and Financial Capital: The Dynamics of Bubbles and Golden Ages</w:t>
      </w:r>
      <w:r>
        <w:t xml:space="preserve">. Cheltenham: Edward Elgar.</w:t>
      </w:r>
    </w:p>
    <w:p>
      <w:pPr>
        <w:pStyle w:val="Compact"/>
        <w:numPr>
          <w:ilvl w:val="0"/>
          <w:numId w:val="1005"/>
        </w:numPr>
      </w:pPr>
      <w:r>
        <w:t xml:space="preserve">Perez, C. (2010).</w:t>
      </w:r>
      <w:r>
        <w:t xml:space="preserve"> </w:t>
      </w:r>
      <w:r>
        <w:t xml:space="preserve">“Technological Revolutions and Techno-Economic Paradigms.”</w:t>
      </w:r>
      <w:r>
        <w:t xml:space="preserve"> </w:t>
      </w:r>
      <w:r>
        <w:rPr>
          <w:i/>
          <w:iCs/>
        </w:rPr>
        <w:t xml:space="preserve">Cambridge Journal of Economics</w:t>
      </w:r>
      <w:r>
        <w:t xml:space="preserve">, 34(1), 185–202.</w:t>
      </w:r>
    </w:p>
    <w:bookmarkEnd w:id="13"/>
    <w:bookmarkStart w:id="14" w:name="X50ca253b12162b849aee71251ca305096325cc0"/>
    <w:p>
      <w:pPr>
        <w:pStyle w:val="Heading3"/>
      </w:pPr>
      <w:r>
        <w:t xml:space="preserve">Financial Crises and Global Economic Governance</w:t>
      </w:r>
    </w:p>
    <w:p>
      <w:pPr>
        <w:pStyle w:val="Compact"/>
        <w:numPr>
          <w:ilvl w:val="0"/>
          <w:numId w:val="1006"/>
        </w:numPr>
      </w:pPr>
      <w:r>
        <w:t xml:space="preserve">Tooze, A. (2018).</w:t>
      </w:r>
      <w:r>
        <w:t xml:space="preserve"> </w:t>
      </w:r>
      <w:r>
        <w:rPr>
          <w:i/>
          <w:iCs/>
        </w:rPr>
        <w:t xml:space="preserve">Crashed: How a Decade of Financial Crises Changed the World</w:t>
      </w:r>
      <w:r>
        <w:t xml:space="preserve">. New York: Viking.</w:t>
      </w:r>
    </w:p>
    <w:p>
      <w:pPr>
        <w:pStyle w:val="Compact"/>
        <w:numPr>
          <w:ilvl w:val="0"/>
          <w:numId w:val="1006"/>
        </w:numPr>
      </w:pPr>
      <w:r>
        <w:t xml:space="preserve">Tooze, A. (2021).</w:t>
      </w:r>
      <w:r>
        <w:t xml:space="preserve"> </w:t>
      </w:r>
      <w:r>
        <w:rPr>
          <w:i/>
          <w:iCs/>
        </w:rPr>
        <w:t xml:space="preserve">Shutdown: How Covid Shook the World’s Economy</w:t>
      </w:r>
      <w:r>
        <w:t xml:space="preserve">. New York: Viking.</w:t>
      </w:r>
    </w:p>
    <w:p>
      <w:pPr>
        <w:pStyle w:val="Compact"/>
        <w:numPr>
          <w:ilvl w:val="0"/>
          <w:numId w:val="1006"/>
        </w:numPr>
      </w:pPr>
      <w:r>
        <w:t xml:space="preserve">Eichengreen, B. (2011).</w:t>
      </w:r>
      <w:r>
        <w:t xml:space="preserve"> </w:t>
      </w:r>
      <w:r>
        <w:rPr>
          <w:i/>
          <w:iCs/>
        </w:rPr>
        <w:t xml:space="preserve">Exorbitant Privilege: The Rise and Fall of the Dollar and the Future of the International Monetary System</w:t>
      </w:r>
      <w:r>
        <w:t xml:space="preserve">. Oxford: Oxford University Press.</w:t>
      </w:r>
    </w:p>
    <w:bookmarkEnd w:id="14"/>
    <w:bookmarkStart w:id="15" w:name="geopolitics-and-technology"/>
    <w:p>
      <w:pPr>
        <w:pStyle w:val="Heading3"/>
      </w:pPr>
      <w:r>
        <w:t xml:space="preserve">Geopolitics and Technology</w:t>
      </w:r>
    </w:p>
    <w:p>
      <w:pPr>
        <w:pStyle w:val="Compact"/>
        <w:numPr>
          <w:ilvl w:val="0"/>
          <w:numId w:val="1007"/>
        </w:numPr>
      </w:pPr>
      <w:r>
        <w:t xml:space="preserve">Macaes, B. (2021).</w:t>
      </w:r>
      <w:r>
        <w:t xml:space="preserve"> </w:t>
      </w:r>
      <w:r>
        <w:rPr>
          <w:i/>
          <w:iCs/>
        </w:rPr>
        <w:t xml:space="preserve">Geopolitics for the End Time</w:t>
      </w:r>
      <w:r>
        <w:t xml:space="preserve">. London: Hurst.</w:t>
      </w:r>
    </w:p>
    <w:p>
      <w:pPr>
        <w:pStyle w:val="Compact"/>
        <w:numPr>
          <w:ilvl w:val="0"/>
          <w:numId w:val="1007"/>
        </w:numPr>
      </w:pPr>
      <w:r>
        <w:t xml:space="preserve">Blackwill, R.D. and Harris, J.M. (2016).</w:t>
      </w:r>
      <w:r>
        <w:t xml:space="preserve"> </w:t>
      </w:r>
      <w:r>
        <w:rPr>
          <w:i/>
          <w:iCs/>
        </w:rPr>
        <w:t xml:space="preserve">War by Other Means: Geoeconomics and Statecraft</w:t>
      </w:r>
      <w:r>
        <w:t xml:space="preserve">. Cambridge, MA: Harvard University Press.</w:t>
      </w:r>
    </w:p>
    <w:p>
      <w:pPr>
        <w:pStyle w:val="Compact"/>
        <w:numPr>
          <w:ilvl w:val="0"/>
          <w:numId w:val="1007"/>
        </w:numPr>
      </w:pPr>
      <w:r>
        <w:t xml:space="preserve">Edgerton, D. (2007).</w:t>
      </w:r>
      <w:r>
        <w:t xml:space="preserve"> </w:t>
      </w:r>
      <w:r>
        <w:rPr>
          <w:i/>
          <w:iCs/>
        </w:rPr>
        <w:t xml:space="preserve">The Shock of the Old: Technology and Global History since 1900</w:t>
      </w:r>
      <w:r>
        <w:t xml:space="preserve">. London: Profile Books.</w:t>
      </w:r>
    </w:p>
    <w:bookmarkEnd w:id="15"/>
    <w:bookmarkStart w:id="16" w:name="development-banks-and-industrial-policy"/>
    <w:p>
      <w:pPr>
        <w:pStyle w:val="Heading3"/>
      </w:pPr>
      <w:r>
        <w:t xml:space="preserve">Development Banks and Industrial Policy</w:t>
      </w:r>
    </w:p>
    <w:p>
      <w:pPr>
        <w:pStyle w:val="Compact"/>
        <w:numPr>
          <w:ilvl w:val="0"/>
          <w:numId w:val="1008"/>
        </w:numPr>
      </w:pPr>
      <w:r>
        <w:t xml:space="preserve">Griffith-Jones, S. and Ocampo, J.A. (eds.) (2018).</w:t>
      </w:r>
      <w:r>
        <w:t xml:space="preserve"> </w:t>
      </w:r>
      <w:r>
        <w:rPr>
          <w:i/>
          <w:iCs/>
        </w:rPr>
        <w:t xml:space="preserve">The Future of National Development Banks</w:t>
      </w:r>
      <w:r>
        <w:t xml:space="preserve">. Oxford: Oxford University Press.</w:t>
      </w:r>
    </w:p>
    <w:p>
      <w:pPr>
        <w:pStyle w:val="Compact"/>
        <w:numPr>
          <w:ilvl w:val="0"/>
          <w:numId w:val="1008"/>
        </w:numPr>
      </w:pPr>
      <w:r>
        <w:t xml:space="preserve">Mazzucato, M. and Penna, C.C.R. (2016).</w:t>
      </w:r>
      <w:r>
        <w:t xml:space="preserve"> </w:t>
      </w:r>
      <w:r>
        <w:t xml:space="preserve">“Beyond Market Failures: The Market Creating and Shaping Roles of State Investment Banks.”</w:t>
      </w:r>
      <w:r>
        <w:t xml:space="preserve"> </w:t>
      </w:r>
      <w:r>
        <w:rPr>
          <w:i/>
          <w:iCs/>
        </w:rPr>
        <w:t xml:space="preserve">Journal of Economic Policy Reform</w:t>
      </w:r>
      <w:r>
        <w:t xml:space="preserve">, 19(4), 305–326.</w:t>
      </w:r>
    </w:p>
    <w:p>
      <w:pPr>
        <w:pStyle w:val="Compact"/>
        <w:numPr>
          <w:ilvl w:val="0"/>
          <w:numId w:val="1008"/>
        </w:numPr>
      </w:pPr>
      <w:r>
        <w:t xml:space="preserve">Rodrik, D. (2004).</w:t>
      </w:r>
      <w:r>
        <w:t xml:space="preserve"> </w:t>
      </w:r>
      <w:r>
        <w:t xml:space="preserve">“Industrial Policy for the Twenty-First Century.”</w:t>
      </w:r>
      <w:r>
        <w:t xml:space="preserve"> </w:t>
      </w:r>
      <w:r>
        <w:t xml:space="preserve">CEPR Discussion Paper No. 4767.</w:t>
      </w:r>
    </w:p>
    <w:bookmarkEnd w:id="16"/>
    <w:bookmarkStart w:id="17" w:name="data-sources-referenced-in-the-proposal"/>
    <w:p>
      <w:pPr>
        <w:pStyle w:val="Heading3"/>
      </w:pPr>
      <w:r>
        <w:t xml:space="preserve">Data Sources Referenced in the Proposal</w:t>
      </w:r>
    </w:p>
    <w:p>
      <w:pPr>
        <w:pStyle w:val="Compact"/>
        <w:numPr>
          <w:ilvl w:val="0"/>
          <w:numId w:val="1009"/>
        </w:numPr>
      </w:pPr>
      <w:r>
        <w:t xml:space="preserve">Jorda, O., Schularick, M. and Taylor, A.M. (2017).</w:t>
      </w:r>
      <w:r>
        <w:t xml:space="preserve"> </w:t>
      </w:r>
      <w:r>
        <w:t xml:space="preserve">“Macrofinancial History and the New Business Cycle Facts.”</w:t>
      </w:r>
      <w:r>
        <w:t xml:space="preserve"> </w:t>
      </w:r>
      <w:r>
        <w:rPr>
          <w:i/>
          <w:iCs/>
        </w:rPr>
        <w:t xml:space="preserve">NBER Macroeconomics Annual</w:t>
      </w:r>
      <w:r>
        <w:t xml:space="preserve">, 31, 213–263. [Macrohistory Database]</w:t>
      </w:r>
    </w:p>
    <w:p>
      <w:pPr>
        <w:pStyle w:val="Compact"/>
        <w:numPr>
          <w:ilvl w:val="0"/>
          <w:numId w:val="1009"/>
        </w:numPr>
      </w:pPr>
      <w:r>
        <w:t xml:space="preserve">Bureau of Economic Analysis (BEA). National Income and Product Accounts.</w:t>
      </w:r>
    </w:p>
    <w:p>
      <w:pPr>
        <w:pStyle w:val="Compact"/>
        <w:numPr>
          <w:ilvl w:val="0"/>
          <w:numId w:val="1009"/>
        </w:numPr>
      </w:pPr>
      <w:r>
        <w:t xml:space="preserve">J.P. Morgan (2025).</w:t>
      </w:r>
      <w:r>
        <w:t xml:space="preserve"> </w:t>
      </w:r>
      <w:r>
        <w:t xml:space="preserve">“Global Fixed Income Markets Outlook.”</w:t>
      </w:r>
    </w:p>
    <w:p>
      <w:pPr>
        <w:pStyle w:val="Compact"/>
        <w:numPr>
          <w:ilvl w:val="0"/>
          <w:numId w:val="1009"/>
        </w:numPr>
      </w:pPr>
      <w:r>
        <w:t xml:space="preserve">International Energy Agency (IEA).</w:t>
      </w:r>
      <w:r>
        <w:t xml:space="preserve"> </w:t>
      </w:r>
      <w:r>
        <w:rPr>
          <w:i/>
          <w:iCs/>
        </w:rPr>
        <w:t xml:space="preserve">Critical Minerals Market Review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Semiconductor Industry Association (SIA). Annual reports and factsheets.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Note: This bibliography covers references cited in the proposal. The full manuscript bibliography will be substantially expanded.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2026-02-11T19:40:23Z</dcterms:created>
  <dcterms:modified xsi:type="dcterms:W3CDTF">2026-02-11T19:40:23Z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