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he-strategic-capital-order"/>
    <w:p>
      <w:pPr>
        <w:pStyle w:val="Heading1"/>
      </w:pPr>
      <w:r>
        <w:t xml:space="preserve">THE STRATEGIC CAPITAL ORDER</w:t>
      </w:r>
    </w:p>
    <w:bookmarkStart w:id="10" w:name="X5424758780f8db05adf7f12eb5822fe4e3c394d"/>
    <w:p>
      <w:pPr>
        <w:pStyle w:val="Heading2"/>
      </w:pPr>
      <w:r>
        <w:t xml:space="preserve">Finance, Technology, and the New Global Hierarchy</w:t>
      </w:r>
    </w:p>
    <w:bookmarkStart w:id="9" w:name="X38fb9cf566885c55f4b88d1374b5bbccc291212"/>
    <w:p>
      <w:pPr>
        <w:pStyle w:val="Heading3"/>
      </w:pPr>
      <w:r>
        <w:t xml:space="preserve">Book Proposal for Edward Elgar Publishing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struktura-książki-z-opisem-zawartości"/>
    <w:p>
      <w:pPr>
        <w:pStyle w:val="Heading2"/>
      </w:pPr>
      <w:r>
        <w:t xml:space="preserve">STRUKTURA KSIĄŻKI Z OPISEM ZAWARTOŚCI</w:t>
      </w:r>
    </w:p>
    <w:p>
      <w:r>
        <w:pict>
          <v:rect style="width:0;height:1.5pt" o:hralign="center" o:hrstd="t" o:hr="t"/>
        </w:pict>
      </w:r>
    </w:p>
    <w:bookmarkEnd w:id="11"/>
    <w:bookmarkStart w:id="12" w:name="Xd37b1aa35e7353689b88d99e5bceb5c9b2b86a1"/>
    <w:p>
      <w:pPr>
        <w:pStyle w:val="Heading2"/>
      </w:pPr>
      <w:r>
        <w:t xml:space="preserve">WPROWADZENIE: Kapitał strategiczny jako zmienna kształtująca porządek globalny</w:t>
      </w:r>
    </w:p>
    <w:p>
      <w:pPr>
        <w:pStyle w:val="FirstParagraph"/>
      </w:pPr>
      <w:r>
        <w:rPr>
          <w:i/>
          <w:iCs/>
        </w:rPr>
        <w:t xml:space="preserve">(szacowana objętość: 10,000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Wprowadzenie przedstawia centralną tezę książki oraz uzasadnia jej oryginalność wobec istniejącej literatury. Rozdział definiuje pojęcie</w:t>
      </w:r>
      <w:r>
        <w:t xml:space="preserve"> </w:t>
      </w:r>
      <w:r>
        <w:t xml:space="preserve">“strategicznego kapitału technologicznego”</w:t>
      </w:r>
      <w:r>
        <w:t xml:space="preserve"> </w:t>
      </w:r>
      <w:r>
        <w:t xml:space="preserve">(strategic technology capital) jako zintegrowanego kompleksu inwestycyjnego obejmującego sztuczną inteligencję, półprzewodniki, infrastrukturę energetyczną oraz minerały krytyczne.</w:t>
      </w:r>
    </w:p>
    <w:p>
      <w:pPr>
        <w:pStyle w:val="BodyText"/>
      </w:pPr>
      <w:r>
        <w:rPr>
          <w:b/>
          <w:bCs/>
        </w:rPr>
        <w:t xml:space="preserve">Zawartość merytoryczna:</w:t>
      </w:r>
    </w:p>
    <w:p>
      <w:pPr>
        <w:pStyle w:val="BodyText"/>
      </w:pPr>
      <w:r>
        <w:t xml:space="preserve">Rozdział otwiera analiza skali współczesnej realokacji kapitału: ponad 600 miliardów dolarów rocznych nakładów inwestycyjnych hyperscalerów, koncentracja 30% wydatków kapitałowych indeksu S&amp;P 500 w siedmiu korporacjach technologicznych, udział inwestycji związanych z AI szacowany na 1,2% PKB Stanów Zjednoczonych. Dane te zestawione zostają z historycznymi epizodami masowej realokacji kapitału: budową kolei (1860-1890), elektryfikacją (1900-1930), rozwojem telekomunikacji (1990-2000).</w:t>
      </w:r>
    </w:p>
    <w:p>
      <w:pPr>
        <w:pStyle w:val="BodyText"/>
      </w:pPr>
      <w:r>
        <w:t xml:space="preserve">Następnie sformułowana zostaje centralna teza: pozycję w kształtującym się porządku globalnym określa nie posiadanie technologii jako takiej, lecz</w:t>
      </w:r>
      <w:r>
        <w:t xml:space="preserve"> </w:t>
      </w:r>
      <w:r>
        <w:rPr>
          <w:b/>
          <w:bCs/>
        </w:rPr>
        <w:t xml:space="preserve">zdolność do alokacji kapitału</w:t>
      </w:r>
      <w:r>
        <w:t xml:space="preserve"> </w:t>
      </w:r>
      <w:r>
        <w:t xml:space="preserve">w strategiczne punkty łańcucha wartości. Zdolność ta obejmuje mobilizację kapitału (skąd pochodzą środki), strukturyzowanie finansowania (jak rozkłada się ryzyko) oraz kierowanie przepływów (gdzie kapitał ostatecznie trafia).</w:t>
      </w:r>
    </w:p>
    <w:p>
      <w:pPr>
        <w:pStyle w:val="BodyText"/>
      </w:pPr>
      <w:r>
        <w:t xml:space="preserve">Rozdział wprowadza również drugą oś analityczną: transformację samej infrastruktury finansowej. Przesunięcie od banków komercyjnych ku niebankowemu pośrednictwu finansowemu (private credit, private equity), rosnąca rola banków rozwoju jako</w:t>
      </w:r>
      <w:r>
        <w:t xml:space="preserve"> </w:t>
      </w:r>
      <w:r>
        <w:t xml:space="preserve">“architektów ryzyka”</w:t>
      </w:r>
      <w:r>
        <w:t xml:space="preserve"> </w:t>
      </w:r>
      <w:r>
        <w:t xml:space="preserve">oraz powrót państwa jako gwaranta ostatniej instancji tworzą nową strukturę pośrednictwa, która sama w sobie wymaga analizy pod kątem stabilności i odporności systemowej.</w:t>
      </w:r>
    </w:p>
    <w:p>
      <w:pPr>
        <w:pStyle w:val="BodyText"/>
      </w:pPr>
      <w:r>
        <w:t xml:space="preserve">Wprowadzenie kończy się prezentacją struktury książki oraz identyfikacją grup odbiorców: badaczy z obszaru międzynarodowej ekonomii politycznej, finansów i ekonomii rozwoju; praktyków z sektora inwestycyjnego i bankowego; oraz decydentów politycznych zajmujących się polityką przemysłową i stabilnością finansową.</w:t>
      </w:r>
    </w:p>
    <w:p>
      <w:pPr>
        <w:pStyle w:val="BodyText"/>
      </w:pPr>
      <w:r>
        <w:rPr>
          <w:b/>
          <w:bCs/>
        </w:rPr>
        <w:t xml:space="preserve">Pozycjonowanie w literaturze:</w:t>
      </w:r>
    </w:p>
    <w:p>
      <w:pPr>
        <w:pStyle w:val="BodyText"/>
      </w:pPr>
      <w:r>
        <w:t xml:space="preserve">Rozdział sytuuje książkę wobec czterech nurtów literatury:</w:t>
      </w:r>
      <w:r>
        <w:t xml:space="preserve"> </w:t>
      </w:r>
      <w:r>
        <w:t xml:space="preserve">- Ekonomia polityczna finansów globalnych (Strange, Helleiner, Cohen)</w:t>
      </w:r>
      <w:r>
        <w:t xml:space="preserve"> </w:t>
      </w:r>
      <w:r>
        <w:t xml:space="preserve">- Studia nad globalnymi łańcuchami wartości (Gereffi, Baldwin)</w:t>
      </w:r>
      <w:r>
        <w:t xml:space="preserve"> </w:t>
      </w:r>
      <w:r>
        <w:t xml:space="preserve">- Literatura o varieties of capitalism i zdolnościach instytucjonalnych (Hall, Soskice)</w:t>
      </w:r>
      <w:r>
        <w:t xml:space="preserve"> </w:t>
      </w:r>
      <w:r>
        <w:t xml:space="preserve">- Badania nad systemami finansowymi i stabilnością (Minsky, Adrian, FSB)</w:t>
      </w:r>
    </w:p>
    <w:p>
      <w:r>
        <w:pict>
          <v:rect style="width:0;height:1.5pt" o:hralign="center" o:hrstd="t" o:hr="t"/>
        </w:pict>
      </w:r>
    </w:p>
    <w:bookmarkEnd w:id="12"/>
    <w:bookmarkStart w:id="15" w:name="część-i-rama-teoretyczna"/>
    <w:p>
      <w:pPr>
        <w:pStyle w:val="Heading2"/>
      </w:pPr>
      <w:r>
        <w:t xml:space="preserve">CZĘŚĆ I: RAMA TEORETYCZNA</w:t>
      </w:r>
    </w:p>
    <w:p>
      <w:r>
        <w:pict>
          <v:rect style="width:0;height:1.5pt" o:hralign="center" o:hrstd="t" o:hr="t"/>
        </w:pict>
      </w:r>
    </w:p>
    <w:bookmarkStart w:id="13" w:name="X50b1226fb3f196d2c2ab2ce625d5ac6bdd69f35"/>
    <w:p>
      <w:pPr>
        <w:pStyle w:val="Heading3"/>
      </w:pPr>
      <w:r>
        <w:t xml:space="preserve">Rozdział 1: Alokacja kapitału jako źródło dominacji w systemie globalnym</w:t>
      </w:r>
    </w:p>
    <w:p>
      <w:pPr>
        <w:pStyle w:val="FirstParagraph"/>
      </w:pPr>
      <w:r>
        <w:rPr>
          <w:i/>
          <w:iCs/>
        </w:rPr>
        <w:t xml:space="preserve">(szacowana objętość: 10,000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Rozdział rozwija teoretyczne uzasadnienie dla centralnej tezy książki: że zdolność do alokacji kapitału, nie zaś posiadanie innych zasobów (technologii, talentów, surowców), stanowi podstawową determinantę pozycji w globalnej hierarchii.</w:t>
      </w:r>
    </w:p>
    <w:p>
      <w:pPr>
        <w:pStyle w:val="BodyText"/>
      </w:pPr>
      <w:r>
        <w:rPr>
          <w:b/>
          <w:bCs/>
        </w:rPr>
        <w:t xml:space="preserve">Zawartość merytoryczna:</w:t>
      </w:r>
    </w:p>
    <w:p>
      <w:pPr>
        <w:pStyle w:val="BodyText"/>
      </w:pPr>
      <w:r>
        <w:t xml:space="preserve">Rozdział identyfikuje i analizuje osiem mechanizmów przyczynowych łączących alokację kapitału z dominacją:</w:t>
      </w:r>
    </w:p>
    <w:p>
      <w:pPr>
        <w:pStyle w:val="BodyText"/>
      </w:pPr>
      <w:r>
        <w:rPr>
          <w:b/>
          <w:bCs/>
        </w:rPr>
        <w:t xml:space="preserve">(1) Mechanizm materializacji:</w:t>
      </w:r>
      <w:r>
        <w:t xml:space="preserve"> </w:t>
      </w:r>
      <w:r>
        <w:t xml:space="preserve">Kapitał przekształca się w fizyczną infrastrukturę. Decyzje o alokacji determinują, co zostaje zbudowane, gdzie, przez kogo i dla kogo. Kraje bez zdolności alokacyjnej są biorcami decyzji podejmowanych gdzie indziej.</w:t>
      </w:r>
    </w:p>
    <w:p>
      <w:pPr>
        <w:pStyle w:val="BodyText"/>
      </w:pPr>
      <w:r>
        <w:rPr>
          <w:b/>
          <w:bCs/>
        </w:rPr>
        <w:t xml:space="preserve">(2) Mechanizm zależności od ścieżki (path dependency):</w:t>
      </w:r>
      <w:r>
        <w:t xml:space="preserve"> </w:t>
      </w:r>
      <w:r>
        <w:t xml:space="preserve">Raz zbudowana infrastruktura tworzy fakty trwałe na dekady. Koszty zmiany trajektorii rosną w czasie. Późne wejście wymaga wielokrotnie większych nakładów lub staje się niemożliwe.</w:t>
      </w:r>
    </w:p>
    <w:p>
      <w:pPr>
        <w:pStyle w:val="BodyText"/>
      </w:pPr>
      <w:r>
        <w:rPr>
          <w:b/>
          <w:bCs/>
        </w:rPr>
        <w:t xml:space="preserve">(3) Mechanizm spirali kompetencyjnej:</w:t>
      </w:r>
      <w:r>
        <w:t xml:space="preserve"> </w:t>
      </w:r>
      <w:r>
        <w:t xml:space="preserve">Budowanie generuje wiedzę ukrytą (tacit knowledge), której nie można nabyć inaczej. Im więcej podmiot buduje, tym więcej wie; im więcej wie, tym lepiej buduje. Spirala nakręca się, powiększając lukę między liderami a resztą.</w:t>
      </w:r>
    </w:p>
    <w:p>
      <w:pPr>
        <w:pStyle w:val="BodyText"/>
      </w:pPr>
      <w:r>
        <w:rPr>
          <w:b/>
          <w:bCs/>
        </w:rPr>
        <w:t xml:space="preserve">(4) Mechanizm ekstrakcji rent:</w:t>
      </w:r>
      <w:r>
        <w:t xml:space="preserve"> </w:t>
      </w:r>
      <w:r>
        <w:t xml:space="preserve">Kontrola nad wąskimi gardłami (chokepoints) łańcucha wartości generuje renty monopolistyczne lub oligopolistyczne. Kto alokuje kapitał w chokepoints, zbiera renty; pozostali płacą.</w:t>
      </w:r>
    </w:p>
    <w:p>
      <w:pPr>
        <w:pStyle w:val="BodyText"/>
      </w:pPr>
      <w:r>
        <w:rPr>
          <w:b/>
          <w:bCs/>
        </w:rPr>
        <w:t xml:space="preserve">(5) Mechanizm architektury ryzyka:</w:t>
      </w:r>
      <w:r>
        <w:t xml:space="preserve"> </w:t>
      </w:r>
      <w:r>
        <w:t xml:space="preserve">Struktura finansowania determinuje podział ryzyka między uczestników. Kto projektuje strukturę, decyduje, kto ponosi straty w przypadku niepowodzenia.</w:t>
      </w:r>
    </w:p>
    <w:p>
      <w:pPr>
        <w:pStyle w:val="BodyText"/>
      </w:pPr>
      <w:r>
        <w:rPr>
          <w:b/>
          <w:bCs/>
        </w:rPr>
        <w:t xml:space="preserve">(6) Mechanizm przewagi temporalnej:</w:t>
      </w:r>
      <w:r>
        <w:t xml:space="preserve"> </w:t>
      </w:r>
      <w:r>
        <w:t xml:space="preserve">Zdolność do szybkiej mobilizacji kapitału umożliwia przyspieszenie. W wyścigu technologicznym czas jest zmienną krytyczną. Kto ma kapitał, może działać; kto go nie ma, czeka.</w:t>
      </w:r>
    </w:p>
    <w:p>
      <w:pPr>
        <w:pStyle w:val="BodyText"/>
      </w:pPr>
      <w:r>
        <w:rPr>
          <w:b/>
          <w:bCs/>
        </w:rPr>
        <w:t xml:space="preserve">(7) Mechanizm projekcji geopolitycznej:</w:t>
      </w:r>
      <w:r>
        <w:t xml:space="preserve"> </w:t>
      </w:r>
      <w:r>
        <w:t xml:space="preserve">Inwestycje tworzą zależności i wpływy polityczne. Kapitał jest instrumentem geopolityki, nie tylko ekonomii.</w:t>
      </w:r>
    </w:p>
    <w:p>
      <w:pPr>
        <w:pStyle w:val="BodyText"/>
      </w:pPr>
      <w:r>
        <w:rPr>
          <w:b/>
          <w:bCs/>
        </w:rPr>
        <w:t xml:space="preserve">(8) Mechanizm kumulacji:</w:t>
      </w:r>
      <w:r>
        <w:t xml:space="preserve"> </w:t>
      </w:r>
      <w:r>
        <w:t xml:space="preserve">Kapitał odtwarza sam siebie. Inwestycje generują zwroty, zwroty umożliwiają kolejne inwestycje. Luki między liderami a resztą pogłębiają się, nie zmniejszają.</w:t>
      </w:r>
    </w:p>
    <w:p>
      <w:pPr>
        <w:pStyle w:val="BodyText"/>
      </w:pPr>
      <w:r>
        <w:t xml:space="preserve">Rozdział ilustruje każdy mechanizm empirycznie, odwołując się do przypadków z sektora półprzewodników, infrastruktury AI i energetyki.</w:t>
      </w:r>
    </w:p>
    <w:p>
      <w:pPr>
        <w:pStyle w:val="BodyText"/>
      </w:pPr>
      <w:r>
        <w:t xml:space="preserve">Następnie prezentowane są historyczne precedensy potwierdzające znaczenie kontroli nad alokacją kapitału dla dominacji globalnej: rola City of London w XIX wieku, Wall Street i systemu dolarowego w XX wieku, oraz (kontrastowo) przypadki krajów posiadających zasoby, ale pozbawionych zdolności alokacyjnej.</w:t>
      </w:r>
    </w:p>
    <w:p>
      <w:pPr>
        <w:pStyle w:val="BodyText"/>
      </w:pPr>
      <w:r>
        <w:t xml:space="preserve">Rozdział kończy się sformułowaniem testowalnych hipotez:</w:t>
      </w:r>
      <w:r>
        <w:t xml:space="preserve"> </w:t>
      </w:r>
      <w:r>
        <w:t xml:space="preserve">- H1: Kraje o wyższej zdolności do alokacji kapitału przyciągają większy udział globalnych inwestycji w technologie strategiczne.</w:t>
      </w:r>
      <w:r>
        <w:t xml:space="preserve"> </w:t>
      </w:r>
      <w:r>
        <w:t xml:space="preserve">- H2: Pozycja w łańcuchu wartości koreluje silniej ze zdolnością finansową niż technologiczną.</w:t>
      </w:r>
      <w:r>
        <w:t xml:space="preserve"> </w:t>
      </w:r>
      <w:r>
        <w:t xml:space="preserve">- H3: Luka między liderami a pozostałymi krajami pogłębia się w czasie (efekt kumulacji).</w:t>
      </w:r>
    </w:p>
    <w:p>
      <w:r>
        <w:pict>
          <v:rect style="width:0;height:1.5pt" o:hralign="center" o:hrstd="t" o:hr="t"/>
        </w:pict>
      </w:r>
    </w:p>
    <w:bookmarkEnd w:id="13"/>
    <w:bookmarkStart w:id="14" w:name="Xef99003c6775294c600f61df7e9de19bec1c83b"/>
    <w:p>
      <w:pPr>
        <w:pStyle w:val="Heading3"/>
      </w:pPr>
      <w:r>
        <w:t xml:space="preserve">Rozdział 2: Zdolność do alokacji kapitału – operacjonalizacja i pomiar</w:t>
      </w:r>
    </w:p>
    <w:p>
      <w:pPr>
        <w:pStyle w:val="FirstParagraph"/>
      </w:pPr>
      <w:r>
        <w:rPr>
          <w:i/>
          <w:iCs/>
        </w:rPr>
        <w:t xml:space="preserve">(szacowana objętość: 10,000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Rozdział przekształca teoretyczną koncepcję</w:t>
      </w:r>
      <w:r>
        <w:t xml:space="preserve"> </w:t>
      </w:r>
      <w:r>
        <w:t xml:space="preserve">“zdolności do alokacji kapitału”</w:t>
      </w:r>
      <w:r>
        <w:t xml:space="preserve"> </w:t>
      </w:r>
      <w:r>
        <w:t xml:space="preserve">w mierzalny konstrukt analityczny, umożliwiający systematyczne porównania między krajami i predykcję trajektorii rozwojowych.</w:t>
      </w:r>
    </w:p>
    <w:p>
      <w:pPr>
        <w:pStyle w:val="BodyText"/>
      </w:pPr>
      <w:r>
        <w:rPr>
          <w:b/>
          <w:bCs/>
        </w:rPr>
        <w:t xml:space="preserve">Zawartość merytoryczna:</w:t>
      </w:r>
    </w:p>
    <w:p>
      <w:pPr>
        <w:pStyle w:val="BodyText"/>
      </w:pPr>
      <w:r>
        <w:t xml:space="preserve">Wprowadzona zostaje definicja operacyjna:</w:t>
      </w:r>
      <w:r>
        <w:t xml:space="preserve"> </w:t>
      </w:r>
      <w:r>
        <w:rPr>
          <w:b/>
          <w:bCs/>
        </w:rPr>
        <w:t xml:space="preserve">Zdolność do alokacji kapitału (Capital Allocation Capacity – CAC)</w:t>
      </w:r>
      <w:r>
        <w:t xml:space="preserve"> </w:t>
      </w:r>
      <w:r>
        <w:t xml:space="preserve">to zdolność kraju do mobilizacji, strukturyzowania i kierowania kapitału w strategiczne punkty łańcucha wartości technologii przyszłości.</w:t>
      </w:r>
    </w:p>
    <w:p>
      <w:pPr>
        <w:pStyle w:val="BodyText"/>
      </w:pPr>
      <w:r>
        <w:t xml:space="preserve">Konstrukt ten rozkładany jest na pięć wymiarów:</w:t>
      </w:r>
    </w:p>
    <w:p>
      <w:pPr>
        <w:pStyle w:val="BodyText"/>
      </w:pPr>
      <w:r>
        <w:rPr>
          <w:b/>
          <w:bCs/>
        </w:rPr>
        <w:t xml:space="preserve">Wymiar 1: Zdolność finansowa (Financial Capacity)</w:t>
      </w:r>
      <w:r>
        <w:t xml:space="preserve"> </w:t>
      </w:r>
      <w:r>
        <w:t xml:space="preserve">Obejmuje: głębokość krajowego rynku kapitałowego; rozwój niebankowego pośrednictwa finansowego; siłę i mandat banków rozwoju; zdolność fiskalną państwa do udzielania gwarancji; oraz dostęp do globalnych przepływów kapitału.</w:t>
      </w:r>
    </w:p>
    <w:p>
      <w:pPr>
        <w:pStyle w:val="BodyText"/>
      </w:pPr>
      <w:r>
        <w:rPr>
          <w:b/>
          <w:bCs/>
        </w:rPr>
        <w:t xml:space="preserve">Wymiar 2: Zdolność technologiczna (Technological Capacity)</w:t>
      </w:r>
      <w:r>
        <w:t xml:space="preserve"> </w:t>
      </w:r>
      <w:r>
        <w:t xml:space="preserve">Obejmuje: pozycję w łańcuchu wartości półprzewodników; infrastrukturę data center; bazę talentów AI; ekosystem firm AI; oraz zdolność R&amp;D.</w:t>
      </w:r>
    </w:p>
    <w:p>
      <w:pPr>
        <w:pStyle w:val="BodyText"/>
      </w:pPr>
      <w:r>
        <w:rPr>
          <w:b/>
          <w:bCs/>
        </w:rPr>
        <w:t xml:space="preserve">Wymiar 3: Zdolność surowcowa (Resource Capacity)</w:t>
      </w:r>
      <w:r>
        <w:t xml:space="preserve"> </w:t>
      </w:r>
      <w:r>
        <w:t xml:space="preserve">Obejmuje: dostęp do minerałów krytycznych; dostęp do energii; dostęp do wody; oraz dostępność przestrzeni dla infrastruktury.</w:t>
      </w:r>
    </w:p>
    <w:p>
      <w:pPr>
        <w:pStyle w:val="BodyText"/>
      </w:pPr>
      <w:r>
        <w:rPr>
          <w:b/>
          <w:bCs/>
        </w:rPr>
        <w:t xml:space="preserve">Wymiar 4: Zdolność instytucjonalna (Institutional Capacity)</w:t>
      </w:r>
      <w:r>
        <w:t xml:space="preserve"> </w:t>
      </w:r>
      <w:r>
        <w:t xml:space="preserve">Obejmuje: stabilność i przewidywalność regulacyjną; sprawność biurokratyczną; ochronę własności intelektualnej; koherencję polityki przemysłowej w czasie; oraz zdolność do zarządzania megaprojektami.</w:t>
      </w:r>
    </w:p>
    <w:p>
      <w:pPr>
        <w:pStyle w:val="BodyText"/>
      </w:pPr>
      <w:r>
        <w:rPr>
          <w:b/>
          <w:bCs/>
        </w:rPr>
        <w:t xml:space="preserve">Wymiar 5: Zdolność geopolityczna (Geopolitical Capacity)</w:t>
      </w:r>
      <w:r>
        <w:t xml:space="preserve"> </w:t>
      </w:r>
      <w:r>
        <w:t xml:space="preserve">Obejmuje: przynależność sojuszniczą; dostęp do zaawansowanych technologii; gwarancje bezpieczeństwa; leverage negocjacyjny; oraz ekspozycję na ryzyko geopolityczne.</w:t>
      </w:r>
    </w:p>
    <w:p>
      <w:pPr>
        <w:pStyle w:val="BodyText"/>
      </w:pPr>
      <w:r>
        <w:t xml:space="preserve">Na podstawie profili CAC konstruowana jest typologia krajów:</w:t>
      </w:r>
      <w:r>
        <w:t xml:space="preserve"> </w:t>
      </w:r>
      <w:r>
        <w:t xml:space="preserve">- AI Capital Hubs (centra alokacji)</w:t>
      </w:r>
      <w:r>
        <w:t xml:space="preserve"> </w:t>
      </w:r>
      <w:r>
        <w:t xml:space="preserve">- Specialized Nodes (wyspecjalizowane węzły)</w:t>
      </w:r>
      <w:r>
        <w:t xml:space="preserve"> </w:t>
      </w:r>
      <w:r>
        <w:t xml:space="preserve">- Aspirational Followers (aspirujący naśladowcy)</w:t>
      </w:r>
      <w:r>
        <w:t xml:space="preserve"> </w:t>
      </w:r>
      <w:r>
        <w:t xml:space="preserve">- Resource Suppliers (dostawcy surowców)</w:t>
      </w:r>
      <w:r>
        <w:t xml:space="preserve"> </w:t>
      </w:r>
      <w:r>
        <w:t xml:space="preserve">- Service Consumers (konsumenci usług)</w:t>
      </w:r>
      <w:r>
        <w:t xml:space="preserve"> </w:t>
      </w:r>
      <w:r>
        <w:t xml:space="preserve">- Excluded (wykluczeni)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417caacca40bce6f564318dbbe5f902f97471c2"/>
    <w:p>
      <w:pPr>
        <w:pStyle w:val="Heading2"/>
      </w:pPr>
      <w:r>
        <w:t xml:space="preserve">CZĘŚĆ II: PRZEDMIOT FINANSOWANIA – STRATEGICZNY KAPITAŁ TECHNOLOGICZNY</w:t>
      </w:r>
    </w:p>
    <w:p>
      <w:r>
        <w:pict>
          <v:rect style="width:0;height:1.5pt" o:hralign="center" o:hrstd="t" o:hr="t"/>
        </w:pict>
      </w:r>
    </w:p>
    <w:bookmarkStart w:id="16" w:name="X322096d3de94b819277981b64aa249e65d1732b"/>
    <w:p>
      <w:pPr>
        <w:pStyle w:val="Heading3"/>
      </w:pPr>
      <w:r>
        <w:t xml:space="preserve">Rozdział 3: Strategiczny kapitał technologiczny – skala, struktura, dynamika</w:t>
      </w:r>
    </w:p>
    <w:p>
      <w:pPr>
        <w:pStyle w:val="FirstParagraph"/>
      </w:pPr>
      <w:r>
        <w:rPr>
          <w:i/>
          <w:iCs/>
        </w:rPr>
        <w:t xml:space="preserve">(szacowana objętość: 10,000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Rozdział dokumentuje skalę i strukturę globalnych przepływów kapitału w technologie strategiczne, uzasadniając traktowanie AI, półprzewodników, infrastruktury energetycznej i minerałów krytycznych jako zintegrowanego kompleksu inwestycyjnego.</w:t>
      </w:r>
    </w:p>
    <w:p>
      <w:pPr>
        <w:pStyle w:val="BodyText"/>
      </w:pPr>
      <w:r>
        <w:rPr>
          <w:b/>
          <w:bCs/>
        </w:rPr>
        <w:t xml:space="preserve">Zawartość merytoryczna:</w:t>
      </w:r>
    </w:p>
    <w:p>
      <w:pPr>
        <w:pStyle w:val="BodyText"/>
      </w:pPr>
      <w:r>
        <w:t xml:space="preserve">Sztuczna inteligencja i infrastruktura obliczeniowa: nakłady hyperscalerów przekraczające 600 mld USD rocznie; projekcje emisji 1,5 bln USD obligacji korporacyjnych w ciągu pięciu lat; udział AI-related spending szacowany na 1,2% PKB USA.</w:t>
      </w:r>
    </w:p>
    <w:p>
      <w:pPr>
        <w:pStyle w:val="BodyText"/>
      </w:pPr>
      <w:r>
        <w:t xml:space="preserve">Półprzewodniki: globalne nakłady na fabrication facilities przekraczające 200 mld USD rocznie; koncentracja w trzech lokalizacjach.</w:t>
      </w:r>
    </w:p>
    <w:p>
      <w:pPr>
        <w:pStyle w:val="BodyText"/>
      </w:pPr>
      <w:r>
        <w:t xml:space="preserve">Infrastruktura energetyczna dla AI: rosnące zapotrzebowanie data centers na energię; inwestycje w generację i sieci przesyłowe.</w:t>
      </w:r>
    </w:p>
    <w:p>
      <w:pPr>
        <w:pStyle w:val="BodyText"/>
      </w:pPr>
      <w:r>
        <w:t xml:space="preserve">Minerały krytyczne: inwestycje w wydobycie i przetwarzanie REE, litu, kobaltu, grafitu; koncentracja przetwarzania w Chinach.</w:t>
      </w:r>
    </w:p>
    <w:p>
      <w:pPr>
        <w:pStyle w:val="BodyText"/>
      </w:pPr>
      <w:r>
        <w:t xml:space="preserve">Rozdział analizuje integrację tych sektorów w jeden łańcuch wartości oraz porównuje obecny cykl inwestycyjny z historycznymi precedensami.</w:t>
      </w:r>
    </w:p>
    <w:p>
      <w:r>
        <w:pict>
          <v:rect style="width:0;height:1.5pt" o:hralign="center" o:hrstd="t" o:hr="t"/>
        </w:pict>
      </w:r>
    </w:p>
    <w:bookmarkEnd w:id="16"/>
    <w:bookmarkStart w:id="17" w:name="X643dfbdeba0e207ba2c3b69c48dafe34618f2e1"/>
    <w:p>
      <w:pPr>
        <w:pStyle w:val="Heading3"/>
      </w:pPr>
      <w:r>
        <w:t xml:space="preserve">Rozdział 4: Architektura łańcucha wartości i punkty kontroli</w:t>
      </w:r>
    </w:p>
    <w:p>
      <w:pPr>
        <w:pStyle w:val="FirstParagraph"/>
      </w:pPr>
      <w:r>
        <w:rPr>
          <w:i/>
          <w:iCs/>
        </w:rPr>
        <w:t xml:space="preserve">(szacowana objętość: 9,000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Rozdział mapuje globalny łańcuch wartości technologii strategicznych, identyfikując punkty kontroli (chokepoints) i analizując ich ekonomikę oraz implikacje dla hierarchii globalnej.</w:t>
      </w:r>
    </w:p>
    <w:p>
      <w:pPr>
        <w:pStyle w:val="BodyText"/>
      </w:pPr>
      <w:r>
        <w:rPr>
          <w:b/>
          <w:bCs/>
        </w:rPr>
        <w:t xml:space="preserve">Zawartość merytoryczna:</w:t>
      </w:r>
    </w:p>
    <w:p>
      <w:pPr>
        <w:pStyle w:val="BodyText"/>
      </w:pPr>
      <w:r>
        <w:t xml:space="preserve">Kluczowe chokepoints: TSMC (90% advanced chips), ASML (100% EUV), Nvidia (dominacja GPU), przetwarzanie REE (85% w Chinach).</w:t>
      </w:r>
    </w:p>
    <w:p>
      <w:pPr>
        <w:pStyle w:val="BodyText"/>
      </w:pPr>
      <w:r>
        <w:t xml:space="preserve">Ekonomika chokepoints: wysokie bariery wejścia, ograniczona podaż, nieelastyczny popyt, renty monopolistyczne.</w:t>
      </w:r>
    </w:p>
    <w:p>
      <w:pPr>
        <w:pStyle w:val="BodyText"/>
      </w:pPr>
      <w:r>
        <w:t xml:space="preserve">Przepływy kapitału przez chokepoints oraz implikacje dla hierarchii: kontrola nad chokepoints = kontrola nad łańcuchem = leverage geopolityczny.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0ed23664290c0a0eed9205a9ddb510d681d7d1b"/>
    <w:p>
      <w:pPr>
        <w:pStyle w:val="Heading2"/>
      </w:pPr>
      <w:r>
        <w:t xml:space="preserve">CZĘŚĆ III: MECHANIZM FINANSOWANIA – INFRASTRUKTURA POŚREDNICTWA</w:t>
      </w:r>
    </w:p>
    <w:p>
      <w:r>
        <w:pict>
          <v:rect style="width:0;height:1.5pt" o:hralign="center" o:hrstd="t" o:hr="t"/>
        </w:pict>
      </w:r>
    </w:p>
    <w:bookmarkStart w:id="19" w:name="X7517756c6f863269fc8cf2d35c1cf4c94dec386"/>
    <w:p>
      <w:pPr>
        <w:pStyle w:val="Heading3"/>
      </w:pPr>
      <w:r>
        <w:t xml:space="preserve">Rozdział 5: Transformacja globalnego pośrednictwa finansowego</w:t>
      </w:r>
    </w:p>
    <w:p>
      <w:pPr>
        <w:pStyle w:val="FirstParagraph"/>
      </w:pPr>
      <w:r>
        <w:rPr>
          <w:i/>
          <w:iCs/>
        </w:rPr>
        <w:t xml:space="preserve">(szacowana objętość: 10,000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Rozdział dokumentuje przesunięcie od banków komercyjnych ku NBFI jako dominującemu źródłu finansowania długoterminowych inwestycji kapitałowych.</w:t>
      </w:r>
    </w:p>
    <w:p>
      <w:pPr>
        <w:pStyle w:val="BodyText"/>
      </w:pPr>
      <w:r>
        <w:rPr>
          <w:b/>
          <w:bCs/>
        </w:rPr>
        <w:t xml:space="preserve">Zawartość merytoryczna:</w:t>
      </w:r>
    </w:p>
    <w:p>
      <w:pPr>
        <w:pStyle w:val="BodyText"/>
      </w:pPr>
      <w:r>
        <w:t xml:space="preserve">Wycofywanie się banków (regulatory i structural drivers). Wzrost private credit (od ~500 mld do 1,5+ bln USD). Transformacja PE (od LBO do infrastructure). Nowa struktura finansowania (internal cash flow, obligacje, private credit, PE, VC, SWF, banki rozwoju, gwarancje). Porównanie struktur między jurysdykcjami.</w:t>
      </w:r>
    </w:p>
    <w:p>
      <w:r>
        <w:pict>
          <v:rect style="width:0;height:1.5pt" o:hralign="center" o:hrstd="t" o:hr="t"/>
        </w:pict>
      </w:r>
    </w:p>
    <w:bookmarkEnd w:id="19"/>
    <w:bookmarkStart w:id="20" w:name="Xde6df1ea2c14e001ed49dc392d049c72bddcef2"/>
    <w:p>
      <w:pPr>
        <w:pStyle w:val="Heading3"/>
      </w:pPr>
      <w:r>
        <w:t xml:space="preserve">Rozdział 6: Banki rozwoju jako architekci transformacji ryzyka</w:t>
      </w:r>
    </w:p>
    <w:p>
      <w:pPr>
        <w:pStyle w:val="FirstParagraph"/>
      </w:pPr>
      <w:r>
        <w:rPr>
          <w:i/>
          <w:iCs/>
        </w:rPr>
        <w:t xml:space="preserve">(szacowana objętość: 9,000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Analiza rosnącej roli banków rozwoju jako instytucji transformujących profil ryzyka projektów strategicznych.</w:t>
      </w:r>
    </w:p>
    <w:p>
      <w:pPr>
        <w:pStyle w:val="BodyText"/>
      </w:pPr>
      <w:r>
        <w:rPr>
          <w:b/>
          <w:bCs/>
        </w:rPr>
        <w:t xml:space="preserve">Zawartość merytoryczna:</w:t>
      </w:r>
    </w:p>
    <w:p>
      <w:pPr>
        <w:pStyle w:val="BodyText"/>
      </w:pPr>
      <w:r>
        <w:t xml:space="preserve">Główni aktorzy: KfW, EIB, JBIC, KDB, China Development Bank. Mechanizmy transformacji ryzyka (first-loss, gwarancje, subordinated debt). Implikacje dla hierarchii oraz ograniczenia modelu.</w:t>
      </w:r>
    </w:p>
    <w:p>
      <w:r>
        <w:pict>
          <v:rect style="width:0;height:1.5pt" o:hralign="center" o:hrstd="t" o:hr="t"/>
        </w:pict>
      </w:r>
    </w:p>
    <w:bookmarkEnd w:id="20"/>
    <w:bookmarkStart w:id="21" w:name="Xe62e563fc49954255e4deb3973e2345fc879ce0"/>
    <w:p>
      <w:pPr>
        <w:pStyle w:val="Heading3"/>
      </w:pPr>
      <w:r>
        <w:t xml:space="preserve">Rozdział 7: Państwo jako gwarant ostatniej instancji</w:t>
      </w:r>
    </w:p>
    <w:p>
      <w:pPr>
        <w:pStyle w:val="FirstParagraph"/>
      </w:pPr>
      <w:r>
        <w:rPr>
          <w:i/>
          <w:iCs/>
        </w:rPr>
        <w:t xml:space="preserve">(szacowana objętość: 9,000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Analiza powrotu państwa jako dostawcy gwarancji i</w:t>
      </w:r>
      <w:r>
        <w:t xml:space="preserve"> </w:t>
      </w:r>
      <w:r>
        <w:t xml:space="preserve">“risk wrappers”</w:t>
      </w:r>
      <w:r>
        <w:t xml:space="preserve"> </w:t>
      </w:r>
      <w:r>
        <w:t xml:space="preserve">umożliwiających prywatne inwestycje.</w:t>
      </w:r>
    </w:p>
    <w:p>
      <w:pPr>
        <w:pStyle w:val="BodyText"/>
      </w:pPr>
      <w:r>
        <w:rPr>
          <w:b/>
          <w:bCs/>
        </w:rPr>
        <w:t xml:space="preserve">Zawartość merytoryczna:</w:t>
      </w:r>
    </w:p>
    <w:p>
      <w:pPr>
        <w:pStyle w:val="BodyText"/>
      </w:pPr>
      <w:r>
        <w:t xml:space="preserve">CHIPS Act jako przypadek paradygmatyczny. Analogiczne programy globalnie (EU Chips Act, Japonia, Korea). Koncepcja</w:t>
      </w:r>
      <w:r>
        <w:t xml:space="preserve"> </w:t>
      </w:r>
      <w:r>
        <w:t xml:space="preserve">“risk wrapper”</w:t>
      </w:r>
      <w:r>
        <w:t xml:space="preserve">. Ukryte zobowiązania fiskalne. Zróżnicowanie zdolności między państwami.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zęść-iv-mechanizmy-dominacji"/>
    <w:p>
      <w:pPr>
        <w:pStyle w:val="Heading2"/>
      </w:pPr>
      <w:r>
        <w:t xml:space="preserve">CZĘŚĆ IV: MECHANIZMY DOMINACJI</w:t>
      </w:r>
    </w:p>
    <w:p>
      <w:r>
        <w:pict>
          <v:rect style="width:0;height:1.5pt" o:hralign="center" o:hrstd="t" o:hr="t"/>
        </w:pict>
      </w:r>
    </w:p>
    <w:bookmarkStart w:id="23" w:name="Xfe99a99e85cd49b9ed994769572db181b6d5fd8"/>
    <w:p>
      <w:pPr>
        <w:pStyle w:val="Heading3"/>
      </w:pPr>
      <w:r>
        <w:t xml:space="preserve">Rozdział 8: Materializacja, zależność od ścieżki i spirala kompetencyjna</w:t>
      </w:r>
    </w:p>
    <w:p>
      <w:pPr>
        <w:pStyle w:val="FirstParagraph"/>
      </w:pPr>
      <w:r>
        <w:rPr>
          <w:i/>
          <w:iCs/>
        </w:rPr>
        <w:t xml:space="preserve">(szacowana objętość: 10,000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Empiryczna dokumentacja trzech mechanizmów: materializacji (Tajwan/TSMC), path dependency (Europa), spirali kompetencyjnej (Nvidia vs. konkurenci).</w:t>
      </w:r>
    </w:p>
    <w:p>
      <w:r>
        <w:pict>
          <v:rect style="width:0;height:1.5pt" o:hralign="center" o:hrstd="t" o:hr="t"/>
        </w:pict>
      </w:r>
    </w:p>
    <w:bookmarkEnd w:id="23"/>
    <w:bookmarkStart w:id="24" w:name="X8df4b544057a5159c12cc82ee9998b878cfb19a"/>
    <w:p>
      <w:pPr>
        <w:pStyle w:val="Heading3"/>
      </w:pPr>
      <w:r>
        <w:t xml:space="preserve">Rozdział 9: Ekstrakcja rent, architektura ryzyka i projekcja geopolityczna</w:t>
      </w:r>
    </w:p>
    <w:p>
      <w:pPr>
        <w:pStyle w:val="FirstParagraph"/>
      </w:pPr>
      <w:r>
        <w:rPr>
          <w:i/>
          <w:iCs/>
        </w:rPr>
        <w:t xml:space="preserve">(szacowana objętość: 9,000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Empiryczna dokumentacja mechanizmów ekstrakcji rent (marże w łańcuchu wartości), architektury ryzyka (CHIPS Act), projekcji geopolitycznej (inwestycje jako instrument wpływu).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zęść-v-globalna-hierarchia"/>
    <w:p>
      <w:pPr>
        <w:pStyle w:val="Heading2"/>
      </w:pPr>
      <w:r>
        <w:t xml:space="preserve">CZĘŚĆ V: GLOBALNA HIERARCHIA</w:t>
      </w:r>
    </w:p>
    <w:p>
      <w:r>
        <w:pict>
          <v:rect style="width:0;height:1.5pt" o:hralign="center" o:hrstd="t" o:hr="t"/>
        </w:pict>
      </w:r>
    </w:p>
    <w:bookmarkStart w:id="26" w:name="Xb2026d822a7176dba3b4cc10ceaec6ee7f69979"/>
    <w:p>
      <w:pPr>
        <w:pStyle w:val="Heading3"/>
      </w:pPr>
      <w:r>
        <w:t xml:space="preserve">Rozdział 10: Centra alokacji kapitału i wyspecjalizowane węzły</w:t>
      </w:r>
    </w:p>
    <w:p>
      <w:pPr>
        <w:pStyle w:val="FirstParagraph"/>
      </w:pPr>
      <w:r>
        <w:rPr>
          <w:i/>
          <w:iCs/>
        </w:rPr>
        <w:t xml:space="preserve">(szacowana objętość: 10,000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Analiza krajów na szczycie hierarchii: USA jako jedyne pełne centrum, Chiny jako aspirujące centrum pod presją, wyspecjalizowane węzły (Tajwan, Korea, Holandia, Japonia).</w:t>
      </w:r>
    </w:p>
    <w:p>
      <w:r>
        <w:pict>
          <v:rect style="width:0;height:1.5pt" o:hralign="center" o:hrstd="t" o:hr="t"/>
        </w:pict>
      </w:r>
    </w:p>
    <w:bookmarkEnd w:id="26"/>
    <w:bookmarkStart w:id="27" w:name="Xd8b675a3108d17e9d5ac40a6418bc929d871448"/>
    <w:p>
      <w:pPr>
        <w:pStyle w:val="Heading3"/>
      </w:pPr>
      <w:r>
        <w:t xml:space="preserve">Rozdział 11: Aspiranci, dostawcy surowców i konsumenci usług</w:t>
      </w:r>
    </w:p>
    <w:p>
      <w:pPr>
        <w:pStyle w:val="FirstParagraph"/>
      </w:pPr>
      <w:r>
        <w:rPr>
          <w:i/>
          <w:iCs/>
        </w:rPr>
        <w:t xml:space="preserve">(szacowana objętość: 10,000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Analiza krajów poniżej szczytu: aspiranci (EU, Japonia, Indie), dostawcy surowców (Australia, Chile, DRC, Zatoka), konsumenci usług (Europa Środkowa, ASEAN, Ameryka Łacińska, Afryka), wykluczeni (Rosja, Iran).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zęść-vi-odporność-systemu-i-perspektywy"/>
    <w:p>
      <w:pPr>
        <w:pStyle w:val="Heading2"/>
      </w:pPr>
      <w:r>
        <w:t xml:space="preserve">CZĘŚĆ VI: ODPORNOŚĆ SYSTEMU I PERSPEKTYWY</w:t>
      </w:r>
    </w:p>
    <w:p>
      <w:r>
        <w:pict>
          <v:rect style="width:0;height:1.5pt" o:hralign="center" o:hrstd="t" o:hr="t"/>
        </w:pict>
      </w:r>
    </w:p>
    <w:bookmarkStart w:id="29" w:name="X0897a91aa05d58ee880b8c84f14f6df385f70a4"/>
    <w:p>
      <w:pPr>
        <w:pStyle w:val="Heading3"/>
      </w:pPr>
      <w:r>
        <w:t xml:space="preserve">Rozdział 12: Transmisja polityki monetarnej w zdezintermediowanym systemie</w:t>
      </w:r>
    </w:p>
    <w:p>
      <w:pPr>
        <w:pStyle w:val="FirstParagraph"/>
      </w:pPr>
      <w:r>
        <w:rPr>
          <w:i/>
          <w:iCs/>
        </w:rPr>
        <w:t xml:space="preserve">(szacowana objętość: 8,000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Implikacje transformacji pośrednictwa dla skuteczności polityki monetarnej. Osłabienie transmisji (AI capex rośnie mimo podwyżek stóp). Implikacje dla mandatu banków centralnych.</w:t>
      </w:r>
    </w:p>
    <w:p>
      <w:r>
        <w:pict>
          <v:rect style="width:0;height:1.5pt" o:hralign="center" o:hrstd="t" o:hr="t"/>
        </w:pict>
      </w:r>
    </w:p>
    <w:bookmarkEnd w:id="29"/>
    <w:bookmarkStart w:id="30" w:name="X25bdd1103e4d226a25fee01652e98e9e1b5f4ff"/>
    <w:p>
      <w:pPr>
        <w:pStyle w:val="Heading3"/>
      </w:pPr>
      <w:r>
        <w:t xml:space="preserve">Rozdział 13: Nowe źródła ryzyka systemowego</w:t>
      </w:r>
    </w:p>
    <w:p>
      <w:pPr>
        <w:pStyle w:val="FirstParagraph"/>
      </w:pPr>
      <w:r>
        <w:rPr>
          <w:i/>
          <w:iCs/>
        </w:rPr>
        <w:t xml:space="preserve">(szacowana objętość: 10,000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Ryzyko koncentracji (Magnificent 7), opacity w private credit, ukryte zobowiązania fiskalne, fragmentacja, ryzyko geopolityczne jako finansowe, interakcje między ryzykami.</w:t>
      </w:r>
    </w:p>
    <w:p>
      <w:r>
        <w:pict>
          <v:rect style="width:0;height:1.5pt" o:hralign="center" o:hrstd="t" o:hr="t"/>
        </w:pict>
      </w:r>
    </w:p>
    <w:bookmarkEnd w:id="30"/>
    <w:bookmarkStart w:id="31" w:name="rozdział-14-scenariusze-i-wnioski"/>
    <w:p>
      <w:pPr>
        <w:pStyle w:val="Heading3"/>
      </w:pPr>
      <w:r>
        <w:t xml:space="preserve">Rozdział 14: Scenariusze i wnioski</w:t>
      </w:r>
    </w:p>
    <w:p>
      <w:pPr>
        <w:pStyle w:val="FirstParagraph"/>
      </w:pPr>
      <w:r>
        <w:rPr>
          <w:i/>
          <w:iCs/>
        </w:rPr>
        <w:t xml:space="preserve">(szacowana objętość: 10,000 słów)</w:t>
      </w:r>
    </w:p>
    <w:p>
      <w:pPr>
        <w:pStyle w:val="BodyText"/>
      </w:pPr>
      <w:r>
        <w:rPr>
          <w:b/>
          <w:bCs/>
        </w:rPr>
        <w:t xml:space="preserve">Cel rozdziału:</w:t>
      </w:r>
    </w:p>
    <w:p>
      <w:pPr>
        <w:pStyle w:val="BodyText"/>
      </w:pPr>
      <w:r>
        <w:t xml:space="preserve">Pięć scenariuszy do 2035: konsolidacja hierarchii, fragmentacja z napięciami, kryzys systemowy, europejskie przebudzenie, nowy multilateralizm. Implikacje dla polityki. Agenda badawcza.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odsumowanie"/>
    <w:p>
      <w:pPr>
        <w:pStyle w:val="Heading2"/>
      </w:pPr>
      <w:r>
        <w:t xml:space="preserve">PODSUMOWANIE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Część</w:t>
            </w:r>
          </w:p>
        </w:tc>
        <w:tc>
          <w:tcPr/>
          <w:p>
            <w:pPr>
              <w:pStyle w:val="Compact"/>
            </w:pPr>
            <w:r>
              <w:t xml:space="preserve">Tytuł</w:t>
            </w:r>
          </w:p>
        </w:tc>
        <w:tc>
          <w:tcPr/>
          <w:p>
            <w:pPr>
              <w:pStyle w:val="Compact"/>
            </w:pPr>
            <w:r>
              <w:t xml:space="preserve">Rozdziały</w:t>
            </w:r>
          </w:p>
        </w:tc>
        <w:tc>
          <w:tcPr/>
          <w:p>
            <w:pPr>
              <w:pStyle w:val="Compact"/>
            </w:pPr>
            <w:r>
              <w:t xml:space="preserve">Objętość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Wprowadzenie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Rama teoretyczna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Przedmiot finansowania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Mechanizm finansowania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Mechanizmy dominacji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Globalna hierarchia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Odporność i perspektywy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rozdziałów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~144,000 słów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2026-02-11T19:40:23Z</dcterms:created>
  <dcterms:modified xsi:type="dcterms:W3CDTF">2026-02-11T19:40:23Z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