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21"/>
        <w:tblW w:w="14940" w:type="dxa"/>
        <w:tblInd w:w="108" w:type="dxa"/>
        <w:tblLayout w:type="fixed"/>
        <w:tblLook w:val="01A0"/>
      </w:tblPr>
      <w:tblGrid>
        <w:gridCol w:w="2029"/>
        <w:gridCol w:w="1294"/>
        <w:gridCol w:w="1290"/>
        <w:gridCol w:w="1291"/>
        <w:gridCol w:w="1291"/>
        <w:gridCol w:w="1291"/>
        <w:gridCol w:w="1292"/>
        <w:gridCol w:w="1291"/>
        <w:gridCol w:w="1291"/>
        <w:gridCol w:w="1291"/>
        <w:gridCol w:w="1289"/>
      </w:tblGrid>
      <w:tr w:rsidR="00A96087" w:rsidTr="000405B1">
        <w:trPr>
          <w:trHeight w:hRule="exact" w:val="1096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A96087">
            <w:pPr>
              <w:widowControl w:val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Przewinienia dyscyplinarne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 tym pod wpływem alkoholu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Wszczęto postępowań dyscyplinarnych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Wymierzono kar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W tym wydalenia ze</w:t>
            </w:r>
          </w:p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służby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Ukarano policjantów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Rozmowy dyscyplinujące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 w:rsidP="00C95FFA">
            <w:pPr>
              <w:widowControl w:val="0"/>
              <w:tabs>
                <w:tab w:val="left" w:pos="4725"/>
              </w:tabs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Stan zatrudnienia na dzień </w:t>
            </w:r>
            <w:r w:rsidR="00C95FFA">
              <w:rPr>
                <w:rFonts w:eastAsia="Times New Roman"/>
                <w:bCs/>
                <w:color w:val="000000"/>
                <w:sz w:val="16"/>
                <w:szCs w:val="16"/>
              </w:rPr>
              <w:t>1lipca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202</w:t>
            </w:r>
            <w:r w:rsidR="00C95FFA">
              <w:rPr>
                <w:rFonts w:eastAsia="Times New Roman"/>
                <w:bCs/>
                <w:color w:val="000000"/>
                <w:sz w:val="16"/>
                <w:szCs w:val="16"/>
              </w:rPr>
              <w:t>1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r. </w:t>
            </w:r>
            <w:r>
              <w:rPr>
                <w:rFonts w:eastAsia="Times New Roman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tabs>
                <w:tab w:val="left" w:pos="4725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% wskaźnik popełnionych przewinień do stanu zatrudnienia</w:t>
            </w:r>
          </w:p>
          <w:p w:rsidR="00A96087" w:rsidRDefault="00A96087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  <w:vAlign w:val="center"/>
          </w:tcPr>
          <w:p w:rsidR="00A96087" w:rsidRDefault="00902BEC">
            <w:pPr>
              <w:widowControl w:val="0"/>
              <w:jc w:val="center"/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% wskaźnik ukaranych policjantów </w:t>
            </w:r>
            <w:r>
              <w:rPr>
                <w:bCs/>
                <w:color w:val="000000"/>
                <w:sz w:val="16"/>
                <w:szCs w:val="16"/>
              </w:rPr>
              <w:br/>
              <w:t>do stanu zatrudnienia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BIAŁYSTOK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6,48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0,64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BYDGOSZCZ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4965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5,12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0,51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GDAŃSK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5487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5,51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0,33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GORZÓW WLKP.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2545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3,38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0,63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KATOWICE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11823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3,40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KIELCE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2,75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0,24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KRAKÓW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2,67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0,26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LUBLIN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4885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4,32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0,39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ŁÓDŹ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5738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2,88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0,56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OLSZTYN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3515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3,39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0,43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OPOLE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2,99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0,50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POZNAŃ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7894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3,50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0,79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z/s. w RADOMIU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6,08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0,48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RZESZÓW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4475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3,15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0,21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SZCZECIN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3,55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0,48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KSP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8791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3,95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0,36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KWP WROCŁAW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C363F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7468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3,39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0,41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CBŚP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1,69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0,11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WSPol. SZCZYTNO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3,37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0,97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CSP LEGIONOWO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10,47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1,55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 SŁUPSK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21,34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2,00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 PIŁA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2,64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 KATOWICE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99721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BSWP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3B053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2,29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KGP 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C95FFA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8450DF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1092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2,02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0405B1" w:rsidRPr="00B61B88" w:rsidRDefault="000F5126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0,28</w:t>
            </w:r>
            <w:r w:rsidR="00AD3A56">
              <w:rPr>
                <w:sz w:val="16"/>
                <w:szCs w:val="16"/>
              </w:rPr>
              <w:t>%</w:t>
            </w:r>
          </w:p>
        </w:tc>
      </w:tr>
      <w:tr w:rsidR="000405B1" w:rsidTr="000405B1">
        <w:trPr>
          <w:trHeight w:val="284"/>
        </w:trPr>
        <w:tc>
          <w:tcPr>
            <w:tcW w:w="202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0405B1" w:rsidP="000405B1">
            <w:pPr>
              <w:widowControl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RAZEM</w:t>
            </w:r>
          </w:p>
        </w:tc>
        <w:tc>
          <w:tcPr>
            <w:tcW w:w="12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3734</w:t>
            </w:r>
          </w:p>
        </w:tc>
        <w:tc>
          <w:tcPr>
            <w:tcW w:w="12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718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422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419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Default="009F3884" w:rsidP="000405B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1580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8450DF" w:rsidRDefault="0000706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97639</w:t>
            </w:r>
          </w:p>
        </w:tc>
        <w:tc>
          <w:tcPr>
            <w:tcW w:w="129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0706F" w:rsidP="0004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3,82</w:t>
            </w:r>
            <w:r w:rsidR="00AD3A56">
              <w:rPr>
                <w:sz w:val="16"/>
                <w:szCs w:val="16"/>
              </w:rPr>
              <w:t>%</w:t>
            </w:r>
          </w:p>
        </w:tc>
        <w:tc>
          <w:tcPr>
            <w:tcW w:w="12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05B1" w:rsidRPr="00B61B88" w:rsidRDefault="0000706F" w:rsidP="000F51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bookmarkStart w:id="0" w:name="_GoBack"/>
            <w:bookmarkEnd w:id="0"/>
            <w:r w:rsidR="000F5126">
              <w:rPr>
                <w:sz w:val="16"/>
                <w:szCs w:val="16"/>
              </w:rPr>
              <w:t>43</w:t>
            </w:r>
            <w:r w:rsidR="00AD3A56">
              <w:rPr>
                <w:sz w:val="16"/>
                <w:szCs w:val="16"/>
              </w:rPr>
              <w:t>%</w:t>
            </w:r>
          </w:p>
        </w:tc>
      </w:tr>
    </w:tbl>
    <w:p w:rsidR="00006B7C" w:rsidRPr="00006B7C" w:rsidRDefault="00006B7C" w:rsidP="00006B7C">
      <w:pPr>
        <w:tabs>
          <w:tab w:val="left" w:pos="4425"/>
        </w:tabs>
        <w:suppressAutoHyphens w:val="0"/>
        <w:ind w:left="284"/>
        <w:rPr>
          <w:color w:val="000000"/>
          <w:sz w:val="16"/>
          <w:szCs w:val="16"/>
        </w:rPr>
      </w:pPr>
      <w:r w:rsidRPr="00006B7C">
        <w:rPr>
          <w:color w:val="000000"/>
          <w:sz w:val="16"/>
          <w:szCs w:val="16"/>
        </w:rPr>
        <w:t>1.</w:t>
      </w:r>
      <w:r w:rsidRPr="00006B7C">
        <w:rPr>
          <w:noProof/>
          <w:color w:val="000000"/>
          <w:sz w:val="16"/>
          <w:szCs w:val="16"/>
        </w:rPr>
        <w:t xml:space="preserve"> Liczba obejmuje policjantów pełniących służbę w danej jednostce organizacyjnej Policji łącznie ze stanowiskami finansowanymi przez samorządy lokalne.</w:t>
      </w:r>
    </w:p>
    <w:p w:rsidR="00006B7C" w:rsidRPr="00006B7C" w:rsidRDefault="00006B7C" w:rsidP="00006B7C">
      <w:pPr>
        <w:tabs>
          <w:tab w:val="left" w:pos="4425"/>
        </w:tabs>
        <w:suppressAutoHyphens w:val="0"/>
        <w:ind w:left="284"/>
        <w:rPr>
          <w:color w:val="000000"/>
          <w:sz w:val="16"/>
          <w:szCs w:val="16"/>
        </w:rPr>
      </w:pPr>
      <w:r w:rsidRPr="00006B7C">
        <w:rPr>
          <w:color w:val="000000"/>
          <w:sz w:val="16"/>
          <w:szCs w:val="16"/>
        </w:rPr>
        <w:t>2. L</w:t>
      </w:r>
      <w:r w:rsidRPr="00006B7C">
        <w:rPr>
          <w:noProof/>
          <w:color w:val="000000"/>
          <w:sz w:val="16"/>
          <w:szCs w:val="16"/>
        </w:rPr>
        <w:t>iczba obejmuje policjantów pełniących służbę w Komendzie Głównej Policji, w Centralnym Laboratorium Kryminalistycznym Policji oraz  w Centralnym Pododdziale Kontrterrorystycznym Policji.</w:t>
      </w:r>
    </w:p>
    <w:p w:rsidR="00A96087" w:rsidRDefault="00A96087"/>
    <w:sectPr w:rsidR="00A96087" w:rsidSect="00006B7C">
      <w:headerReference w:type="default" r:id="rId7"/>
      <w:pgSz w:w="16838" w:h="11906" w:orient="landscape"/>
      <w:pgMar w:top="1417" w:right="1417" w:bottom="851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2B2" w:rsidRDefault="00C002B2" w:rsidP="001A7736">
      <w:r>
        <w:separator/>
      </w:r>
    </w:p>
  </w:endnote>
  <w:endnote w:type="continuationSeparator" w:id="1">
    <w:p w:rsidR="00C002B2" w:rsidRDefault="00C002B2" w:rsidP="001A7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2B2" w:rsidRDefault="00C002B2" w:rsidP="001A7736">
      <w:r>
        <w:separator/>
      </w:r>
    </w:p>
  </w:footnote>
  <w:footnote w:type="continuationSeparator" w:id="1">
    <w:p w:rsidR="00C002B2" w:rsidRDefault="00C002B2" w:rsidP="001A77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736" w:rsidRDefault="001A7736" w:rsidP="001A7736">
    <w:pPr>
      <w:pStyle w:val="Nagwek"/>
      <w:jc w:val="center"/>
    </w:pPr>
  </w:p>
  <w:p w:rsidR="001A7736" w:rsidRPr="000405B1" w:rsidRDefault="001A7736" w:rsidP="001A7736">
    <w:pPr>
      <w:pStyle w:val="Tekstpodstawowy"/>
      <w:jc w:val="center"/>
      <w:rPr>
        <w:b/>
        <w:sz w:val="22"/>
        <w:szCs w:val="22"/>
      </w:rPr>
    </w:pPr>
    <w:r w:rsidRPr="000405B1">
      <w:rPr>
        <w:b/>
        <w:sz w:val="22"/>
        <w:szCs w:val="22"/>
      </w:rPr>
      <w:t xml:space="preserve">STAN DYSCYPLINY CAŁY KRAJ </w:t>
    </w:r>
    <w:r w:rsidR="00615490">
      <w:rPr>
        <w:b/>
        <w:sz w:val="22"/>
        <w:szCs w:val="22"/>
      </w:rPr>
      <w:t xml:space="preserve">I półrocze </w:t>
    </w:r>
    <w:r w:rsidRPr="000405B1">
      <w:rPr>
        <w:b/>
        <w:sz w:val="22"/>
        <w:szCs w:val="22"/>
      </w:rPr>
      <w:t>202</w:t>
    </w:r>
    <w:r w:rsidR="00615490">
      <w:rPr>
        <w:b/>
        <w:sz w:val="22"/>
        <w:szCs w:val="22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96087"/>
    <w:rsid w:val="00006B7C"/>
    <w:rsid w:val="0000706F"/>
    <w:rsid w:val="000405B1"/>
    <w:rsid w:val="000F5126"/>
    <w:rsid w:val="001A7736"/>
    <w:rsid w:val="003437C5"/>
    <w:rsid w:val="003B053A"/>
    <w:rsid w:val="00493352"/>
    <w:rsid w:val="005B1E01"/>
    <w:rsid w:val="00615490"/>
    <w:rsid w:val="00902BEC"/>
    <w:rsid w:val="00997216"/>
    <w:rsid w:val="009F3884"/>
    <w:rsid w:val="00A96087"/>
    <w:rsid w:val="00AD3A56"/>
    <w:rsid w:val="00BE2EE1"/>
    <w:rsid w:val="00C002B2"/>
    <w:rsid w:val="00C363FF"/>
    <w:rsid w:val="00C63FF0"/>
    <w:rsid w:val="00C95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679B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rsid w:val="00BE2EE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BE2EE1"/>
    <w:pPr>
      <w:spacing w:after="140" w:line="276" w:lineRule="auto"/>
    </w:pPr>
  </w:style>
  <w:style w:type="paragraph" w:styleId="Lista">
    <w:name w:val="List"/>
    <w:basedOn w:val="Tekstpodstawowy"/>
    <w:rsid w:val="00BE2EE1"/>
    <w:rPr>
      <w:rFonts w:cs="Lucida Sans"/>
    </w:rPr>
  </w:style>
  <w:style w:type="paragraph" w:styleId="Legenda">
    <w:name w:val="caption"/>
    <w:basedOn w:val="Normalny"/>
    <w:qFormat/>
    <w:rsid w:val="00BE2EE1"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rsid w:val="00BE2EE1"/>
    <w:pPr>
      <w:suppressLineNumbers/>
    </w:pPr>
    <w:rPr>
      <w:rFonts w:cs="Lucida Sans"/>
    </w:rPr>
  </w:style>
  <w:style w:type="paragraph" w:styleId="Stopka">
    <w:name w:val="footer"/>
    <w:basedOn w:val="Normalny"/>
    <w:link w:val="StopkaZnak"/>
    <w:uiPriority w:val="99"/>
    <w:unhideWhenUsed/>
    <w:rsid w:val="001A773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A773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388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3884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679B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Stopka">
    <w:name w:val="footer"/>
    <w:basedOn w:val="Normalny"/>
    <w:link w:val="StopkaZnak"/>
    <w:uiPriority w:val="99"/>
    <w:unhideWhenUsed/>
    <w:rsid w:val="001A773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A773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388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388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0383B-80D5-4AC9-AB23-9E19A28C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Ankiewicz</dc:creator>
  <cp:lastModifiedBy>A00720</cp:lastModifiedBy>
  <cp:revision>3</cp:revision>
  <cp:lastPrinted>2021-08-06T17:01:00Z</cp:lastPrinted>
  <dcterms:created xsi:type="dcterms:W3CDTF">2021-08-13T08:02:00Z</dcterms:created>
  <dcterms:modified xsi:type="dcterms:W3CDTF">2021-08-13T08:10:00Z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