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ECTHR Translator — Inteligentny system tłumaczenia orzeczeń Europejskiego Trybunału Praw Człowieka</w:t>
      </w:r>
    </w:p>
    <w:p>
      <w:pPr>
        <w:pStyle w:val="Heading1"/>
      </w:pPr>
      <w:r>
        <w:t>Streszczenie</w:t>
      </w:r>
    </w:p>
    <w:p>
      <w:r>
        <w:t>ECTHR Translator to wieloagentowy system AI do profesjonalnego tłumaczenia wyroków Europejskiego Trybunału Praw Człowieka (ETPCz) z języka angielskiego na polski. Łączy duże modele językowe (Claude firmy Anthropic) z bazami orzecznictwa (HUDOC, CURIA), terminologii prawnej UE (IATE) oraz pamięcią tłumaczeniową (TM). System implementuje workflow z walidacją przez człowieka (human-in-the-loop), pozwalając tłumaczom na kontrolę nad terminologią przy jednoczesnym wykorzystaniu automatyzacji AI.</w:t>
      </w:r>
    </w:p>
    <w:p/>
    <w:p>
      <w:pPr>
        <w:pStyle w:val="Heading1"/>
      </w:pPr>
      <w:r>
        <w:t>1. Kontekst i motywacja</w:t>
      </w:r>
    </w:p>
    <w:p>
      <w:pPr>
        <w:pStyle w:val="Heading2"/>
      </w:pPr>
      <w:r>
        <w:t>Problem</w:t>
      </w:r>
    </w:p>
    <w:p>
      <w:r>
        <w:t>Tłumaczenie orzeczeń ETPCz wymaga:</w:t>
      </w:r>
    </w:p>
    <w:p>
      <w:pPr>
        <w:pStyle w:val="ListBullet"/>
      </w:pPr>
      <w:r/>
      <w:r>
        <w:rPr>
          <w:b/>
        </w:rPr>
        <w:t>Precyzyjnej terminologii prawnej</w:t>
      </w:r>
      <w:r>
        <w:t xml:space="preserve"> — „margin of appreciation" to „margines oceny" (nie „uznania"), „alleged violation" to „zarzucane naruszenie" (nie „domniemane")</w:t>
      </w:r>
    </w:p>
    <w:p>
      <w:pPr>
        <w:pStyle w:val="ListBullet"/>
      </w:pPr>
      <w:r/>
      <w:r>
        <w:rPr>
          <w:b/>
        </w:rPr>
        <w:t>Znajomości orzecznictwa</w:t>
      </w:r>
      <w:r>
        <w:t xml:space="preserve"> — odniesienia do wcześniejszych wyroków muszą być spójne z oficjalnymi tłumaczeniami</w:t>
      </w:r>
    </w:p>
    <w:p>
      <w:pPr>
        <w:pStyle w:val="ListBullet"/>
      </w:pPr>
      <w:r/>
      <w:r>
        <w:rPr>
          <w:b/>
        </w:rPr>
        <w:t>Zachowania formatowania</w:t>
      </w:r>
      <w:r>
        <w:t xml:space="preserve"> — dokumenty DOCX z numeracją paragrafów, tabelami, przypisami</w:t>
      </w:r>
    </w:p>
    <w:p>
      <w:pPr>
        <w:pStyle w:val="ListBullet"/>
      </w:pPr>
      <w:r/>
      <w:r>
        <w:rPr>
          <w:b/>
        </w:rPr>
        <w:t>Zgodności z wytycznymi ETPCz</w:t>
      </w:r>
      <w:r>
        <w:t xml:space="preserve"> — specyficzne zasady cytowania, jednostki redakcyjne (ust./§), cudzysłowy polskie</w:t>
      </w:r>
    </w:p>
    <w:p>
      <w:r>
        <w:t>Tradycyjne narzędzia CAT (Computer-Assisted Translation) nie rozumieją kontekstu prawnego i nie potrafią automatycznie wyszukiwać orzecznictwa.</w:t>
      </w:r>
    </w:p>
    <w:p>
      <w:pPr>
        <w:pStyle w:val="Heading2"/>
      </w:pPr>
      <w:r>
        <w:t>Rozwiązanie</w:t>
      </w:r>
    </w:p>
    <w:p>
      <w:r>
        <w:t>System wieloagentowy, gdzie wyspecjalizowane moduły AI współpracują z bazami wiedzy prawnej: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ECTHR Translator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┌──────────────┐  ┌──────────────┐  ┌──────────────┐              │</w:t>
        <w:br/>
        <w:t>│  │   HUDOC      │  │    CURIA     │  │    IATE      │              │</w:t>
        <w:br/>
        <w:t>│  │  (ETPCz)     │  │   (TSUE)     │  │ (term. UE)   │              │</w:t>
        <w:br/>
        <w:t>│  └──────┬───────┘  └──────┬───────┘  └──────┬───────┘              │</w:t>
        <w:br/>
        <w:t>│         │                 │                 │                       │</w:t>
        <w:br/>
        <w:t>│         └─────────────────┴─────────────────┘                       │</w:t>
        <w:br/>
        <w:t>│                           │                                         │</w:t>
        <w:br/>
        <w:t>│                    ┌──────▼───────┐                                 │</w:t>
        <w:br/>
        <w:t>│                    │ Case Law     │                                 │</w:t>
        <w:br/>
        <w:t>│                    │ Researcher   │                                 │</w:t>
        <w:br/>
        <w:t>│                    └──────┬───────┘                                 │</w:t>
        <w:br/>
        <w:t>│                           │                                         │</w:t>
        <w:br/>
        <w:t>│  ┌────────────┐    ┌──────▼───────┐    ┌────────────┐              │</w:t>
        <w:br/>
        <w:t>│  │  Term      │◄───┤ Orchestrator ├───►│ Translator │              │</w:t>
        <w:br/>
        <w:t>│  │ Extractor  │    │   (Claude)   │    │  (Claude)  │              │</w:t>
        <w:br/>
        <w:t>│  └────────────┘    └──────┬───────┘    └────────────┘              │</w:t>
        <w:br/>
        <w:t>│                           │                                         │</w:t>
        <w:br/>
        <w:t>│                    ┌──────▼───────┐                                 │</w:t>
        <w:br/>
        <w:t>│                    │     TM       │◄── Pamięć Tłumaczeniowa        │</w:t>
        <w:br/>
        <w:t>│                    │   Manager    │    (TMX/TBX)                   │</w:t>
        <w:br/>
        <w:t>│                    └──────────────┘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t>2. Architektura systemu</w:t>
      </w:r>
    </w:p>
    <w:p>
      <w:pPr>
        <w:pStyle w:val="Heading2"/>
      </w:pPr>
      <w:r>
        <w:t>2.1 Stack technologiczny</w:t>
      </w:r>
    </w:p>
    <w:p>
      <w:r>
        <w:rPr>
          <w:sz w:val="20"/>
        </w:rPr>
        <w:t>Warstwa  |  Technologie</w:t>
      </w:r>
    </w:p>
    <w:p>
      <w:r>
        <w:rPr>
          <w:sz w:val="20"/>
        </w:rPr>
        <w:t>Frontend  |  React 18, Vite, TailwindCSS, React Query, WebSocket</w:t>
      </w:r>
    </w:p>
    <w:p>
      <w:r>
        <w:rPr>
          <w:sz w:val="20"/>
        </w:rPr>
        <w:t>Backend  |  FastAPI, SQLAlchemy, Uvicorn, WebSockets</w:t>
      </w:r>
    </w:p>
    <w:p>
      <w:r>
        <w:rPr>
          <w:sz w:val="20"/>
        </w:rPr>
        <w:t>AI  |  Anthropic Claude API (claude-sonnet-4-5-20250929)</w:t>
      </w:r>
    </w:p>
    <w:p>
      <w:r>
        <w:rPr>
          <w:sz w:val="20"/>
        </w:rPr>
        <w:t>Bazy danych  |  SQLite (dev) / PostgreSQL (prod)</w:t>
      </w:r>
    </w:p>
    <w:p>
      <w:r>
        <w:rPr>
          <w:sz w:val="20"/>
        </w:rPr>
        <w:t>Źródła wiedzy  |  HUDOC API, CURIA, IATE, TMX/TBX</w:t>
      </w:r>
    </w:p>
    <w:p>
      <w:r>
        <w:rPr>
          <w:sz w:val="20"/>
        </w:rPr>
        <w:t>Deployment  |  Render.com, Docker, Vercel</w:t>
      </w:r>
    </w:p>
    <w:p>
      <w:pPr>
        <w:pStyle w:val="Heading2"/>
      </w:pPr>
      <w:r>
        <w:t>2.2 System agentów</w:t>
      </w:r>
    </w:p>
    <w:p>
      <w:r>
        <w:t xml:space="preserve">System wykorzystuje </w:t>
      </w:r>
      <w:r>
        <w:rPr>
          <w:b/>
        </w:rPr>
        <w:t>7 wyspecjalizowanych agentów</w:t>
      </w:r>
      <w:r>
        <w:t>, każdy z dedykowanym promptem:</w:t>
      </w:r>
    </w:p>
    <w:p>
      <w:pPr>
        <w:pStyle w:val="Heading3"/>
      </w:pPr>
      <w:r>
        <w:t>1. **Orchestrator** — koordynator pipeline'u</w:t>
      </w:r>
    </w:p>
    <w:p>
      <w:pPr>
        <w:pStyle w:val="ListBullet"/>
      </w:pPr>
      <w:r>
        <w:t>Zarządza 5-fazowym workflow tłumaczenia</w:t>
      </w:r>
    </w:p>
    <w:p>
      <w:pPr>
        <w:pStyle w:val="ListBullet"/>
      </w:pPr>
      <w:r>
        <w:t>Obsługuje batching (10 segmentów na partię)</w:t>
      </w:r>
    </w:p>
    <w:p>
      <w:pPr>
        <w:pStyle w:val="ListBullet"/>
      </w:pPr>
      <w:r>
        <w:t>Koordynuje komunikację między agentami</w:t>
      </w:r>
    </w:p>
    <w:p>
      <w:pPr>
        <w:pStyle w:val="ListBullet"/>
      </w:pPr>
      <w:r>
        <w:t>Obsługuje finalizację i eksport</w:t>
      </w:r>
    </w:p>
    <w:p>
      <w:pPr>
        <w:pStyle w:val="Heading3"/>
      </w:pPr>
      <w:r>
        <w:t>2. **Structure Parser** — analiza struktury dokumentu</w:t>
      </w:r>
    </w:p>
    <w:p>
      <w:pPr>
        <w:pStyle w:val="ListBullet"/>
      </w:pPr>
      <w:r>
        <w:t>Klasyfikuje segmenty: PROCEDURE, FACTS, LAW, OPERATIVE, OTHER</w:t>
      </w:r>
    </w:p>
    <w:p>
      <w:pPr>
        <w:pStyle w:val="ListBullet"/>
      </w:pPr>
      <w:r>
        <w:t>Rozpoznaje nagłówki, numery paragrafów, cytaty</w:t>
      </w:r>
    </w:p>
    <w:p>
      <w:pPr>
        <w:pStyle w:val="ListBullet"/>
      </w:pPr>
      <w:r>
        <w:t>Dostarcza kontekst dla tłumaczenia</w:t>
      </w:r>
    </w:p>
    <w:p>
      <w:pPr>
        <w:pStyle w:val="Heading3"/>
      </w:pPr>
      <w:r>
        <w:t>3. **Term Extractor** — ekstrakcja terminologii</w:t>
      </w:r>
    </w:p>
    <w:p>
      <w:pPr>
        <w:pStyle w:val="ListBullet"/>
      </w:pPr>
      <w:r>
        <w:t>Identyfikuje terminy prawne w tekście źródłowym</w:t>
      </w:r>
    </w:p>
    <w:p>
      <w:pPr>
        <w:pStyle w:val="ListBullet"/>
      </w:pPr>
      <w:r>
        <w:t>Priorytetyzacja: EKPC &gt; ETPCz &gt; proceduralne &gt; łacińskie &gt; nazwy instytucji</w:t>
      </w:r>
    </w:p>
    <w:p>
      <w:pPr>
        <w:pStyle w:val="ListBullet"/>
      </w:pPr>
      <w:r>
        <w:t>Zachowuje kontekst użycia terminu</w:t>
      </w:r>
    </w:p>
    <w:p>
      <w:pPr>
        <w:pStyle w:val="ListBullet"/>
      </w:pPr>
      <w:r>
        <w:t>Prompt: 80+ reguł ekstrakcji</w:t>
      </w:r>
    </w:p>
    <w:p>
      <w:pPr>
        <w:pStyle w:val="Heading3"/>
      </w:pPr>
      <w:r>
        <w:t>4. **Case Law Researcher** — badanie orzecznictwa</w:t>
      </w:r>
    </w:p>
    <w:p>
      <w:pPr>
        <w:pStyle w:val="ListBullet"/>
      </w:pPr>
      <w:r>
        <w:t>Wyszukuje w HUDOC (ETPCz), CURIA (TSUE), IATE (UE)</w:t>
      </w:r>
    </w:p>
    <w:p>
      <w:pPr>
        <w:pStyle w:val="ListBullet"/>
      </w:pPr>
      <w:r>
        <w:t>Hierarchia źródeł: TM (1.0) &gt; HUDOC (0.95) &gt; CURIA (0.90) &gt; IATE (0.85) &gt; propozycja AI (0.70)</w:t>
      </w:r>
    </w:p>
    <w:p>
      <w:pPr>
        <w:pStyle w:val="ListBullet"/>
      </w:pPr>
      <w:r>
        <w:t>Zatrzymuje się po znalezieniu dopasowania (early stopping)</w:t>
      </w:r>
    </w:p>
    <w:p>
      <w:pPr>
        <w:pStyle w:val="ListBullet"/>
      </w:pPr>
      <w:r>
        <w:t>Dostarcza odniesienia do konkretnych spraw</w:t>
      </w:r>
    </w:p>
    <w:p>
      <w:pPr>
        <w:pStyle w:val="Heading3"/>
      </w:pPr>
      <w:r>
        <w:t>5. **Translator** — tłumaczenie segmentów</w:t>
      </w:r>
    </w:p>
    <w:p>
      <w:pPr>
        <w:pStyle w:val="ListBullet"/>
      </w:pPr>
      <w:r>
        <w:t>Tłumaczy EN→PL z użyciem Claude</w:t>
      </w:r>
    </w:p>
    <w:p>
      <w:pPr>
        <w:pStyle w:val="ListBullet"/>
      </w:pPr>
      <w:r>
        <w:t xml:space="preserve">Prompt: </w:t>
      </w:r>
      <w:r>
        <w:rPr>
          <w:b/>
        </w:rPr>
        <w:t>86 reguł</w:t>
      </w:r>
      <w:r>
        <w:t xml:space="preserve"> specyficznych dla ETPCz:</w:t>
      </w:r>
    </w:p>
    <w:p>
      <w:pPr>
        <w:pStyle w:val="ListBullet"/>
      </w:pPr>
      <w:r>
        <w:t>Terminologia (margines oceny, skarżący, Kanclerz Sekcji)</w:t>
      </w:r>
    </w:p>
    <w:p>
      <w:pPr>
        <w:pStyle w:val="ListBullet"/>
      </w:pPr>
      <w:r>
        <w:t>Jednostki redakcyjne (art. X ust. Y Konwencji vs Reguła X § Y Regulaminu)</w:t>
      </w:r>
    </w:p>
    <w:p>
      <w:pPr>
        <w:pStyle w:val="ListBullet"/>
      </w:pPr>
      <w:r>
        <w:t>Cytowanie (skarga nr 12345/19, §§ 34–45)</w:t>
      </w:r>
    </w:p>
    <w:p>
      <w:pPr>
        <w:pStyle w:val="ListBullet"/>
      </w:pPr>
      <w:r>
        <w:t>Gramatyka polska (szyk postpozycyjny, formy bezosobowe)</w:t>
      </w:r>
    </w:p>
    <w:p>
      <w:pPr>
        <w:pStyle w:val="ListBullet"/>
      </w:pPr>
      <w:r>
        <w:t>Interpunkcja (cudzysłowy „...", półpauzy w przedziałach)</w:t>
      </w:r>
    </w:p>
    <w:p>
      <w:pPr>
        <w:pStyle w:val="ListBullet"/>
      </w:pPr>
      <w:r>
        <w:t>Temperatura: 0.3 (niska dla spójności)</w:t>
      </w:r>
    </w:p>
    <w:p>
      <w:pPr>
        <w:pStyle w:val="Heading3"/>
      </w:pPr>
      <w:r>
        <w:t>6. **Change Implementer** — implementacja zmian terminologicznych</w:t>
      </w:r>
    </w:p>
    <w:p>
      <w:pPr>
        <w:pStyle w:val="ListBullet"/>
      </w:pPr>
      <w:r>
        <w:t>Re-tłumaczy segmenty z zatwierdzonymi terminami</w:t>
      </w:r>
    </w:p>
    <w:p>
      <w:pPr>
        <w:pStyle w:val="ListBullet"/>
      </w:pPr>
      <w:r>
        <w:t>Stosuje odmianę przez przypadki</w:t>
      </w:r>
    </w:p>
    <w:p>
      <w:pPr>
        <w:pStyle w:val="ListBullet"/>
      </w:pPr>
      <w:r>
        <w:t>Zachowuje spójność w całym dokumencie</w:t>
      </w:r>
    </w:p>
    <w:p>
      <w:pPr>
        <w:pStyle w:val="Heading3"/>
      </w:pPr>
      <w:r>
        <w:t>7. **QA Reviewer** — kontrola jakości</w:t>
      </w:r>
    </w:p>
    <w:p>
      <w:pPr>
        <w:pStyle w:val="ListBullet"/>
      </w:pPr>
      <w:r>
        <w:t>11 automatycznych kontroli:</w:t>
      </w:r>
    </w:p>
    <w:p>
      <w:pPr>
        <w:pStyle w:val="ListBullet"/>
      </w:pPr>
      <w:r>
        <w:t>Kompletność (brak pustych tłumaczeń)</w:t>
      </w:r>
    </w:p>
    <w:p>
      <w:pPr>
        <w:pStyle w:val="ListBullet"/>
      </w:pPr>
      <w:r>
        <w:t>Spójność terminologiczna</w:t>
      </w:r>
    </w:p>
    <w:p>
      <w:pPr>
        <w:pStyle w:val="ListBullet"/>
      </w:pPr>
      <w:r>
        <w:t>Cudzysłowy polskie</w:t>
      </w:r>
    </w:p>
    <w:p>
      <w:pPr>
        <w:pStyle w:val="ListBullet"/>
      </w:pPr>
      <w:r>
        <w:t>Półpauzy w przedziałach</w:t>
      </w:r>
    </w:p>
    <w:p>
      <w:pPr>
        <w:pStyle w:val="ListBullet"/>
      </w:pPr>
      <w:r>
        <w:t>Sieroty (twarde spacje)</w:t>
      </w:r>
    </w:p>
    <w:p>
      <w:pPr>
        <w:pStyle w:val="ListBullet"/>
      </w:pPr>
      <w:r>
        <w:t>Odniesienia prawne (ust. vs §)</w:t>
      </w:r>
    </w:p>
    <w:p>
      <w:pPr>
        <w:pStyle w:val="ListBullet"/>
      </w:pPr>
      <w:r>
        <w:t>Wyniki informacyjne — nie blokują pobierania</w:t>
      </w:r>
    </w:p>
    <w:p>
      <w:pPr>
        <w:pStyle w:val="Heading2"/>
      </w:pPr>
      <w:r>
        <w:t>2.3 Format Handler — przetwarzanie dokumentów</w:t>
      </w:r>
    </w:p>
    <w:p>
      <w:r>
        <w:t>Odpowiada za:</w:t>
      </w:r>
    </w:p>
    <w:p>
      <w:pPr>
        <w:pStyle w:val="ListBullet"/>
      </w:pPr>
      <w:r/>
      <w:r>
        <w:rPr>
          <w:b/>
        </w:rPr>
        <w:t>Ekstrakcję</w:t>
      </w:r>
      <w:r>
        <w:t xml:space="preserve"> z DOCX: tekst + metadane formatowania (font, bold, kolor)</w:t>
      </w:r>
    </w:p>
    <w:p>
      <w:pPr>
        <w:pStyle w:val="ListBullet"/>
      </w:pPr>
      <w:r/>
      <w:r>
        <w:rPr>
          <w:b/>
        </w:rPr>
        <w:t>Rekonstrukcję</w:t>
      </w:r>
      <w:r>
        <w:t xml:space="preserve"> DOCX: zachowanie oryginalnego layoutu z przetłumaczonym tekstem</w:t>
      </w:r>
    </w:p>
    <w:p>
      <w:pPr>
        <w:pStyle w:val="ListBullet"/>
      </w:pPr>
      <w:r/>
      <w:r>
        <w:rPr>
          <w:b/>
        </w:rPr>
        <w:t>Post-processing</w:t>
      </w:r>
      <w:r>
        <w:t>:</w:t>
      </w:r>
    </w:p>
    <w:p>
      <w:pPr>
        <w:pStyle w:val="ListBullet"/>
      </w:pPr>
      <w:r>
        <w:t>Zamiana cudzysłowów na polskie (`„..."`)</w:t>
      </w:r>
    </w:p>
    <w:p>
      <w:pPr>
        <w:pStyle w:val="ListBullet"/>
      </w:pPr>
      <w:r>
        <w:t>Twarde spacje przy sierotach (w, i, z, o, a, u)</w:t>
      </w:r>
    </w:p>
    <w:p>
      <w:pPr>
        <w:pStyle w:val="ListBullet"/>
      </w:pPr>
      <w:r>
        <w:t>Półpauzy w przedziałach liczbowych (§§ 34–45)</w:t>
      </w:r>
    </w:p>
    <w:p>
      <w:pPr>
        <w:pStyle w:val="ListBullet"/>
      </w:pPr>
      <w:r>
        <w:t>Kolorowanie cytowań (opcjonalne)</w:t>
      </w:r>
    </w:p>
    <w:p/>
    <w:p>
      <w:pPr>
        <w:pStyle w:val="Heading1"/>
      </w:pPr>
      <w:r>
        <w:t>3. Workflow tłumaczenia</w:t>
      </w:r>
    </w:p>
    <w:p>
      <w:pPr>
        <w:pStyle w:val="Heading2"/>
      </w:pPr>
      <w:r>
        <w:t>Faza 1: Upload i analiza</w:t>
      </w:r>
    </w:p>
    <w:p>
      <w:pPr/>
      <w:r>
        <w:rPr>
          <w:rFonts w:ascii="Courier New" w:hAnsi="Courier New"/>
          <w:sz w:val="18"/>
        </w:rPr>
        <w:t>Użytkownik ──► Upload DOCX ──► Structure Parser ──► Segmentacja</w:t>
        <w:br/>
        <w:t xml:space="preserve">                                                        │</w:t>
        <w:br/>
        <w:t xml:space="preserve">                                                        ▼</w:t>
        <w:br/>
        <w:t xml:space="preserve">                                              Statystyki dokumentu</w:t>
        <w:br/>
        <w:t xml:space="preserve">                                              (słowa, segmenty, czas)</w:t>
      </w:r>
    </w:p>
    <w:p>
      <w:pPr>
        <w:pStyle w:val="Heading2"/>
      </w:pPr>
      <w:r>
        <w:t>Faza 2: Ekstrakcja terminologii (batch)</w:t>
      </w:r>
    </w:p>
    <w:p>
      <w:pPr/>
      <w:r>
        <w:rPr>
          <w:rFonts w:ascii="Courier New" w:hAnsi="Courier New"/>
          <w:sz w:val="18"/>
        </w:rPr>
        <w:t>Segment ──► Term Extractor ──► Case Law Researcher ──► TM Manager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Terminy z źródłami:</w:t>
        <w:br/>
        <w:t xml:space="preserve">                               - TM exact (confidence 1.0)</w:t>
        <w:br/>
        <w:t xml:space="preserve">                               - HUDOC (0.95)</w:t>
        <w:br/>
        <w:t xml:space="preserve">                               - CURIA (0.90)</w:t>
        <w:br/>
        <w:t xml:space="preserve">                               - IATE (0.85)</w:t>
        <w:br/>
        <w:t xml:space="preserve">                               - AI proposal (0.70)</w:t>
      </w:r>
    </w:p>
    <w:p>
      <w:pPr>
        <w:pStyle w:val="Heading2"/>
      </w:pPr>
      <w:r>
        <w:t>Faza 3: Tłumaczenie (batch)</w:t>
      </w:r>
    </w:p>
    <w:p>
      <w:pPr/>
      <w:r>
        <w:rPr>
          <w:rFonts w:ascii="Courier New" w:hAnsi="Courier New"/>
          <w:sz w:val="18"/>
        </w:rPr>
        <w:t>Segment + Terminy ──► Translator ──► Tłumaczenie</w:t>
        <w:br/>
        <w:t xml:space="preserve">        │                                 │</w:t>
        <w:br/>
        <w:t xml:space="preserve">        │                                 ▼</w:t>
        <w:br/>
        <w:t xml:space="preserve">        │                          WebSocket: segment_translated</w:t>
        <w:br/>
        <w:t xml:space="preserve">        │</w:t>
        <w:br/>
        <w:t xml:space="preserve">        └──► Batch 10 segmentów ──► WebSocket: batch_ready</w:t>
      </w:r>
    </w:p>
    <w:p>
      <w:pPr>
        <w:pStyle w:val="Heading2"/>
      </w:pPr>
      <w:r>
        <w:t>Faza 4: Walidacja użytkownika (human-in-the-loop)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Interfejs walidacji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Termin EN        │ Propozycja PL    │ Źródło   │ Akcja    │</w:t>
        <w:br/>
        <w:t>│  ─────────────────┼──────────────────┼──────────┼────────  │</w:t>
        <w:br/>
        <w:t>│  applicant        │ skarżący         │ TM exact │ ✓ ✎ ✗   │</w:t>
        <w:br/>
        <w:t>│  margin of        │ margines oceny   │ HUDOC    │ ✓ ✎ ✗   │</w:t>
        <w:br/>
        <w:t>│  appreciation     │                  │          │          │</w:t>
        <w:br/>
        <w:t>│  Section Registrar│ Kanclerz Sekcji  │ IATE     │ ✓ ✎ ✗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✓ = zatwierdź    ✎ = edytuj    ✗ = odrzuć</w:t>
      </w:r>
    </w:p>
    <w:p>
      <w:pPr>
        <w:pStyle w:val="Heading2"/>
      </w:pPr>
      <w:r>
        <w:t>Faza 5: Finalizacja</w:t>
      </w:r>
    </w:p>
    <w:p>
      <w:pPr/>
      <w:r>
        <w:rPr>
          <w:rFonts w:ascii="Courier New" w:hAnsi="Courier New"/>
          <w:sz w:val="18"/>
        </w:rPr>
        <w:t>Zatwierdzone terminy ──► Change Implementer ──► Re-tłumaczenie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QA Reviewer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Format Handler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DOCX do pobrania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TM update (opcjonalnie)</w:t>
      </w:r>
    </w:p>
    <w:p/>
    <w:p>
      <w:pPr>
        <w:pStyle w:val="Heading1"/>
      </w:pPr>
      <w:r>
        <w:t>4. Źródła terminologii</w:t>
      </w:r>
    </w:p>
    <w:p>
      <w:pPr>
        <w:pStyle w:val="Heading2"/>
      </w:pPr>
      <w:r>
        <w:t>4.1 Hierarchia źródeł</w:t>
      </w:r>
    </w:p>
    <w:p>
      <w:r>
        <w:rPr>
          <w:sz w:val="20"/>
        </w:rPr>
        <w:t>Priorytet  |  Źródło  |  Confidence  |  Opis</w:t>
      </w:r>
    </w:p>
    <w:p>
      <w:r>
        <w:rPr>
          <w:sz w:val="20"/>
        </w:rPr>
        <w:t>1  |  TM exact  |  1.0  |  Dokładne dopasowanie z pamięci tłumaczeniowej</w:t>
      </w:r>
    </w:p>
    <w:p>
      <w:r>
        <w:rPr>
          <w:sz w:val="20"/>
        </w:rPr>
        <w:t>2  |  TM fuzzy  |  0.85-0.99  |  Dopasowanie rozmyte (&gt;75% podobieństwa)</w:t>
      </w:r>
    </w:p>
    <w:p>
      <w:r>
        <w:rPr>
          <w:sz w:val="20"/>
        </w:rPr>
        <w:t>3  |  HUDOC  |  0.95  |  Orzecznictwo ETPCz</w:t>
      </w:r>
    </w:p>
    <w:p>
      <w:r>
        <w:rPr>
          <w:sz w:val="20"/>
        </w:rPr>
        <w:t>4  |  CURIA  |  0.90  |  Orzecznictwo TSUE</w:t>
      </w:r>
    </w:p>
    <w:p>
      <w:r>
        <w:rPr>
          <w:sz w:val="20"/>
        </w:rPr>
        <w:t>5  |  IATE  |  0.85  |  Baza terminologii UE</w:t>
      </w:r>
    </w:p>
    <w:p>
      <w:r>
        <w:rPr>
          <w:sz w:val="20"/>
        </w:rPr>
        <w:t>6  |  AI proposal  |  0.70  |  Propozycja Claude bez źródła</w:t>
      </w:r>
    </w:p>
    <w:p>
      <w:pPr>
        <w:pStyle w:val="Heading2"/>
      </w:pPr>
      <w:r>
        <w:t>4.2 HUDOC — baza orzecznictwa ETPCz</w:t>
      </w:r>
    </w:p>
    <w:p>
      <w:pPr>
        <w:pStyle w:val="ListBullet"/>
      </w:pPr>
      <w:r/>
      <w:r>
        <w:rPr>
          <w:b/>
        </w:rPr>
        <w:t>URL</w:t>
      </w:r>
      <w:r>
        <w:t>: `https://hudoc.echr.coe.int`</w:t>
      </w:r>
    </w:p>
    <w:p>
      <w:pPr>
        <w:pStyle w:val="ListBullet"/>
      </w:pPr>
      <w:r/>
      <w:r>
        <w:rPr>
          <w:b/>
        </w:rPr>
        <w:t>Zawartość</w:t>
      </w:r>
      <w:r>
        <w:t>: Wyroki, decyzje, opinie doradcze ETPCz</w:t>
      </w:r>
    </w:p>
    <w:p>
      <w:pPr>
        <w:pStyle w:val="ListBullet"/>
      </w:pPr>
      <w:r/>
      <w:r>
        <w:rPr>
          <w:b/>
        </w:rPr>
        <w:t>Wbudowane terminy</w:t>
      </w:r>
      <w:r>
        <w:t xml:space="preserve"> (40+):</w:t>
      </w:r>
    </w:p>
    <w:p>
      <w:pPr/>
      <w:r>
        <w:rPr>
          <w:rFonts w:ascii="Courier New" w:hAnsi="Courier New"/>
          <w:sz w:val="18"/>
        </w:rPr>
        <w:t xml:space="preserve">  applicant → skarżący</w:t>
        <w:br/>
        <w:t xml:space="preserve">  margin of appreciation → margines oceny</w:t>
        <w:br/>
        <w:t xml:space="preserve">  just satisfaction → słuszne zadośćuczynienie</w:t>
        <w:br/>
        <w:t xml:space="preserve">  fair trial → rzetelny proces</w:t>
        <w:br/>
        <w:t xml:space="preserve">  interference → ingerencja</w:t>
      </w:r>
    </w:p>
    <w:p>
      <w:pPr>
        <w:pStyle w:val="Heading2"/>
      </w:pPr>
      <w:r>
        <w:t>4.3 CURIA — orzecznictwo TSUE</w:t>
      </w:r>
    </w:p>
    <w:p>
      <w:pPr>
        <w:pStyle w:val="ListBullet"/>
      </w:pPr>
      <w:r/>
      <w:r>
        <w:rPr>
          <w:b/>
        </w:rPr>
        <w:t>URL</w:t>
      </w:r>
      <w:r>
        <w:t>: `https://curia.europa.eu`</w:t>
      </w:r>
    </w:p>
    <w:p>
      <w:pPr>
        <w:pStyle w:val="ListBullet"/>
      </w:pPr>
      <w:r/>
      <w:r>
        <w:rPr>
          <w:b/>
        </w:rPr>
        <w:t>Zawartość</w:t>
      </w:r>
      <w:r>
        <w:t>: Wyroki Trybunału Sprawiedliwości UE</w:t>
      </w:r>
    </w:p>
    <w:p>
      <w:pPr>
        <w:pStyle w:val="ListBullet"/>
      </w:pPr>
      <w:r/>
      <w:r>
        <w:rPr>
          <w:b/>
        </w:rPr>
        <w:t>Zastosowanie</w:t>
      </w:r>
      <w:r>
        <w:t>: Terminologia prawa UE (pomoc publiczna, konkurencja, swobody)</w:t>
      </w:r>
    </w:p>
    <w:p>
      <w:pPr>
        <w:pStyle w:val="Heading2"/>
      </w:pPr>
      <w:r>
        <w:t>4.4 IATE — terminologia instytucji UE</w:t>
      </w:r>
    </w:p>
    <w:p>
      <w:pPr>
        <w:pStyle w:val="ListBullet"/>
      </w:pPr>
      <w:r/>
      <w:r>
        <w:rPr>
          <w:b/>
        </w:rPr>
        <w:t>URL</w:t>
      </w:r>
      <w:r>
        <w:t>: `https://iate.europa.eu`</w:t>
      </w:r>
    </w:p>
    <w:p>
      <w:pPr>
        <w:pStyle w:val="ListBullet"/>
      </w:pPr>
      <w:r/>
      <w:r>
        <w:rPr>
          <w:b/>
        </w:rPr>
        <w:t>Zawartość</w:t>
      </w:r>
      <w:r>
        <w:t>: 8+ milionów terminów w 24 językach</w:t>
      </w:r>
    </w:p>
    <w:p>
      <w:pPr>
        <w:pStyle w:val="ListBullet"/>
      </w:pPr>
      <w:r/>
      <w:r>
        <w:rPr>
          <w:b/>
        </w:rPr>
        <w:t>Mock fallback</w:t>
      </w:r>
      <w:r>
        <w:t xml:space="preserve"> (56+ terminów) gdy API niedostępne:</w:t>
      </w:r>
    </w:p>
    <w:p>
      <w:pPr/>
      <w:r>
        <w:rPr>
          <w:rFonts w:ascii="Courier New" w:hAnsi="Courier New"/>
          <w:sz w:val="18"/>
        </w:rPr>
        <w:t xml:space="preserve">  legal certainty → pewność prawa</w:t>
        <w:br/>
        <w:t xml:space="preserve">  proportionality → proporcjonalność</w:t>
        <w:br/>
        <w:t xml:space="preserve">  legitimate expectation → uzasadnione oczekiwanie</w:t>
      </w:r>
    </w:p>
    <w:p>
      <w:pPr>
        <w:pStyle w:val="Heading2"/>
      </w:pPr>
      <w:r>
        <w:t>4.5 Translation Memory (TM)</w:t>
      </w:r>
    </w:p>
    <w:p>
      <w:pPr>
        <w:pStyle w:val="ListBullet"/>
      </w:pPr>
      <w:r/>
      <w:r>
        <w:rPr>
          <w:b/>
        </w:rPr>
        <w:t>Format</w:t>
      </w:r>
      <w:r>
        <w:t>: TMX 1.4, TBX</w:t>
      </w:r>
    </w:p>
    <w:p>
      <w:pPr>
        <w:pStyle w:val="ListBullet"/>
      </w:pPr>
      <w:r/>
      <w:r>
        <w:rPr>
          <w:b/>
        </w:rPr>
        <w:t>Funkcje</w:t>
      </w:r>
      <w:r>
        <w:t>:</w:t>
      </w:r>
    </w:p>
    <w:p>
      <w:pPr>
        <w:pStyle w:val="ListBullet"/>
      </w:pPr>
      <w:r>
        <w:t>Wiele plików TM jednocześnie</w:t>
      </w:r>
    </w:p>
    <w:p>
      <w:pPr>
        <w:pStyle w:val="ListBullet"/>
      </w:pPr>
      <w:r>
        <w:t>System priorytetów (1-5)</w:t>
      </w:r>
    </w:p>
    <w:p>
      <w:pPr>
        <w:pStyle w:val="ListBullet"/>
      </w:pPr>
      <w:r>
        <w:t>Włączanie/wyłączanie per TM</w:t>
      </w:r>
    </w:p>
    <w:p>
      <w:pPr>
        <w:pStyle w:val="ListBullet"/>
      </w:pPr>
      <w:r>
        <w:t>Fuzzy matching (RapidFuzz, próg 0.75)</w:t>
      </w:r>
    </w:p>
    <w:p>
      <w:pPr>
        <w:pStyle w:val="ListBullet"/>
      </w:pPr>
      <w:r>
        <w:t>Automatyczna aktualizacja po walidacji</w:t>
      </w:r>
    </w:p>
    <w:p/>
    <w:p>
      <w:pPr>
        <w:pStyle w:val="Heading1"/>
      </w:pPr>
      <w:r>
        <w:t>5. Reguły tłumaczenia ETPCz</w:t>
      </w:r>
    </w:p>
    <w:p>
      <w:pPr>
        <w:pStyle w:val="Heading2"/>
      </w:pPr>
      <w:r>
        <w:t>5.1 Terminologia kluczowa</w:t>
      </w:r>
    </w:p>
    <w:p>
      <w:r>
        <w:rPr>
          <w:sz w:val="20"/>
        </w:rPr>
        <w:t>Angielski  |  Polski  |  Uwagi</w:t>
      </w:r>
    </w:p>
    <w:p>
      <w:r>
        <w:rPr>
          <w:sz w:val="20"/>
        </w:rPr>
        <w:t>applicant  |  skarżący/skarżąca  |  nie: osoba skarżąca</w:t>
      </w:r>
    </w:p>
    <w:p>
      <w:r>
        <w:rPr>
          <w:sz w:val="20"/>
        </w:rPr>
        <w:t>alleged violation  |  zarzucane naruszenie  |  nie: domniemane</w:t>
      </w:r>
    </w:p>
    <w:p>
      <w:r>
        <w:rPr>
          <w:sz w:val="20"/>
        </w:rPr>
        <w:t>margin of appreciation  |  margines oceny  |  nie: uznania</w:t>
      </w:r>
    </w:p>
    <w:p>
      <w:r>
        <w:rPr>
          <w:sz w:val="20"/>
        </w:rPr>
        <w:t>fair trial  |  rzetelny proces  |  nie: sprawiedliwy</w:t>
      </w:r>
    </w:p>
    <w:p>
      <w:r>
        <w:rPr>
          <w:sz w:val="20"/>
        </w:rPr>
        <w:t>final judgment  |  ostateczny wyrok  |  nie: prawomocny</w:t>
      </w:r>
    </w:p>
    <w:p>
      <w:r>
        <w:rPr>
          <w:sz w:val="20"/>
        </w:rPr>
        <w:t>interference  |  ingerencja  |  nie: naruszenie</w:t>
      </w:r>
    </w:p>
    <w:p>
      <w:r>
        <w:rPr>
          <w:sz w:val="20"/>
        </w:rPr>
        <w:t>just satisfaction  |  słuszne zadośćuczynienie  |  —</w:t>
      </w:r>
    </w:p>
    <w:p>
      <w:r>
        <w:rPr>
          <w:sz w:val="20"/>
        </w:rPr>
        <w:t>Registrar  |  Kanclerz  |  nie: Sekretarz</w:t>
      </w:r>
    </w:p>
    <w:p>
      <w:r>
        <w:rPr>
          <w:sz w:val="20"/>
        </w:rPr>
        <w:t>Section Registrar  |  Kanclerz Sekcji  |  nie: Sekretarz Sekcji</w:t>
      </w:r>
    </w:p>
    <w:p>
      <w:r>
        <w:rPr>
          <w:sz w:val="20"/>
        </w:rPr>
        <w:t>Registry  |  Kancelaria Trybunału  |  —</w:t>
      </w:r>
    </w:p>
    <w:p>
      <w:pPr>
        <w:pStyle w:val="Heading2"/>
      </w:pPr>
      <w:r>
        <w:t>5.2 Jednostki redakcyjne</w:t>
      </w:r>
    </w:p>
    <w:p>
      <w:r>
        <w:rPr>
          <w:sz w:val="20"/>
        </w:rPr>
        <w:t>Kontekst  |  Format  |  Przykład</w:t>
      </w:r>
    </w:p>
    <w:p>
      <w:r>
        <w:rPr>
          <w:sz w:val="20"/>
        </w:rPr>
        <w:t>EKPC  |  art. X ust. Y  |  art. 8 ust. 1 Konwencji</w:t>
      </w:r>
    </w:p>
    <w:p>
      <w:r>
        <w:rPr>
          <w:sz w:val="20"/>
        </w:rPr>
        <w:t>Regulamin Trybunału  |  Reguła X § Y  |  Reguła 77 § 1 Regulaminu</w:t>
      </w:r>
    </w:p>
    <w:p>
      <w:r>
        <w:rPr>
          <w:sz w:val="20"/>
        </w:rPr>
        <w:t>Paragraf bieżącego wyroku  |  paragraf (słownie)  |  paragraf 34 powyżej</w:t>
      </w:r>
    </w:p>
    <w:p>
      <w:r>
        <w:rPr>
          <w:sz w:val="20"/>
        </w:rPr>
        <w:t>Paragraf cytowanego wyroku  |  § (symbol)  |  § 45 wyroku X p. Y</w:t>
      </w:r>
    </w:p>
    <w:p>
      <w:pPr>
        <w:pStyle w:val="Heading2"/>
      </w:pPr>
      <w:r>
        <w:t>5.3 Cytowanie orzeczeń</w:t>
      </w:r>
    </w:p>
    <w:p>
      <w:r/>
      <w:r>
        <w:rPr>
          <w:b/>
        </w:rPr>
        <w:t>ETPCz</w:t>
      </w:r>
      <w:r>
        <w:t>:</w:t>
      </w:r>
    </w:p>
    <w:p>
      <w:pPr/>
      <w:r>
        <w:rPr>
          <w:rFonts w:ascii="Courier New" w:hAnsi="Courier New"/>
          <w:sz w:val="18"/>
        </w:rPr>
        <w:t>✓ w sprawie Reczkowicz przeciwko Polsce (skarga nr 43447/19, §§ 59–70, 22 lipca 2021 r.)</w:t>
        <w:br/>
        <w:t>✗ w sprawie Reczkowicz przeciwko Polsce (43447/19, §§ 59-70)</w:t>
      </w:r>
    </w:p>
    <w:p>
      <w:r/>
      <w:r>
        <w:rPr>
          <w:b/>
        </w:rPr>
        <w:t>TSUE</w:t>
      </w:r>
      <w:r>
        <w:t>:</w:t>
      </w:r>
    </w:p>
    <w:p>
      <w:pPr/>
      <w:r>
        <w:rPr>
          <w:rFonts w:ascii="Courier New" w:hAnsi="Courier New"/>
          <w:sz w:val="18"/>
        </w:rPr>
        <w:t>✓ w połączonych sprawach A.K. i inni (C-585/18, C-624/18 i C-625/18)</w:t>
        <w:br/>
        <w:t>✗ w połączonych sprawach A.K. i inni (nr C-585/18, nr C-624/18)</w:t>
      </w:r>
    </w:p>
    <w:p>
      <w:pPr>
        <w:pStyle w:val="Heading2"/>
      </w:pPr>
      <w:r>
        <w:t>5.4 Interpunkcja polska</w:t>
      </w:r>
    </w:p>
    <w:p>
      <w:pPr>
        <w:pStyle w:val="ListBullet"/>
      </w:pPr>
      <w:r/>
      <w:r>
        <w:rPr>
          <w:b/>
        </w:rPr>
        <w:t>Cudzysłowy</w:t>
      </w:r>
      <w:r>
        <w:t>: „tekst" (nie "tekst")</w:t>
      </w:r>
    </w:p>
    <w:p>
      <w:pPr>
        <w:pStyle w:val="ListBullet"/>
      </w:pPr>
      <w:r/>
      <w:r>
        <w:rPr>
          <w:b/>
        </w:rPr>
        <w:t>Półpauza w przedziałach</w:t>
      </w:r>
      <w:r>
        <w:t>: §§ 34–45 (nie §§ 34-45)</w:t>
      </w:r>
    </w:p>
    <w:p>
      <w:pPr>
        <w:pStyle w:val="ListBullet"/>
      </w:pPr>
      <w:r/>
      <w:r>
        <w:rPr>
          <w:b/>
        </w:rPr>
        <w:t>Brak przecinka</w:t>
      </w:r>
      <w:r>
        <w:t>: „W przypadku gdy" (nie „W przypadku, gdy")</w:t>
      </w:r>
    </w:p>
    <w:p>
      <w:pPr>
        <w:pStyle w:val="ListBullet"/>
      </w:pPr>
      <w:r/>
      <w:r>
        <w:rPr>
          <w:b/>
        </w:rPr>
        <w:t>Twarde spacje</w:t>
      </w:r>
      <w:r>
        <w:t>: w sprawie, 2024 r., art. 5</w:t>
      </w:r>
    </w:p>
    <w:p/>
    <w:p>
      <w:pPr>
        <w:pStyle w:val="Heading1"/>
      </w:pPr>
      <w:r>
        <w:t>6. Interfejs użytkownika</w:t>
      </w:r>
    </w:p>
    <w:p>
      <w:pPr>
        <w:pStyle w:val="Heading2"/>
      </w:pPr>
      <w:r>
        <w:t>6.1 Strona główna — upload dokumentu</w:t>
      </w:r>
    </w:p>
    <w:p>
      <w:pPr>
        <w:pStyle w:val="ListBullet"/>
      </w:pPr>
      <w:r>
        <w:t>Drag &amp; drop lub wybór pliku DOCX</w:t>
      </w:r>
    </w:p>
    <w:p>
      <w:pPr>
        <w:pStyle w:val="ListBullet"/>
      </w:pPr>
      <w:r>
        <w:t>Walidacja formatu i rozmiaru (max 50MB)</w:t>
      </w:r>
    </w:p>
    <w:p>
      <w:pPr>
        <w:pStyle w:val="ListBullet"/>
      </w:pPr>
      <w:r>
        <w:t>Statystyki: liczba słów, segmentów, szacowany czas</w:t>
      </w:r>
    </w:p>
    <w:p>
      <w:pPr>
        <w:pStyle w:val="Heading2"/>
      </w:pPr>
      <w:r>
        <w:t>6.2 Panel tłumaczenia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[Nazwa dokumentu]                    Postęp: ████████░░ 80%        │</w:t>
        <w:br/>
        <w:t>├─────────────────────┬───────────────────────────────────────────────┤</w:t>
        <w:br/>
        <w:t>│                     │                                               │</w:t>
        <w:br/>
        <w:t>│   GLOSARIUSZ        │              PODGLĄD TŁUMACZENIA              │</w:t>
        <w:br/>
        <w:t>│                     │                                               │</w:t>
        <w:br/>
        <w:t>│  ┌───────────────┐  │  [1] The applicant was born in 1985...       │</w:t>
        <w:br/>
        <w:t>│  │ applicant     │  │      Skarżący urodził się w 1985 r....       │</w:t>
        <w:br/>
        <w:t>│  │ → skarżący    │  │                                               │</w:t>
        <w:br/>
        <w:t>│  │ [TM] ✓        │  │  [2] The Court considers that...             │</w:t>
        <w:br/>
        <w:t>│  └───────────────┘  │      Trybunał uznał, że...                    │</w:t>
        <w:br/>
        <w:t>│                     │                                               │</w:t>
        <w:br/>
        <w:t>│  ┌───────────────┐  │  [3] Having regard to the margin of          │</w:t>
        <w:br/>
        <w:t>│  │ margin of     │  │      appreciation enjoyed by States...        │</w:t>
        <w:br/>
        <w:t>│  │ appreciation  │  │      Mając na uwadze margines oceny,          │</w:t>
        <w:br/>
        <w:t>│  │ → margines    │  │      z którego korzystają Państwa...          │</w:t>
        <w:br/>
        <w:t>│  │   oceny       │  │                                               │</w:t>
        <w:br/>
        <w:t>│  │ [HUDOC] ✓     │  │                                               │</w:t>
        <w:br/>
        <w:t>│  └───────────────┘  │                                               │</w:t>
        <w:br/>
        <w:t>│                     │                                               │</w:t>
        <w:br/>
        <w:t>├─────────────────────┴───────────────────────────────────────────────┤</w:t>
        <w:br/>
        <w:t>│  [Zatwierdź wszystkie]  [Zobacz tłumaczenie]  [Pobierz DOCX]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6.3 Edytor terminów</w:t>
      </w:r>
    </w:p>
    <w:p>
      <w:pPr>
        <w:pStyle w:val="ListBullet"/>
      </w:pPr>
      <w:r>
        <w:t>Podgląd kontekstu użycia</w:t>
      </w:r>
    </w:p>
    <w:p>
      <w:pPr>
        <w:pStyle w:val="ListBullet"/>
      </w:pPr>
      <w:r>
        <w:t>Historia zmian (oryginalna propozycja)</w:t>
      </w:r>
    </w:p>
    <w:p>
      <w:pPr>
        <w:pStyle w:val="ListBullet"/>
      </w:pPr>
      <w:r>
        <w:t>Odniesienia do orzecznictwa</w:t>
      </w:r>
    </w:p>
    <w:p>
      <w:pPr>
        <w:pStyle w:val="ListBullet"/>
      </w:pPr>
      <w:r>
        <w:t>Propagacja zmiany do wszystkich segmentów</w:t>
      </w:r>
    </w:p>
    <w:p>
      <w:pPr>
        <w:pStyle w:val="Heading2"/>
      </w:pPr>
      <w:r>
        <w:t>6.4 Raport źródeł</w:t>
      </w:r>
    </w:p>
    <w:p>
      <w:r>
        <w:t>Szczegółowy breakdown terminów według źródła:</w:t>
      </w:r>
    </w:p>
    <w:p>
      <w:pPr>
        <w:pStyle w:val="ListBullet"/>
      </w:pPr>
      <w:r>
        <w:t>TM exact: 45 terminów (40%)</w:t>
      </w:r>
    </w:p>
    <w:p>
      <w:pPr>
        <w:pStyle w:val="ListBullet"/>
      </w:pPr>
      <w:r>
        <w:t>HUDOC: 30 terminów (27%)</w:t>
      </w:r>
    </w:p>
    <w:p>
      <w:pPr>
        <w:pStyle w:val="ListBullet"/>
      </w:pPr>
      <w:r>
        <w:t>CURIA: 15 terminów (13%)</w:t>
      </w:r>
    </w:p>
    <w:p>
      <w:pPr>
        <w:pStyle w:val="ListBullet"/>
      </w:pPr>
      <w:r>
        <w:t>IATE: 12 terminów (11%)</w:t>
      </w:r>
    </w:p>
    <w:p>
      <w:pPr>
        <w:pStyle w:val="ListBullet"/>
      </w:pPr>
      <w:r>
        <w:t>AI proposals: 10 terminów (9%)</w:t>
      </w:r>
    </w:p>
    <w:p/>
    <w:p>
      <w:pPr>
        <w:pStyle w:val="Heading1"/>
      </w:pPr>
      <w:r>
        <w:t>7. Deployment</w:t>
      </w:r>
    </w:p>
    <w:p>
      <w:pPr>
        <w:pStyle w:val="Heading2"/>
      </w:pPr>
      <w:r>
        <w:t>7.1 Render.com (produkcja)</w:t>
      </w:r>
    </w:p>
    <w:p>
      <w:pPr/>
      <w:r>
        <w:rPr>
          <w:rFonts w:ascii="Courier New" w:hAnsi="Courier New"/>
          <w:sz w:val="18"/>
        </w:rPr>
        <w:t>services:</w:t>
        <w:br/>
        <w:t xml:space="preserve">  - type: web</w:t>
        <w:br/>
        <w:t xml:space="preserve">    name: ecthr-translator-backend</w:t>
        <w:br/>
        <w:t xml:space="preserve">    env: python</w:t>
        <w:br/>
        <w:t xml:space="preserve">    region: frankfurt</w:t>
        <w:br/>
        <w:t xml:space="preserve">    plan: free</w:t>
        <w:br/>
        <w:t xml:space="preserve">    buildCommand: pip install -r requirements.txt</w:t>
        <w:br/>
        <w:t xml:space="preserve">    startCommand: uvicorn main:app --host 0.0.0.0 --port $PORT</w:t>
        <w:br/>
        <w:t xml:space="preserve">    envVars:</w:t>
        <w:br/>
        <w:t xml:space="preserve">      - key: ANTHROPIC_API_KEY</w:t>
        <w:br/>
        <w:t xml:space="preserve">        sync: false  # secret</w:t>
        <w:br/>
        <w:t xml:space="preserve">      - key: DATABASE_URL</w:t>
        <w:br/>
        <w:t xml:space="preserve">        value: sqlite:////tmp/data/ecthr.db</w:t>
      </w:r>
    </w:p>
    <w:p>
      <w:pPr>
        <w:pStyle w:val="Heading2"/>
      </w:pPr>
      <w:r>
        <w:t>7.2 Docker (lokalne)</w:t>
      </w:r>
    </w:p>
    <w:p>
      <w:pPr/>
      <w:r>
        <w:rPr>
          <w:rFonts w:ascii="Courier New" w:hAnsi="Courier New"/>
          <w:sz w:val="18"/>
        </w:rPr>
        <w:t>docker-compose up -d</w:t>
        <w:br/>
        <w:t># Backend: http://localhost:8000</w:t>
        <w:br/>
        <w:t># Frontend: http://localhost:3000</w:t>
      </w:r>
    </w:p>
    <w:p>
      <w:pPr>
        <w:pStyle w:val="Heading2"/>
      </w:pPr>
      <w:r>
        <w:t>7.3 Vercel (frontend)</w:t>
      </w:r>
    </w:p>
    <w:p>
      <w:pPr>
        <w:pStyle w:val="ListBullet"/>
      </w:pPr>
      <w:r>
        <w:t>Auto-deploy z brancha `main`</w:t>
      </w:r>
    </w:p>
    <w:p>
      <w:pPr>
        <w:pStyle w:val="ListBullet"/>
      </w:pPr>
      <w:r>
        <w:t>Environment: `VITE_API_URL=https://backend.render.com`</w:t>
      </w:r>
    </w:p>
    <w:p/>
    <w:p>
      <w:pPr>
        <w:pStyle w:val="Heading1"/>
      </w:pPr>
      <w:r>
        <w:t>8. Metryki i wydajność</w:t>
      </w:r>
    </w:p>
    <w:p>
      <w:r>
        <w:rPr>
          <w:sz w:val="20"/>
        </w:rPr>
        <w:t>Metryka  |  Wartość</w:t>
      </w:r>
    </w:p>
    <w:p>
      <w:r>
        <w:rPr>
          <w:sz w:val="20"/>
        </w:rPr>
        <w:t>Czas tłumaczenia 10-stronowego wyroku  |  ~15 min (QUICK) / ~45 min (FULL)</w:t>
      </w:r>
    </w:p>
    <w:p>
      <w:r>
        <w:rPr>
          <w:sz w:val="20"/>
        </w:rPr>
        <w:t>Średnia dokładność terminologii  |  92% (po walidacji: 99%)</w:t>
      </w:r>
    </w:p>
    <w:p>
      <w:r>
        <w:rPr>
          <w:sz w:val="20"/>
        </w:rPr>
        <w:t>Segmenty na batch  |  10</w:t>
      </w:r>
    </w:p>
    <w:p>
      <w:r>
        <w:rPr>
          <w:sz w:val="20"/>
        </w:rPr>
        <w:t>Timeout Claude API  |  120s</w:t>
      </w:r>
    </w:p>
    <w:p>
      <w:r>
        <w:rPr>
          <w:sz w:val="20"/>
        </w:rPr>
        <w:t>Retry policy  |  5 prób, exponential backoff</w:t>
      </w:r>
    </w:p>
    <w:p>
      <w:r>
        <w:rPr>
          <w:sz w:val="20"/>
        </w:rPr>
        <w:t>Max rozmiar dokumentu  |  50 MB</w:t>
      </w:r>
    </w:p>
    <w:p>
      <w:r>
        <w:rPr>
          <w:sz w:val="20"/>
        </w:rPr>
        <w:t>Max rozmiar TM  |  500 MB</w:t>
      </w:r>
    </w:p>
    <w:p/>
    <w:p>
      <w:pPr>
        <w:pStyle w:val="Heading1"/>
      </w:pPr>
      <w:r>
        <w:t>9. Przyszły rozwój</w:t>
      </w:r>
    </w:p>
    <w:p>
      <w:pPr>
        <w:pStyle w:val="ListNumber"/>
      </w:pPr>
      <w:r/>
      <w:r>
        <w:rPr>
          <w:b/>
        </w:rPr>
        <w:t>Więcej par językowych</w:t>
      </w:r>
      <w:r>
        <w:t xml:space="preserve"> — DE-PL, FR-PL</w:t>
      </w:r>
    </w:p>
    <w:p>
      <w:pPr>
        <w:pStyle w:val="ListNumber"/>
      </w:pPr>
      <w:r/>
      <w:r>
        <w:rPr>
          <w:b/>
        </w:rPr>
        <w:t>Integracja z SDL Trados</w:t>
      </w:r>
      <w:r>
        <w:t xml:space="preserve"> — eksport/import SDLXLIFF</w:t>
      </w:r>
    </w:p>
    <w:p>
      <w:pPr>
        <w:pStyle w:val="ListNumber"/>
      </w:pPr>
      <w:r/>
      <w:r>
        <w:rPr>
          <w:b/>
        </w:rPr>
        <w:t>Fine-tuning modelu</w:t>
      </w:r>
      <w:r>
        <w:t xml:space="preserve"> — dedykowany model na korpusie ETPCz</w:t>
      </w:r>
    </w:p>
    <w:p>
      <w:pPr>
        <w:pStyle w:val="ListNumber"/>
      </w:pPr>
      <w:r/>
      <w:r>
        <w:rPr>
          <w:b/>
        </w:rPr>
        <w:t>Wykrywanie zmian prawnych</w:t>
      </w:r>
      <w:r>
        <w:t xml:space="preserve"> — alertowanie o nowych wyrokach zmieniających terminologię</w:t>
      </w:r>
    </w:p>
    <w:p>
      <w:pPr>
        <w:pStyle w:val="ListNumber"/>
      </w:pPr>
      <w:r/>
      <w:r>
        <w:rPr>
          <w:b/>
        </w:rPr>
        <w:t>Collaborative editing</w:t>
      </w:r>
      <w:r>
        <w:t xml:space="preserve"> — współpraca wielu tłumaczy na jednym dokumencie</w:t>
      </w:r>
    </w:p>
    <w:p>
      <w:pPr>
        <w:pStyle w:val="ListNumber"/>
      </w:pPr>
      <w:r/>
      <w:r>
        <w:rPr>
          <w:b/>
        </w:rPr>
        <w:t>API publiczne</w:t>
      </w:r>
      <w:r>
        <w:t xml:space="preserve"> — integracja z zewnętrznymi systemami kancelarii</w:t>
      </w:r>
    </w:p>
    <w:p/>
    <w:p>
      <w:pPr>
        <w:pStyle w:val="Heading1"/>
      </w:pPr>
      <w:r>
        <w:t>10. Podsumowanie</w:t>
      </w:r>
    </w:p>
    <w:p>
      <w:r>
        <w:t>ECTHR Translator demonstruje praktyczne zastosowanie systemów wieloagentowych AI w domenie wymagającej precyzji — tłumaczeniu prawnym. Kluczowe innowacje:</w:t>
      </w:r>
    </w:p>
    <w:p>
      <w:pPr>
        <w:pStyle w:val="ListNumber"/>
      </w:pPr>
      <w:r/>
      <w:r>
        <w:rPr>
          <w:b/>
        </w:rPr>
        <w:t>Hierarchia źródeł wiedzy</w:t>
      </w:r>
      <w:r>
        <w:t xml:space="preserve"> — automatyczne wyszukiwanie w orzecznictwie z priorytetyzacją</w:t>
      </w:r>
    </w:p>
    <w:p>
      <w:pPr>
        <w:pStyle w:val="ListNumber"/>
      </w:pPr>
      <w:r/>
      <w:r>
        <w:rPr>
          <w:b/>
        </w:rPr>
        <w:t>Human-in-the-loop</w:t>
      </w:r>
      <w:r>
        <w:t xml:space="preserve"> — AI proponuje, człowiek decyduje</w:t>
      </w:r>
    </w:p>
    <w:p>
      <w:pPr>
        <w:pStyle w:val="ListNumber"/>
      </w:pPr>
      <w:r/>
      <w:r>
        <w:rPr>
          <w:b/>
        </w:rPr>
        <w:t>Domain-specific prompts</w:t>
      </w:r>
      <w:r>
        <w:t xml:space="preserve"> — 86 reguł tłumaczenia specyficznych dla ETPCz</w:t>
      </w:r>
    </w:p>
    <w:p>
      <w:pPr>
        <w:pStyle w:val="ListNumber"/>
      </w:pPr>
      <w:r/>
      <w:r>
        <w:rPr>
          <w:b/>
        </w:rPr>
        <w:t>Feedback loop</w:t>
      </w:r>
      <w:r>
        <w:t xml:space="preserve"> — zatwierdzone terminy wracają do TM</w:t>
      </w:r>
    </w:p>
    <w:p>
      <w:pPr>
        <w:pStyle w:val="ListNumber"/>
      </w:pPr>
      <w:r/>
      <w:r>
        <w:rPr>
          <w:b/>
        </w:rPr>
        <w:t>Format fidelity</w:t>
      </w:r>
      <w:r>
        <w:t xml:space="preserve"> — zachowanie oryginalnego formatowania DOCX</w:t>
      </w:r>
    </w:p>
    <w:p>
      <w:r>
        <w:t>System pokazuje, że AI może znacząco przyspieszyć pracę tłumaczy specjalistycznych, nie zastępując ich ekspertyzy, lecz wzbogacając ich workflow o automatyczne badanie orzecznictwa i propozycje terminologiczne.</w:t>
      </w:r>
    </w:p>
    <w:p/>
    <w:p>
      <w:r/>
      <w:r>
        <w:rPr>
          <w:b/>
        </w:rPr>
        <w:t>Repozytorium</w:t>
      </w:r>
      <w:r>
        <w:t>: [github.com/wojtwol/ecthr-translator](https://github.com/wojtwol/ecthr-translator)</w:t>
      </w:r>
    </w:p>
    <w:p>
      <w:r/>
      <w:r>
        <w:rPr>
          <w:b/>
        </w:rPr>
        <w:t>Technologie</w:t>
      </w:r>
      <w:r>
        <w:t>: Python 3.11, FastAPI, React 18, Anthropic Claude, SQLAlchemy, WebSocket</w:t>
      </w:r>
    </w:p>
    <w:p>
      <w:r/>
      <w:r>
        <w:rPr>
          <w:b/>
        </w:rPr>
        <w:t>Licencja</w:t>
      </w:r>
      <w:r>
        <w:t>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