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1"/>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78A8A0F7" w14:textId="39EDAA9E" w:rsidR="00CC6373" w:rsidRPr="009A0449" w:rsidRDefault="00F551E8" w:rsidP="009A0449">
      <w:pPr>
        <w:pStyle w:val="CAEP1"/>
        <w:rPr>
          <w:sz w:val="44"/>
          <w:szCs w:val="44"/>
        </w:rPr>
      </w:pPr>
      <w:bookmarkStart w:id="0" w:name="_Toc129695392"/>
      <w:r w:rsidRPr="009A0449">
        <w:rPr>
          <w:rFonts w:hint="eastAsia"/>
          <w:sz w:val="44"/>
          <w:szCs w:val="44"/>
        </w:rPr>
        <w:t>加利福尼亚州</w:t>
      </w:r>
      <w:r w:rsidR="000E1DC1" w:rsidRPr="009A0449">
        <w:rPr>
          <w:rFonts w:hint="eastAsia"/>
          <w:sz w:val="44"/>
          <w:szCs w:val="44"/>
        </w:rPr>
        <w:t>法律解释</w:t>
      </w:r>
      <w:bookmarkEnd w:id="0"/>
    </w:p>
    <w:p w14:paraId="30FBDB68" w14:textId="582D44EF" w:rsidR="00DE645B" w:rsidRDefault="00DE645B" w:rsidP="00AF575E">
      <w:pPr>
        <w:pStyle w:val="TOC"/>
        <w:rPr>
          <w:rFonts w:hint="eastAsia"/>
        </w:rPr>
      </w:pPr>
    </w:p>
    <w:p w14:paraId="232C8B9D" w14:textId="2D1CE1F0" w:rsidR="000E1DC1" w:rsidRDefault="000E1DC1" w:rsidP="00897C6D">
      <w:pPr>
        <w:pStyle w:val="2"/>
        <w:numPr>
          <w:ilvl w:val="0"/>
          <w:numId w:val="0"/>
        </w:numPr>
      </w:pPr>
      <w:bookmarkStart w:id="1" w:name="_Toc129695393"/>
      <w:r w:rsidRPr="00AF575E">
        <w:rPr>
          <w:rFonts w:hint="eastAsia"/>
        </w:rPr>
        <w:t>第一章：司法执</w:t>
      </w:r>
      <w:r w:rsidRPr="00897C6D">
        <w:rPr>
          <w:rFonts w:hint="eastAsia"/>
        </w:rPr>
        <w:t>行程式</w:t>
      </w:r>
      <w:bookmarkEnd w:id="1"/>
    </w:p>
    <w:p w14:paraId="231236F8" w14:textId="78C5CEDD" w:rsidR="000E1DC1" w:rsidRPr="009A0449" w:rsidRDefault="000E1DC1" w:rsidP="00AF7B77">
      <w:pPr>
        <w:pStyle w:val="3"/>
      </w:pPr>
      <w:bookmarkStart w:id="2" w:name="第一章：司法执行程式"/>
      <w:r w:rsidRPr="009A0449">
        <w:rPr>
          <w:rFonts w:hint="eastAsia"/>
        </w:rPr>
        <w:t>正确使用《法典》</w:t>
      </w:r>
    </w:p>
    <w:bookmarkEnd w:id="2"/>
    <w:p w14:paraId="4E1B49E3" w14:textId="77777777" w:rsidR="000E1DC1" w:rsidRDefault="000E1DC1">
      <w:pPr>
        <w:pStyle w:val="CAEP5"/>
        <w:numPr>
          <w:ilvl w:val="0"/>
          <w:numId w:val="1"/>
        </w:numPr>
      </w:pPr>
      <w:r>
        <w:rPr>
          <w:rFonts w:hint="eastAsia"/>
        </w:rPr>
        <w:t>根据本条法律，所有对于违反《加利福尼亚州法典》的犯罪行为，行为人都应在本州范围内接受处罚；</w:t>
      </w:r>
    </w:p>
    <w:p w14:paraId="07EE6914" w14:textId="3AA83BBD" w:rsidR="000E1DC1" w:rsidRDefault="000E1DC1">
      <w:pPr>
        <w:pStyle w:val="CAEP5"/>
        <w:numPr>
          <w:ilvl w:val="0"/>
          <w:numId w:val="1"/>
        </w:numPr>
      </w:pPr>
      <w:r>
        <w:t>根据本条法律，所有对于违反《加利福尼亚州法典》的刑事犯罪行为，行为人都应在本州的监狱或惩教机构接受刑事处罚；</w:t>
      </w:r>
    </w:p>
    <w:p w14:paraId="1F0F5C67" w14:textId="63088ACA" w:rsidR="000E1DC1" w:rsidRDefault="000E1DC1">
      <w:pPr>
        <w:pStyle w:val="CAEP5"/>
        <w:numPr>
          <w:ilvl w:val="0"/>
          <w:numId w:val="1"/>
        </w:numPr>
      </w:pPr>
      <w:r>
        <w:t xml:space="preserve">根据本条法律，所有对于违反《加利福尼亚州法典》的犯罪行为，任何处罚都不得超出《加利福尼亚州法典》所规定的最高处罚标准； </w:t>
      </w:r>
    </w:p>
    <w:p w14:paraId="59C14C03" w14:textId="066CCD98" w:rsidR="000E1DC1" w:rsidRDefault="000E1DC1">
      <w:pPr>
        <w:pStyle w:val="CAEP5"/>
        <w:numPr>
          <w:ilvl w:val="0"/>
          <w:numId w:val="1"/>
        </w:numPr>
      </w:pPr>
      <w:r w:rsidRPr="000E1DC1">
        <w:rPr>
          <w:rFonts w:hint="eastAsia"/>
        </w:rPr>
        <w:t>《加利福尼亚州法典》中，对任何行为的定罪只需符合某节法律的一项解释，因为：</w:t>
      </w:r>
    </w:p>
    <w:p w14:paraId="524A9273" w14:textId="77777777" w:rsidR="00093CC5" w:rsidRDefault="00093CC5">
      <w:pPr>
        <w:pStyle w:val="CAEP5"/>
        <w:numPr>
          <w:ilvl w:val="1"/>
          <w:numId w:val="1"/>
        </w:numPr>
      </w:pPr>
      <w:r>
        <w:rPr>
          <w:rFonts w:hint="eastAsia"/>
        </w:rPr>
        <w:t>每节法律所规定的罪名可能存在多种解释；</w:t>
      </w:r>
    </w:p>
    <w:p w14:paraId="11E125EA" w14:textId="6FEAC4BE" w:rsidR="00093CC5" w:rsidRDefault="00093CC5">
      <w:pPr>
        <w:pStyle w:val="CAEP5"/>
        <w:numPr>
          <w:ilvl w:val="1"/>
          <w:numId w:val="1"/>
        </w:numPr>
      </w:pPr>
      <w:r>
        <w:t>即使对于存在不同解释的同一节法律，每个解释的后面都以"构成犯罪"结尾；</w:t>
      </w:r>
    </w:p>
    <w:p w14:paraId="1717ED41" w14:textId="229B1092" w:rsidR="00093CC5" w:rsidRDefault="00093CC5">
      <w:pPr>
        <w:pStyle w:val="CAEP5"/>
        <w:numPr>
          <w:ilvl w:val="1"/>
          <w:numId w:val="1"/>
        </w:numPr>
      </w:pPr>
      <w:r>
        <w:t>根据本条法律，除非另有规定，对于同一事件中可能构成的多个罪名的不同行为的处罚可以叠加，但是：</w:t>
      </w:r>
    </w:p>
    <w:p w14:paraId="23A29D22" w14:textId="77777777" w:rsidR="00093CC5" w:rsidRDefault="00093CC5">
      <w:pPr>
        <w:pStyle w:val="CAEP5"/>
        <w:numPr>
          <w:ilvl w:val="2"/>
          <w:numId w:val="1"/>
        </w:numPr>
      </w:pPr>
      <w:r>
        <w:rPr>
          <w:rFonts w:hint="eastAsia"/>
        </w:rPr>
        <w:t>这些行为应是连贯发生的，且每个行为之间的关联应具有明显的前因后果；</w:t>
      </w:r>
    </w:p>
    <w:p w14:paraId="3072E098" w14:textId="56D970B5" w:rsidR="00093CC5" w:rsidRDefault="00093CC5">
      <w:pPr>
        <w:pStyle w:val="CAEP5"/>
        <w:numPr>
          <w:ilvl w:val="2"/>
          <w:numId w:val="1"/>
        </w:numPr>
      </w:pPr>
      <w:r>
        <w:t>尽管处罚可以叠加，但是对于单节罪名的处罚不得超过该罪名的最高处罚标准；</w:t>
      </w:r>
    </w:p>
    <w:p w14:paraId="421EE662" w14:textId="29A61BE0" w:rsidR="00093CC5" w:rsidRDefault="00093CC5">
      <w:pPr>
        <w:pStyle w:val="CAEP5"/>
        <w:numPr>
          <w:ilvl w:val="2"/>
          <w:numId w:val="1"/>
        </w:numPr>
      </w:pPr>
      <w:r>
        <w:t>对于轻罪的叠加处罚不得超过一年监禁和/或$2000美元罚款；</w:t>
      </w:r>
    </w:p>
    <w:p w14:paraId="39E1B6BF" w14:textId="6AC4F827" w:rsidR="000E1DC1" w:rsidRPr="000E1DC1" w:rsidRDefault="00093CC5">
      <w:pPr>
        <w:pStyle w:val="CAEP5"/>
        <w:numPr>
          <w:ilvl w:val="2"/>
          <w:numId w:val="1"/>
        </w:numPr>
      </w:pPr>
      <w:r>
        <w:t>对于重罪的叠加处罚不得超过终身监禁且不得假释。</w:t>
      </w:r>
    </w:p>
    <w:p w14:paraId="5F511BA1" w14:textId="4A3F9F59" w:rsidR="00093CC5" w:rsidRPr="00AF575E" w:rsidRDefault="00093CC5" w:rsidP="009B3DA9">
      <w:pPr>
        <w:pStyle w:val="3"/>
        <w:rPr>
          <w:rStyle w:val="30"/>
        </w:rPr>
      </w:pPr>
      <w:r w:rsidRPr="00093CC5">
        <w:rPr>
          <w:rFonts w:hint="eastAsia"/>
        </w:rPr>
        <w:t>积</w:t>
      </w:r>
      <w:r w:rsidRPr="00AF575E">
        <w:rPr>
          <w:rStyle w:val="30"/>
          <w:rFonts w:hint="eastAsia"/>
        </w:rPr>
        <w:t>极性抗辩</w:t>
      </w:r>
    </w:p>
    <w:p w14:paraId="3B36A1E0" w14:textId="77777777" w:rsidR="00093CC5" w:rsidRDefault="00093CC5">
      <w:pPr>
        <w:pStyle w:val="CAEP5"/>
        <w:numPr>
          <w:ilvl w:val="0"/>
          <w:numId w:val="8"/>
        </w:numPr>
      </w:pPr>
      <w:r>
        <w:rPr>
          <w:rFonts w:hint="eastAsia"/>
        </w:rPr>
        <w:t>根据本条法律，被告人有责任尽早进行任何积极性辩护，并向相关人员陈述其辩护观点；</w:t>
      </w:r>
    </w:p>
    <w:p w14:paraId="3A5A8533" w14:textId="004B9125" w:rsidR="00093CC5" w:rsidRDefault="00093CC5">
      <w:pPr>
        <w:pStyle w:val="CAEP5"/>
        <w:numPr>
          <w:ilvl w:val="0"/>
          <w:numId w:val="8"/>
        </w:numPr>
      </w:pPr>
      <w:r>
        <w:t>根据本条法律，被告人不得因其抗辩理由而受到任何形式的处罚或起诉，当：</w:t>
      </w:r>
    </w:p>
    <w:p w14:paraId="4080F633" w14:textId="77777777" w:rsidR="00093CC5" w:rsidRDefault="00093CC5">
      <w:pPr>
        <w:pStyle w:val="CAEP5"/>
        <w:numPr>
          <w:ilvl w:val="1"/>
          <w:numId w:val="8"/>
        </w:numPr>
      </w:pPr>
      <w:r>
        <w:rPr>
          <w:rFonts w:hint="eastAsia"/>
        </w:rPr>
        <w:t>被告人已证明该抗辩理由是其进行被指控的违法犯罪行为的主要原因；</w:t>
      </w:r>
    </w:p>
    <w:p w14:paraId="57035A9C" w14:textId="070C6B30" w:rsidR="00093CC5" w:rsidRDefault="00093CC5">
      <w:pPr>
        <w:pStyle w:val="CAEP5"/>
        <w:numPr>
          <w:ilvl w:val="1"/>
          <w:numId w:val="8"/>
        </w:numPr>
      </w:pPr>
      <w:r>
        <w:t>被告人已表明该抗辩为积极性抗辩；</w:t>
      </w:r>
    </w:p>
    <w:p w14:paraId="1FB95E83" w14:textId="4B5A3EC2" w:rsidR="00093CC5" w:rsidRDefault="00093CC5" w:rsidP="009B3DA9">
      <w:pPr>
        <w:pStyle w:val="3"/>
      </w:pPr>
      <w:r w:rsidRPr="00093CC5">
        <w:rPr>
          <w:rFonts w:hint="eastAsia"/>
        </w:rPr>
        <w:t>警员执法程式</w:t>
      </w:r>
    </w:p>
    <w:p w14:paraId="18EC372E" w14:textId="77777777" w:rsidR="00093CC5" w:rsidRDefault="00093CC5">
      <w:pPr>
        <w:pStyle w:val="CAEP5"/>
        <w:numPr>
          <w:ilvl w:val="0"/>
          <w:numId w:val="9"/>
        </w:numPr>
      </w:pPr>
      <w:r>
        <w:rPr>
          <w:rFonts w:hint="eastAsia"/>
        </w:rPr>
        <w:t>根据本条法律，执法人员在确认行为人的行为是否已构成犯罪时，应严格遵守本节法律之规定，否则收集到的任何证据将失去其法律效力；</w:t>
      </w:r>
    </w:p>
    <w:p w14:paraId="390D97C2" w14:textId="633544A7" w:rsidR="00093CC5" w:rsidRDefault="00093CC5">
      <w:pPr>
        <w:pStyle w:val="CAEP5"/>
        <w:numPr>
          <w:ilvl w:val="0"/>
          <w:numId w:val="9"/>
        </w:numPr>
      </w:pPr>
      <w:r>
        <w:t>根据本条法律，收集证据的过程必须合法；</w:t>
      </w:r>
    </w:p>
    <w:p w14:paraId="5983C238" w14:textId="519F315B" w:rsidR="00093CC5" w:rsidRDefault="00093CC5">
      <w:pPr>
        <w:pStyle w:val="CAEP5"/>
        <w:numPr>
          <w:ilvl w:val="0"/>
          <w:numId w:val="9"/>
        </w:numPr>
      </w:pPr>
      <w:r>
        <w:t>根据本条法律，执法人员只有观察到违法犯罪行为时，才有权扣留或逮捕他人。此外，观察到违法犯罪行为的执法人员与扣留或逮捕他人的执法人员可以不是同一人；</w:t>
      </w:r>
    </w:p>
    <w:p w14:paraId="2C6D7286" w14:textId="220269BD" w:rsidR="00093CC5" w:rsidRDefault="00093CC5">
      <w:pPr>
        <w:pStyle w:val="CAEP5"/>
        <w:numPr>
          <w:ilvl w:val="0"/>
          <w:numId w:val="9"/>
        </w:numPr>
      </w:pPr>
      <w:r>
        <w:t>根据本条法律，执法人员在对已被拘留或逮捕的可疑人员进行询问之前，必须要依法告知其权利：</w:t>
      </w:r>
    </w:p>
    <w:p w14:paraId="11BAB351" w14:textId="20CB838B" w:rsidR="00093CC5" w:rsidRDefault="00093CC5">
      <w:pPr>
        <w:pStyle w:val="CAEP5"/>
        <w:numPr>
          <w:ilvl w:val="1"/>
          <w:numId w:val="9"/>
        </w:numPr>
      </w:pPr>
      <w:r>
        <w:rPr>
          <w:rFonts w:hint="eastAsia"/>
        </w:rPr>
        <w:t>被询问的可疑人员有权随时行使其任何法定权利；</w:t>
      </w:r>
    </w:p>
    <w:p w14:paraId="427DD476" w14:textId="3A82208C" w:rsidR="00093CC5" w:rsidRDefault="00093CC5">
      <w:pPr>
        <w:pStyle w:val="CAEP5"/>
        <w:numPr>
          <w:ilvl w:val="1"/>
          <w:numId w:val="9"/>
        </w:numPr>
      </w:pPr>
      <w:r>
        <w:t>被询问的可疑人员有权保持沉默；</w:t>
      </w:r>
    </w:p>
    <w:p w14:paraId="704C88E2" w14:textId="5B6A6315" w:rsidR="00093CC5" w:rsidRDefault="00093CC5">
      <w:pPr>
        <w:pStyle w:val="CAEP5"/>
        <w:numPr>
          <w:ilvl w:val="1"/>
          <w:numId w:val="9"/>
        </w:numPr>
      </w:pPr>
      <w:r>
        <w:t>若被询问的可疑人员不保持沉默，则其一切言论均可在法庭上作为证据；</w:t>
      </w:r>
    </w:p>
    <w:p w14:paraId="432C3406" w14:textId="1B67F2B9" w:rsidR="00093CC5" w:rsidRDefault="00093CC5">
      <w:pPr>
        <w:pStyle w:val="CAEP5"/>
        <w:numPr>
          <w:ilvl w:val="1"/>
          <w:numId w:val="9"/>
        </w:numPr>
      </w:pPr>
      <w:r>
        <w:t>被询问的可疑人员有权聘请律师；</w:t>
      </w:r>
    </w:p>
    <w:p w14:paraId="11D48FA4" w14:textId="4D32FA8F" w:rsidR="00093CC5" w:rsidRDefault="00093CC5">
      <w:pPr>
        <w:pStyle w:val="CAEP5"/>
        <w:numPr>
          <w:ilvl w:val="1"/>
          <w:numId w:val="9"/>
        </w:numPr>
      </w:pPr>
      <w:r>
        <w:t>若被询问的可疑人员无条件聘请律师，有关部门将会为其指派一名免费的法律援助律师；</w:t>
      </w:r>
    </w:p>
    <w:p w14:paraId="5EACA16B" w14:textId="0F83D153" w:rsidR="00093CC5" w:rsidRPr="00093CC5" w:rsidRDefault="00093CC5">
      <w:pPr>
        <w:pStyle w:val="CAEP5"/>
        <w:numPr>
          <w:ilvl w:val="1"/>
          <w:numId w:val="9"/>
        </w:numPr>
      </w:pPr>
      <w:r>
        <w:t>根据本条法律，</w:t>
      </w:r>
      <w:proofErr w:type="gramStart"/>
      <w:r>
        <w:t>若执法</w:t>
      </w:r>
      <w:proofErr w:type="gramEnd"/>
      <w:r>
        <w:t>人员要对他人进行逮捕，则必须向其宣告其罪名。需注意，执法人员无需向其告知全部的罪名。若该人仍有待决罪名，或任何需要后续调查的可能构成违法犯罪的行为，执法人员应依法向其告知；</w:t>
      </w:r>
    </w:p>
    <w:p w14:paraId="2170D459" w14:textId="5AC409A0" w:rsidR="00093CC5" w:rsidRDefault="00093CC5" w:rsidP="009B3DA9">
      <w:pPr>
        <w:pStyle w:val="3"/>
      </w:pPr>
      <w:r w:rsidRPr="00093CC5">
        <w:rPr>
          <w:rFonts w:hint="eastAsia"/>
        </w:rPr>
        <w:t>警员的合法出入</w:t>
      </w:r>
    </w:p>
    <w:p w14:paraId="47004168" w14:textId="48BF59FC" w:rsidR="00093CC5" w:rsidRDefault="00093CC5">
      <w:pPr>
        <w:pStyle w:val="CAEP5"/>
        <w:numPr>
          <w:ilvl w:val="0"/>
          <w:numId w:val="10"/>
        </w:numPr>
      </w:pPr>
      <w:r>
        <w:rPr>
          <w:rFonts w:hint="eastAsia"/>
        </w:rPr>
        <w:t>根据本条法律，执法人员可以合法进入任何对公众开放的区域；</w:t>
      </w:r>
    </w:p>
    <w:p w14:paraId="6FDA0234" w14:textId="3759D58B" w:rsidR="00093CC5" w:rsidRDefault="00093CC5">
      <w:pPr>
        <w:pStyle w:val="CAEP5"/>
        <w:numPr>
          <w:ilvl w:val="0"/>
          <w:numId w:val="10"/>
        </w:numPr>
      </w:pPr>
      <w:r>
        <w:t>根据本条法律，执法人员可以进入租客、房东或房产代理人所允许进入的区域；</w:t>
      </w:r>
    </w:p>
    <w:p w14:paraId="5FCF48F1" w14:textId="697FA03B" w:rsidR="00093CC5" w:rsidRDefault="00093CC5">
      <w:pPr>
        <w:pStyle w:val="CAEP5"/>
        <w:numPr>
          <w:ilvl w:val="0"/>
          <w:numId w:val="10"/>
        </w:numPr>
      </w:pPr>
      <w:r>
        <w:t>根据本条法律，执法人员在以追逐或逮捕嫌犯为目的的应急回应状态时，进入任何区域都是合法的；</w:t>
      </w:r>
    </w:p>
    <w:p w14:paraId="514D5BEE" w14:textId="189BB150" w:rsidR="00093CC5" w:rsidRDefault="00093CC5" w:rsidP="009B3DA9">
      <w:pPr>
        <w:pStyle w:val="3"/>
      </w:pPr>
      <w:r w:rsidRPr="00093CC5">
        <w:rPr>
          <w:rFonts w:hint="eastAsia"/>
        </w:rPr>
        <w:t>对人的搜查</w:t>
      </w:r>
    </w:p>
    <w:p w14:paraId="7580809F" w14:textId="77777777" w:rsidR="00093CC5" w:rsidRDefault="00093CC5">
      <w:pPr>
        <w:pStyle w:val="CAEP5"/>
        <w:numPr>
          <w:ilvl w:val="0"/>
          <w:numId w:val="11"/>
        </w:numPr>
      </w:pPr>
      <w:proofErr w:type="gramStart"/>
      <w:r>
        <w:rPr>
          <w:rFonts w:hint="eastAsia"/>
        </w:rPr>
        <w:t>根根据</w:t>
      </w:r>
      <w:proofErr w:type="gramEnd"/>
      <w:r>
        <w:rPr>
          <w:rFonts w:hint="eastAsia"/>
        </w:rPr>
        <w:t>本条法律，</w:t>
      </w:r>
      <w:proofErr w:type="gramStart"/>
      <w:r>
        <w:rPr>
          <w:rFonts w:hint="eastAsia"/>
        </w:rPr>
        <w:t>当下列</w:t>
      </w:r>
      <w:proofErr w:type="gramEnd"/>
      <w:r>
        <w:rPr>
          <w:rFonts w:hint="eastAsia"/>
        </w:rPr>
        <w:t>情况发生时，执法人员有权对他人进行搜查：</w:t>
      </w:r>
    </w:p>
    <w:p w14:paraId="5DD33910" w14:textId="2D244143" w:rsidR="00093CC5" w:rsidRDefault="00093CC5">
      <w:pPr>
        <w:pStyle w:val="CAEP5"/>
        <w:numPr>
          <w:ilvl w:val="1"/>
          <w:numId w:val="11"/>
        </w:numPr>
      </w:pPr>
      <w:r>
        <w:t>当执法人员合理地怀疑其拥有武器时，可以对其进行防备性搜身；</w:t>
      </w:r>
    </w:p>
    <w:p w14:paraId="0B410AD5" w14:textId="62E873EA" w:rsidR="00093CC5" w:rsidRDefault="00093CC5">
      <w:pPr>
        <w:pStyle w:val="CAEP5"/>
        <w:numPr>
          <w:ilvl w:val="1"/>
          <w:numId w:val="11"/>
        </w:numPr>
      </w:pPr>
      <w:r>
        <w:t>其本人或其监护人已同意执法人员进行搜查时；</w:t>
      </w:r>
    </w:p>
    <w:p w14:paraId="5949560F" w14:textId="0AB3CA47" w:rsidR="00093CC5" w:rsidRDefault="00093CC5">
      <w:pPr>
        <w:pStyle w:val="CAEP5"/>
        <w:numPr>
          <w:ilvl w:val="1"/>
          <w:numId w:val="11"/>
        </w:numPr>
      </w:pPr>
      <w:r>
        <w:t>当其已被执法人员逮捕时；</w:t>
      </w:r>
    </w:p>
    <w:p w14:paraId="6D775EA1" w14:textId="2E63B958" w:rsidR="00093CC5" w:rsidRDefault="00093CC5">
      <w:pPr>
        <w:pStyle w:val="CAEP5"/>
        <w:numPr>
          <w:ilvl w:val="1"/>
          <w:numId w:val="11"/>
        </w:numPr>
      </w:pPr>
      <w:r>
        <w:t>当执法人员持合法的搜查令时；</w:t>
      </w:r>
    </w:p>
    <w:p w14:paraId="3E0C07BF" w14:textId="76037A33" w:rsidR="00093CC5" w:rsidRDefault="00093CC5">
      <w:pPr>
        <w:pStyle w:val="CAEP5"/>
        <w:numPr>
          <w:ilvl w:val="1"/>
          <w:numId w:val="11"/>
        </w:numPr>
      </w:pPr>
      <w:r>
        <w:t>当执法人员持合法的逮捕令时；</w:t>
      </w:r>
    </w:p>
    <w:p w14:paraId="5F3FAA99" w14:textId="6DBCB551" w:rsidR="00093CC5" w:rsidRDefault="00093CC5" w:rsidP="009B3DA9">
      <w:pPr>
        <w:pStyle w:val="3"/>
      </w:pPr>
      <w:r w:rsidRPr="00093CC5">
        <w:rPr>
          <w:rFonts w:hint="eastAsia"/>
        </w:rPr>
        <w:t>对财产的搜查</w:t>
      </w:r>
    </w:p>
    <w:p w14:paraId="642AF681" w14:textId="798C973A" w:rsidR="00093CC5" w:rsidRDefault="00093CC5">
      <w:pPr>
        <w:pStyle w:val="CAEP5"/>
        <w:numPr>
          <w:ilvl w:val="0"/>
          <w:numId w:val="12"/>
        </w:numPr>
      </w:pPr>
      <w:r w:rsidRPr="00093CC5">
        <w:rPr>
          <w:rFonts w:hint="eastAsia"/>
        </w:rPr>
        <w:t>根据本条法律，</w:t>
      </w:r>
      <w:proofErr w:type="gramStart"/>
      <w:r w:rsidRPr="00093CC5">
        <w:rPr>
          <w:rFonts w:hint="eastAsia"/>
        </w:rPr>
        <w:t>当下列</w:t>
      </w:r>
      <w:proofErr w:type="gramEnd"/>
      <w:r w:rsidRPr="00093CC5">
        <w:rPr>
          <w:rFonts w:hint="eastAsia"/>
        </w:rPr>
        <w:t>情况发生时，执法人员有权对他人的财产进行搜查：</w:t>
      </w:r>
    </w:p>
    <w:p w14:paraId="521DD883" w14:textId="77777777" w:rsidR="00093CC5" w:rsidRDefault="00093CC5">
      <w:pPr>
        <w:pStyle w:val="CAEP5"/>
        <w:numPr>
          <w:ilvl w:val="1"/>
          <w:numId w:val="12"/>
        </w:numPr>
      </w:pPr>
      <w:r>
        <w:rPr>
          <w:rFonts w:hint="eastAsia"/>
        </w:rPr>
        <w:t>若某车辆的乘客被逮捕，且该乘客非该车辆的所有者，</w:t>
      </w:r>
      <w:proofErr w:type="gramStart"/>
      <w:r>
        <w:rPr>
          <w:rFonts w:hint="eastAsia"/>
        </w:rPr>
        <w:t>则执法</w:t>
      </w:r>
      <w:proofErr w:type="gramEnd"/>
      <w:r>
        <w:rPr>
          <w:rFonts w:hint="eastAsia"/>
        </w:rPr>
        <w:t>人员只能搜查该乘客乘坐的区域；</w:t>
      </w:r>
    </w:p>
    <w:p w14:paraId="5E07EE55" w14:textId="575DD518" w:rsidR="00093CC5" w:rsidRDefault="00093CC5">
      <w:pPr>
        <w:pStyle w:val="CAEP5"/>
        <w:numPr>
          <w:ilvl w:val="1"/>
          <w:numId w:val="12"/>
        </w:numPr>
      </w:pPr>
      <w:r>
        <w:t>当执法人员进入任何由刑法9-4条规定的区域时，可以使用一目了然法则对该区域进行搜查；</w:t>
      </w:r>
    </w:p>
    <w:p w14:paraId="714F1D6D" w14:textId="45C4EBFC" w:rsidR="00093CC5" w:rsidRDefault="00093CC5">
      <w:pPr>
        <w:pStyle w:val="CAEP5"/>
        <w:numPr>
          <w:ilvl w:val="1"/>
          <w:numId w:val="12"/>
        </w:numPr>
      </w:pPr>
      <w:r>
        <w:t>当租客、房东或房产代理人已同意执法人员进行搜查时；</w:t>
      </w:r>
    </w:p>
    <w:p w14:paraId="0328C3AE" w14:textId="2E9DFC76" w:rsidR="00093CC5" w:rsidRDefault="00093CC5">
      <w:pPr>
        <w:pStyle w:val="CAEP5"/>
        <w:numPr>
          <w:ilvl w:val="1"/>
          <w:numId w:val="12"/>
        </w:numPr>
      </w:pPr>
      <w:r>
        <w:t>当执法人员持合法的搜查令时；</w:t>
      </w:r>
    </w:p>
    <w:p w14:paraId="4DE79F09" w14:textId="5955D1E3" w:rsidR="00093CC5" w:rsidRDefault="00093CC5">
      <w:pPr>
        <w:pStyle w:val="CAEP5"/>
        <w:numPr>
          <w:ilvl w:val="1"/>
          <w:numId w:val="12"/>
        </w:numPr>
      </w:pPr>
      <w:r>
        <w:t>当执法人员有任何合法理由允许其进行紧急搜查时；</w:t>
      </w:r>
    </w:p>
    <w:p w14:paraId="5FB1DE46" w14:textId="7C2381CA" w:rsidR="00093CC5" w:rsidRDefault="00093CC5">
      <w:pPr>
        <w:pStyle w:val="CAEP5"/>
        <w:numPr>
          <w:ilvl w:val="1"/>
          <w:numId w:val="12"/>
        </w:numPr>
      </w:pPr>
      <w:r>
        <w:t>当执法人员对财产所有者或租客进行逮捕后；</w:t>
      </w:r>
    </w:p>
    <w:p w14:paraId="61E864AE" w14:textId="51404D80" w:rsidR="00093CC5" w:rsidRDefault="00093CC5" w:rsidP="009B3DA9">
      <w:pPr>
        <w:pStyle w:val="3"/>
      </w:pPr>
      <w:r w:rsidRPr="00093CC5">
        <w:rPr>
          <w:rFonts w:hint="eastAsia"/>
        </w:rPr>
        <w:t>搜查令</w:t>
      </w:r>
    </w:p>
    <w:p w14:paraId="2B6B5EDF" w14:textId="6C764120" w:rsidR="00093CC5" w:rsidRDefault="00093CC5">
      <w:pPr>
        <w:pStyle w:val="CAEP5"/>
        <w:numPr>
          <w:ilvl w:val="0"/>
          <w:numId w:val="13"/>
        </w:numPr>
      </w:pPr>
      <w:r w:rsidRPr="00093CC5">
        <w:rPr>
          <w:rFonts w:hint="eastAsia"/>
        </w:rPr>
        <w:t>根据本条法律，任何搜查令的签发都由加利福尼亚州法院进行处理。在申请搜查令时，执法人员应提交的内容包括：</w:t>
      </w:r>
    </w:p>
    <w:p w14:paraId="60824AB8" w14:textId="77777777" w:rsidR="006C2B5E" w:rsidRDefault="006C2B5E">
      <w:pPr>
        <w:pStyle w:val="CAEP5"/>
        <w:numPr>
          <w:ilvl w:val="1"/>
          <w:numId w:val="13"/>
        </w:numPr>
      </w:pPr>
      <w:r>
        <w:rPr>
          <w:rFonts w:hint="eastAsia"/>
        </w:rPr>
        <w:t>搜查区域；</w:t>
      </w:r>
    </w:p>
    <w:p w14:paraId="01794CAA" w14:textId="74954A5A" w:rsidR="006C2B5E" w:rsidRDefault="006C2B5E">
      <w:pPr>
        <w:pStyle w:val="CAEP5"/>
        <w:numPr>
          <w:ilvl w:val="1"/>
          <w:numId w:val="13"/>
        </w:numPr>
      </w:pPr>
      <w:r>
        <w:t>搜查内容；</w:t>
      </w:r>
    </w:p>
    <w:p w14:paraId="257EC4BD" w14:textId="36D3C0B9" w:rsidR="006C2B5E" w:rsidRDefault="006C2B5E">
      <w:pPr>
        <w:pStyle w:val="CAEP5"/>
        <w:numPr>
          <w:ilvl w:val="1"/>
          <w:numId w:val="13"/>
        </w:numPr>
      </w:pPr>
      <w:r>
        <w:t>搜查原因；</w:t>
      </w:r>
    </w:p>
    <w:p w14:paraId="02D785E7" w14:textId="1E525409" w:rsidR="00093CC5" w:rsidRDefault="006C2B5E">
      <w:pPr>
        <w:pStyle w:val="CAEP5"/>
        <w:numPr>
          <w:ilvl w:val="1"/>
          <w:numId w:val="13"/>
        </w:numPr>
      </w:pPr>
      <w:r>
        <w:t>可能涉及到的罪名及其性质；</w:t>
      </w:r>
    </w:p>
    <w:p w14:paraId="576EA221" w14:textId="5EF8813D" w:rsidR="006C2B5E" w:rsidRDefault="006C2B5E">
      <w:pPr>
        <w:pStyle w:val="CAEP5"/>
        <w:numPr>
          <w:ilvl w:val="0"/>
          <w:numId w:val="13"/>
        </w:numPr>
      </w:pPr>
      <w:r w:rsidRPr="006C2B5E">
        <w:rPr>
          <w:rFonts w:hint="eastAsia"/>
        </w:rPr>
        <w:t>根据本条法律，搜查令的签发需遵守以下原则：</w:t>
      </w:r>
    </w:p>
    <w:p w14:paraId="5FAED522" w14:textId="77777777" w:rsidR="006C2B5E" w:rsidRDefault="006C2B5E">
      <w:pPr>
        <w:pStyle w:val="CAEP5"/>
        <w:numPr>
          <w:ilvl w:val="1"/>
          <w:numId w:val="13"/>
        </w:numPr>
      </w:pPr>
      <w:r>
        <w:rPr>
          <w:rFonts w:hint="eastAsia"/>
        </w:rPr>
        <w:t>现有证据可以证明搜查令的被执行人涉嫌违法犯罪；</w:t>
      </w:r>
    </w:p>
    <w:p w14:paraId="2640D209" w14:textId="790915E0" w:rsidR="00093CC5" w:rsidRDefault="006C2B5E">
      <w:pPr>
        <w:pStyle w:val="CAEP5"/>
        <w:numPr>
          <w:ilvl w:val="1"/>
          <w:numId w:val="13"/>
        </w:numPr>
      </w:pPr>
      <w:r>
        <w:t>被搜查的内容可以证明搜查令的被执行人违法犯罪；</w:t>
      </w:r>
    </w:p>
    <w:p w14:paraId="6CE9058B" w14:textId="5ABA1031" w:rsidR="006C2B5E" w:rsidRDefault="006C2B5E" w:rsidP="009B3DA9">
      <w:pPr>
        <w:pStyle w:val="3"/>
      </w:pPr>
      <w:r w:rsidRPr="006C2B5E">
        <w:rPr>
          <w:rFonts w:hint="eastAsia"/>
        </w:rPr>
        <w:t>扣留和逮捕</w:t>
      </w:r>
    </w:p>
    <w:p w14:paraId="4286A519" w14:textId="69D2E49E" w:rsidR="006C2B5E" w:rsidRDefault="006C2B5E">
      <w:pPr>
        <w:pStyle w:val="CAEP5"/>
        <w:numPr>
          <w:ilvl w:val="0"/>
          <w:numId w:val="14"/>
        </w:numPr>
      </w:pPr>
      <w:r w:rsidRPr="006C2B5E">
        <w:rPr>
          <w:rFonts w:hint="eastAsia"/>
        </w:rPr>
        <w:t>根据本条法律，执法人员在扣留他人时，需满足下述情况之一</w:t>
      </w:r>
      <w:r w:rsidRPr="00093CC5">
        <w:rPr>
          <w:rFonts w:hint="eastAsia"/>
        </w:rPr>
        <w:t>：</w:t>
      </w:r>
    </w:p>
    <w:p w14:paraId="1BFE3E8B" w14:textId="77777777" w:rsidR="006C2B5E" w:rsidRDefault="006C2B5E">
      <w:pPr>
        <w:pStyle w:val="CAEP5"/>
        <w:numPr>
          <w:ilvl w:val="1"/>
          <w:numId w:val="14"/>
        </w:numPr>
      </w:pPr>
      <w:r>
        <w:rPr>
          <w:rFonts w:hint="eastAsia"/>
        </w:rPr>
        <w:t>通过执法人员的直接观察或他人提供的证据，其本人可能涉嫌违法犯罪；</w:t>
      </w:r>
    </w:p>
    <w:p w14:paraId="03B219E4" w14:textId="4032D9B4" w:rsidR="006C2B5E" w:rsidRDefault="006C2B5E">
      <w:pPr>
        <w:pStyle w:val="CAEP5"/>
        <w:numPr>
          <w:ilvl w:val="1"/>
          <w:numId w:val="14"/>
        </w:numPr>
      </w:pPr>
      <w:r>
        <w:t>执法人员合理怀疑现场已经发生了违法犯罪事件；</w:t>
      </w:r>
    </w:p>
    <w:p w14:paraId="43123016" w14:textId="3B3A2E85" w:rsidR="006C2B5E" w:rsidRDefault="006C2B5E">
      <w:pPr>
        <w:pStyle w:val="CAEP5"/>
        <w:numPr>
          <w:ilvl w:val="1"/>
          <w:numId w:val="14"/>
        </w:numPr>
      </w:pPr>
      <w:r>
        <w:t>法院已对其签发了传票；</w:t>
      </w:r>
    </w:p>
    <w:p w14:paraId="2BCB8FD7" w14:textId="100117D6" w:rsidR="006C2B5E" w:rsidRDefault="006C2B5E">
      <w:pPr>
        <w:pStyle w:val="CAEP5"/>
        <w:numPr>
          <w:ilvl w:val="0"/>
          <w:numId w:val="14"/>
        </w:numPr>
      </w:pPr>
      <w:r w:rsidRPr="006C2B5E">
        <w:rPr>
          <w:rFonts w:hint="eastAsia"/>
        </w:rPr>
        <w:t>根据本条法律，扣留他人的时间不应超过下述情况中所需最短的时间：</w:t>
      </w:r>
    </w:p>
    <w:p w14:paraId="249B2D16" w14:textId="77777777" w:rsidR="006C2B5E" w:rsidRDefault="006C2B5E">
      <w:pPr>
        <w:pStyle w:val="CAEP5"/>
        <w:numPr>
          <w:ilvl w:val="1"/>
          <w:numId w:val="14"/>
        </w:numPr>
      </w:pPr>
      <w:r>
        <w:rPr>
          <w:rFonts w:hint="eastAsia"/>
        </w:rPr>
        <w:t>现对其本人和其车辆的搜查；</w:t>
      </w:r>
    </w:p>
    <w:p w14:paraId="701D72D7" w14:textId="36FC3061" w:rsidR="006C2B5E" w:rsidRDefault="006C2B5E">
      <w:pPr>
        <w:pStyle w:val="CAEP5"/>
        <w:numPr>
          <w:ilvl w:val="1"/>
          <w:numId w:val="14"/>
        </w:numPr>
      </w:pPr>
      <w:r>
        <w:t>执法人员对自己合理怀疑进行的调查；</w:t>
      </w:r>
    </w:p>
    <w:p w14:paraId="34CB97BE" w14:textId="06DF1383" w:rsidR="006C2B5E" w:rsidRDefault="006C2B5E">
      <w:pPr>
        <w:pStyle w:val="CAEP5"/>
        <w:numPr>
          <w:ilvl w:val="1"/>
          <w:numId w:val="14"/>
        </w:numPr>
      </w:pPr>
      <w:r>
        <w:t>查找或复查资料和资讯的时间；</w:t>
      </w:r>
    </w:p>
    <w:p w14:paraId="03355ADD" w14:textId="03D8BE07" w:rsidR="006C2B5E" w:rsidRDefault="006C2B5E">
      <w:pPr>
        <w:pStyle w:val="CAEP5"/>
        <w:numPr>
          <w:ilvl w:val="1"/>
          <w:numId w:val="14"/>
        </w:numPr>
      </w:pPr>
      <w:r>
        <w:t>法院传票所规定的时间；</w:t>
      </w:r>
    </w:p>
    <w:p w14:paraId="2CFEBC48" w14:textId="3B729DD0" w:rsidR="006C2B5E" w:rsidRDefault="006C2B5E">
      <w:pPr>
        <w:pStyle w:val="CAEP5"/>
        <w:numPr>
          <w:ilvl w:val="0"/>
          <w:numId w:val="14"/>
        </w:numPr>
      </w:pPr>
      <w:r w:rsidRPr="006C2B5E">
        <w:rPr>
          <w:rFonts w:hint="eastAsia"/>
        </w:rPr>
        <w:t>根据本条法律，任何扣留行为不得超过十五分钟，以下情况除外：</w:t>
      </w:r>
    </w:p>
    <w:p w14:paraId="082E563D" w14:textId="77777777" w:rsidR="006C2B5E" w:rsidRDefault="006C2B5E">
      <w:pPr>
        <w:pStyle w:val="CAEP5"/>
        <w:numPr>
          <w:ilvl w:val="1"/>
          <w:numId w:val="14"/>
        </w:numPr>
      </w:pPr>
      <w:r>
        <w:rPr>
          <w:rFonts w:hint="eastAsia"/>
        </w:rPr>
        <w:t>法院传票所规定的时间超过十五分钟时；</w:t>
      </w:r>
    </w:p>
    <w:p w14:paraId="74AF11BD" w14:textId="23955EB1" w:rsidR="006C2B5E" w:rsidRDefault="006C2B5E">
      <w:pPr>
        <w:pStyle w:val="CAEP5"/>
        <w:numPr>
          <w:ilvl w:val="1"/>
          <w:numId w:val="14"/>
        </w:numPr>
      </w:pPr>
      <w:r>
        <w:t>需要进一步询问；</w:t>
      </w:r>
    </w:p>
    <w:p w14:paraId="371CF9CC" w14:textId="26BD823D" w:rsidR="006C2B5E" w:rsidRDefault="006C2B5E">
      <w:pPr>
        <w:pStyle w:val="CAEP5"/>
        <w:numPr>
          <w:ilvl w:val="1"/>
          <w:numId w:val="14"/>
        </w:numPr>
      </w:pPr>
      <w:r>
        <w:t>警探部门以调查重大刑事案件为目的，与其进行的扣留谈话；</w:t>
      </w:r>
    </w:p>
    <w:p w14:paraId="4F3A2411" w14:textId="6A72D728" w:rsidR="006C2B5E" w:rsidRDefault="006C2B5E">
      <w:pPr>
        <w:pStyle w:val="CAEP5"/>
        <w:numPr>
          <w:ilvl w:val="0"/>
          <w:numId w:val="14"/>
        </w:numPr>
      </w:pPr>
      <w:r w:rsidRPr="006C2B5E">
        <w:rPr>
          <w:rFonts w:hint="eastAsia"/>
        </w:rPr>
        <w:t>跟据本法律，执法人员在逮捕他人时，需满足下述情况之一：</w:t>
      </w:r>
    </w:p>
    <w:p w14:paraId="15B64F65" w14:textId="77777777" w:rsidR="006C2B5E" w:rsidRDefault="006C2B5E">
      <w:pPr>
        <w:pStyle w:val="CAEP5"/>
        <w:numPr>
          <w:ilvl w:val="1"/>
          <w:numId w:val="14"/>
        </w:numPr>
      </w:pPr>
      <w:r>
        <w:rPr>
          <w:rFonts w:hint="eastAsia"/>
        </w:rPr>
        <w:t>其本人的行为已经构成了任何轻罪或重罪；</w:t>
      </w:r>
    </w:p>
    <w:p w14:paraId="52B517DC" w14:textId="14F022B7" w:rsidR="006C2B5E" w:rsidRDefault="006C2B5E">
      <w:pPr>
        <w:pStyle w:val="CAEP5"/>
        <w:numPr>
          <w:ilvl w:val="1"/>
          <w:numId w:val="14"/>
        </w:numPr>
      </w:pPr>
      <w:r>
        <w:t>当执法人员持合法的逮捕令时；</w:t>
      </w:r>
    </w:p>
    <w:p w14:paraId="5B708D96" w14:textId="503B424F" w:rsidR="006C2B5E" w:rsidRDefault="006C2B5E">
      <w:pPr>
        <w:pStyle w:val="CAEP5"/>
        <w:numPr>
          <w:ilvl w:val="0"/>
          <w:numId w:val="14"/>
        </w:numPr>
      </w:pPr>
      <w:r w:rsidRPr="006C2B5E">
        <w:rPr>
          <w:rFonts w:hint="eastAsia"/>
        </w:rPr>
        <w:t>证人不得被拘留</w:t>
      </w:r>
      <w:r w:rsidRPr="006C2B5E">
        <w:t>- 如果没有合理怀疑表明被合法扣留的人参与犯罪，但可能是犯罪的证人，则不要求他们提供姓名或身份证明，未经他们同意，不得被扣留以进一步讯问；</w:t>
      </w:r>
    </w:p>
    <w:p w14:paraId="0E607AB8" w14:textId="44B10C0D" w:rsidR="006C2B5E" w:rsidRDefault="006C2B5E">
      <w:pPr>
        <w:pStyle w:val="CAEP5"/>
        <w:numPr>
          <w:ilvl w:val="0"/>
          <w:numId w:val="14"/>
        </w:numPr>
      </w:pPr>
      <w:r w:rsidRPr="006C2B5E">
        <w:rPr>
          <w:rFonts w:hint="eastAsia"/>
        </w:rPr>
        <w:t>在被合法扣留的期间内如果没有足够证据</w:t>
      </w:r>
      <w:r w:rsidRPr="006C2B5E">
        <w:t>/合理怀疑证明该人可能涉嫌犯罪的，应当立即释放该人；</w:t>
      </w:r>
    </w:p>
    <w:p w14:paraId="0EEF23E0" w14:textId="79B6D6B8" w:rsidR="006C2B5E" w:rsidRDefault="006C2B5E" w:rsidP="009B3DA9">
      <w:pPr>
        <w:pStyle w:val="3"/>
      </w:pPr>
      <w:r w:rsidRPr="006C2B5E">
        <w:rPr>
          <w:rFonts w:hint="eastAsia"/>
        </w:rPr>
        <w:t>逮捕令</w:t>
      </w:r>
    </w:p>
    <w:p w14:paraId="073FFC3B" w14:textId="46E02EAB" w:rsidR="006C2B5E" w:rsidRDefault="006C2B5E">
      <w:pPr>
        <w:pStyle w:val="CAEP5"/>
        <w:numPr>
          <w:ilvl w:val="0"/>
          <w:numId w:val="15"/>
        </w:numPr>
      </w:pPr>
      <w:r w:rsidRPr="006C2B5E">
        <w:rPr>
          <w:rFonts w:hint="eastAsia"/>
        </w:rPr>
        <w:t>根据本条法律，当执法人员有足够的证据证明他人的行为已构成犯罪，且需要将其抓捕归案时，由于其所在位置未知或为执法人员无法合法进入的区域，</w:t>
      </w:r>
      <w:proofErr w:type="gramStart"/>
      <w:r w:rsidRPr="006C2B5E">
        <w:rPr>
          <w:rFonts w:hint="eastAsia"/>
        </w:rPr>
        <w:t>则执法</w:t>
      </w:r>
      <w:proofErr w:type="gramEnd"/>
      <w:r w:rsidRPr="006C2B5E">
        <w:rPr>
          <w:rFonts w:hint="eastAsia"/>
        </w:rPr>
        <w:t>人员可以向法院申请逮捕令。在申请逮捕令时，执法人员应提交的内容包括</w:t>
      </w:r>
      <w:r w:rsidRPr="00093CC5">
        <w:rPr>
          <w:rFonts w:hint="eastAsia"/>
        </w:rPr>
        <w:t>：</w:t>
      </w:r>
    </w:p>
    <w:p w14:paraId="02B5AB4A" w14:textId="77777777" w:rsidR="006C2B5E" w:rsidRDefault="006C2B5E">
      <w:pPr>
        <w:pStyle w:val="CAEP5"/>
        <w:numPr>
          <w:ilvl w:val="1"/>
          <w:numId w:val="15"/>
        </w:numPr>
      </w:pPr>
      <w:r>
        <w:rPr>
          <w:rFonts w:hint="eastAsia"/>
        </w:rPr>
        <w:t>嫌疑人的姓名；</w:t>
      </w:r>
    </w:p>
    <w:p w14:paraId="0E78E47E" w14:textId="7AA85B16" w:rsidR="006C2B5E" w:rsidRDefault="006C2B5E">
      <w:pPr>
        <w:pStyle w:val="CAEP5"/>
        <w:numPr>
          <w:ilvl w:val="1"/>
          <w:numId w:val="15"/>
        </w:numPr>
      </w:pPr>
      <w:r>
        <w:t>嫌疑人涉嫌罪名；</w:t>
      </w:r>
    </w:p>
    <w:p w14:paraId="4EE26880" w14:textId="3C433DD8" w:rsidR="006C2B5E" w:rsidRDefault="006C2B5E">
      <w:pPr>
        <w:pStyle w:val="CAEP5"/>
        <w:numPr>
          <w:ilvl w:val="1"/>
          <w:numId w:val="15"/>
        </w:numPr>
      </w:pPr>
      <w:r>
        <w:t>用以确认其涉嫌犯罪的证据；</w:t>
      </w:r>
    </w:p>
    <w:p w14:paraId="5ECFE637" w14:textId="07860A3B" w:rsidR="006C2B5E" w:rsidRDefault="006C2B5E">
      <w:pPr>
        <w:pStyle w:val="CAEP5"/>
        <w:numPr>
          <w:ilvl w:val="1"/>
          <w:numId w:val="15"/>
        </w:numPr>
      </w:pPr>
      <w:r>
        <w:t>所涉事件的发生时间、地点及过程简述；</w:t>
      </w:r>
    </w:p>
    <w:p w14:paraId="545B07DF" w14:textId="19C0C083" w:rsidR="006C2B5E" w:rsidRDefault="006C2B5E">
      <w:pPr>
        <w:pStyle w:val="CAEP5"/>
        <w:numPr>
          <w:ilvl w:val="1"/>
          <w:numId w:val="15"/>
        </w:numPr>
      </w:pPr>
      <w:r>
        <w:t>其行为所构成的犯罪名称及所涉及的法律条目；</w:t>
      </w:r>
    </w:p>
    <w:p w14:paraId="4349D685" w14:textId="4F8AAE1C" w:rsidR="006C2B5E" w:rsidRDefault="006C2B5E">
      <w:pPr>
        <w:pStyle w:val="CAEP5"/>
        <w:numPr>
          <w:ilvl w:val="0"/>
          <w:numId w:val="15"/>
        </w:numPr>
      </w:pPr>
      <w:r w:rsidRPr="006C2B5E">
        <w:rPr>
          <w:rFonts w:hint="eastAsia"/>
        </w:rPr>
        <w:t>根据本条法律，逮捕令一旦颁发则永久有效，直至嫌疑人被捕；</w:t>
      </w:r>
    </w:p>
    <w:p w14:paraId="132F0C14" w14:textId="6471A7F8" w:rsidR="006C2B5E" w:rsidRDefault="006C2B5E">
      <w:pPr>
        <w:pStyle w:val="CAEP5"/>
        <w:numPr>
          <w:ilvl w:val="0"/>
          <w:numId w:val="15"/>
        </w:numPr>
      </w:pPr>
      <w:r w:rsidRPr="006C2B5E">
        <w:rPr>
          <w:rFonts w:hint="eastAsia"/>
        </w:rPr>
        <w:t>根据本条法律，法院仅对刑事犯罪签发逮捕令；</w:t>
      </w:r>
    </w:p>
    <w:p w14:paraId="1B8B8F24" w14:textId="0868F694" w:rsidR="006C2B5E" w:rsidRDefault="006C2B5E" w:rsidP="009B3DA9">
      <w:pPr>
        <w:pStyle w:val="3"/>
      </w:pPr>
      <w:r w:rsidRPr="006C2B5E">
        <w:rPr>
          <w:rFonts w:hint="eastAsia"/>
        </w:rPr>
        <w:t>自由裁量权</w:t>
      </w:r>
    </w:p>
    <w:p w14:paraId="5D5E416C" w14:textId="77777777" w:rsidR="006C2B5E" w:rsidRDefault="006C2B5E">
      <w:pPr>
        <w:pStyle w:val="CAEP5"/>
        <w:numPr>
          <w:ilvl w:val="0"/>
          <w:numId w:val="16"/>
        </w:numPr>
      </w:pPr>
      <w:r>
        <w:rPr>
          <w:rFonts w:hint="eastAsia"/>
        </w:rPr>
        <w:t>根据本条法律，执法人员有权合理利用自己的判断力使用自己的自由裁量权，在处理构成违法或刑事轻罪的行为时，选择从轻或放弃处罚；</w:t>
      </w:r>
    </w:p>
    <w:p w14:paraId="0400A4BB" w14:textId="37CBE0F9" w:rsidR="006C2B5E" w:rsidRDefault="006C2B5E">
      <w:pPr>
        <w:pStyle w:val="CAEP5"/>
        <w:numPr>
          <w:ilvl w:val="0"/>
          <w:numId w:val="16"/>
        </w:numPr>
      </w:pPr>
      <w:r>
        <w:t>根据本条法律，执法人员的自由裁量权包括对构成违法或刑事轻罪的行为从轻或放弃处罚，而不是使用其他方式代替法律所规定的处罚方式；</w:t>
      </w:r>
    </w:p>
    <w:p w14:paraId="35C32C69" w14:textId="405DDE31" w:rsidR="006C2B5E" w:rsidRDefault="006C2B5E">
      <w:pPr>
        <w:pStyle w:val="CAEP5"/>
        <w:numPr>
          <w:ilvl w:val="0"/>
          <w:numId w:val="16"/>
        </w:numPr>
      </w:pPr>
      <w:r>
        <w:t>根据本条法律，</w:t>
      </w:r>
      <w:proofErr w:type="gramStart"/>
      <w:r>
        <w:t>若构成</w:t>
      </w:r>
      <w:proofErr w:type="gramEnd"/>
      <w:r>
        <w:t>违法或刑事轻罪的行为存在直接受害者，且该直接受害者对其提出诉讼，</w:t>
      </w:r>
      <w:proofErr w:type="gramStart"/>
      <w:r>
        <w:t>则执法</w:t>
      </w:r>
      <w:proofErr w:type="gramEnd"/>
      <w:r>
        <w:t>人员不得行使其自由裁量权；</w:t>
      </w:r>
    </w:p>
    <w:p w14:paraId="693801CD" w14:textId="7554A79C" w:rsidR="006C2B5E" w:rsidRDefault="0008380D" w:rsidP="009B3DA9">
      <w:pPr>
        <w:pStyle w:val="3"/>
      </w:pPr>
      <w:r>
        <w:rPr>
          <w:rFonts w:hint="eastAsia"/>
        </w:rPr>
        <w:t>保护令</w:t>
      </w:r>
    </w:p>
    <w:p w14:paraId="24A9FA1A" w14:textId="08E4537C" w:rsidR="006C2B5E" w:rsidRDefault="006C2B5E">
      <w:pPr>
        <w:pStyle w:val="CAEP5"/>
        <w:numPr>
          <w:ilvl w:val="0"/>
          <w:numId w:val="17"/>
        </w:numPr>
      </w:pPr>
      <w:r w:rsidRPr="006C2B5E">
        <w:rPr>
          <w:rFonts w:hint="eastAsia"/>
        </w:rPr>
        <w:t>根据本条法律，</w:t>
      </w:r>
      <w:proofErr w:type="gramStart"/>
      <w:r w:rsidRPr="006C2B5E">
        <w:rPr>
          <w:rFonts w:hint="eastAsia"/>
        </w:rPr>
        <w:t>当下列</w:t>
      </w:r>
      <w:proofErr w:type="gramEnd"/>
      <w:r w:rsidRPr="006C2B5E">
        <w:rPr>
          <w:rFonts w:hint="eastAsia"/>
        </w:rPr>
        <w:t>情况发生时，本州公民可以向法院申请保护令，以保护其生命或财产安全：</w:t>
      </w:r>
    </w:p>
    <w:p w14:paraId="56BF6DF0" w14:textId="77777777" w:rsidR="006C2B5E" w:rsidRDefault="006C2B5E">
      <w:pPr>
        <w:pStyle w:val="CAEP5"/>
        <w:numPr>
          <w:ilvl w:val="1"/>
          <w:numId w:val="17"/>
        </w:numPr>
      </w:pPr>
      <w:r>
        <w:rPr>
          <w:rFonts w:hint="eastAsia"/>
        </w:rPr>
        <w:t>被骚扰；</w:t>
      </w:r>
    </w:p>
    <w:p w14:paraId="08E976D8" w14:textId="49505869" w:rsidR="006C2B5E" w:rsidRDefault="006C2B5E">
      <w:pPr>
        <w:pStyle w:val="CAEP5"/>
        <w:numPr>
          <w:ilvl w:val="1"/>
          <w:numId w:val="17"/>
        </w:numPr>
      </w:pPr>
      <w:r>
        <w:t>被虐待；</w:t>
      </w:r>
    </w:p>
    <w:p w14:paraId="7F80EA19" w14:textId="2A5C8B83" w:rsidR="006C2B5E" w:rsidRDefault="006C2B5E">
      <w:pPr>
        <w:pStyle w:val="CAEP5"/>
        <w:numPr>
          <w:ilvl w:val="1"/>
          <w:numId w:val="17"/>
        </w:numPr>
      </w:pPr>
      <w:r>
        <w:t>被跟踪；</w:t>
      </w:r>
    </w:p>
    <w:p w14:paraId="3A63615D" w14:textId="3B60F27D" w:rsidR="006C2B5E" w:rsidRDefault="006C2B5E">
      <w:pPr>
        <w:pStyle w:val="CAEP5"/>
        <w:numPr>
          <w:ilvl w:val="1"/>
          <w:numId w:val="17"/>
        </w:numPr>
      </w:pPr>
      <w:r>
        <w:t>被威胁；</w:t>
      </w:r>
    </w:p>
    <w:p w14:paraId="27EC8F1D" w14:textId="3878E0D5" w:rsidR="006C2B5E" w:rsidRDefault="006C2B5E">
      <w:pPr>
        <w:pStyle w:val="CAEP5"/>
        <w:numPr>
          <w:ilvl w:val="0"/>
          <w:numId w:val="17"/>
        </w:numPr>
      </w:pPr>
      <w:r w:rsidRPr="006C2B5E">
        <w:rPr>
          <w:rFonts w:hint="eastAsia"/>
        </w:rPr>
        <w:t>根据本条法律，违反法院签发的保护令的行为，构成犯罪。违反保护令的行为包括但不限于：</w:t>
      </w:r>
    </w:p>
    <w:p w14:paraId="15BB7B78" w14:textId="77777777" w:rsidR="006C2B5E" w:rsidRDefault="006C2B5E">
      <w:pPr>
        <w:pStyle w:val="CAEP5"/>
        <w:numPr>
          <w:ilvl w:val="1"/>
          <w:numId w:val="17"/>
        </w:numPr>
      </w:pPr>
      <w:r>
        <w:rPr>
          <w:rFonts w:hint="eastAsia"/>
        </w:rPr>
        <w:t>与被保护人进行身体上的接触；</w:t>
      </w:r>
    </w:p>
    <w:p w14:paraId="547C6962" w14:textId="07D5621E" w:rsidR="006C2B5E" w:rsidRDefault="006C2B5E">
      <w:pPr>
        <w:pStyle w:val="CAEP5"/>
        <w:numPr>
          <w:ilvl w:val="1"/>
          <w:numId w:val="17"/>
        </w:numPr>
      </w:pPr>
      <w:r>
        <w:t>与被保护人通过电话或短信进行联系；</w:t>
      </w:r>
    </w:p>
    <w:p w14:paraId="43E3B6AF" w14:textId="4903EF11" w:rsidR="006C2B5E" w:rsidRDefault="006C2B5E">
      <w:pPr>
        <w:pStyle w:val="CAEP5"/>
        <w:numPr>
          <w:ilvl w:val="1"/>
          <w:numId w:val="17"/>
        </w:numPr>
      </w:pPr>
      <w:r>
        <w:t>与被保护人通过电子邮件进行联系；</w:t>
      </w:r>
    </w:p>
    <w:p w14:paraId="11E42880" w14:textId="36F7460E" w:rsidR="006C2B5E" w:rsidRDefault="006C2B5E">
      <w:pPr>
        <w:pStyle w:val="CAEP5"/>
        <w:numPr>
          <w:ilvl w:val="1"/>
          <w:numId w:val="17"/>
        </w:numPr>
      </w:pPr>
      <w:r>
        <w:t>与被保护人在社交平台上进行联系；</w:t>
      </w:r>
    </w:p>
    <w:p w14:paraId="2D9EE7A7" w14:textId="475534C0" w:rsidR="006C2B5E" w:rsidRDefault="006C2B5E">
      <w:pPr>
        <w:pStyle w:val="CAEP5"/>
        <w:numPr>
          <w:ilvl w:val="1"/>
          <w:numId w:val="17"/>
        </w:numPr>
      </w:pPr>
      <w:r>
        <w:t>监视被保护人；</w:t>
      </w:r>
    </w:p>
    <w:p w14:paraId="742DF9F7" w14:textId="3754E868" w:rsidR="006C2B5E" w:rsidRDefault="006C2B5E" w:rsidP="009B3DA9">
      <w:pPr>
        <w:pStyle w:val="3"/>
      </w:pPr>
      <w:r w:rsidRPr="006C2B5E">
        <w:rPr>
          <w:rFonts w:hint="eastAsia"/>
        </w:rPr>
        <w:t>正当防卫</w:t>
      </w:r>
    </w:p>
    <w:p w14:paraId="56E40664" w14:textId="19D48D91" w:rsidR="006C2B5E" w:rsidRDefault="006C2B5E">
      <w:pPr>
        <w:pStyle w:val="CAEP5"/>
        <w:numPr>
          <w:ilvl w:val="0"/>
          <w:numId w:val="18"/>
        </w:numPr>
      </w:pPr>
      <w:r w:rsidRPr="006C2B5E">
        <w:rPr>
          <w:rFonts w:hint="eastAsia"/>
        </w:rPr>
        <w:t>根据本条法律，</w:t>
      </w:r>
      <w:proofErr w:type="gramStart"/>
      <w:r w:rsidRPr="006C2B5E">
        <w:rPr>
          <w:rFonts w:hint="eastAsia"/>
        </w:rPr>
        <w:t>当行为</w:t>
      </w:r>
      <w:proofErr w:type="gramEnd"/>
      <w:r w:rsidRPr="006C2B5E">
        <w:rPr>
          <w:rFonts w:hint="eastAsia"/>
        </w:rPr>
        <w:t>人合理地相信自己或他人的生命或财产可能受到迫在眉睫的伤害时，可以合法地使用必要武力，以制止这种危险；</w:t>
      </w:r>
    </w:p>
    <w:p w14:paraId="09A45067" w14:textId="6B6D5243" w:rsidR="006C2B5E" w:rsidRDefault="006C2B5E" w:rsidP="009B3DA9">
      <w:pPr>
        <w:pStyle w:val="3"/>
      </w:pPr>
      <w:r w:rsidRPr="006C2B5E">
        <w:rPr>
          <w:rFonts w:hint="eastAsia"/>
        </w:rPr>
        <w:t>合法持有、购买和使用武器</w:t>
      </w:r>
    </w:p>
    <w:p w14:paraId="2E2AAC0E" w14:textId="32559E2E" w:rsidR="006C2B5E" w:rsidRDefault="006C2B5E">
      <w:pPr>
        <w:pStyle w:val="CAEP5"/>
        <w:numPr>
          <w:ilvl w:val="0"/>
          <w:numId w:val="19"/>
        </w:numPr>
      </w:pPr>
      <w:r>
        <w:rPr>
          <w:rFonts w:hint="eastAsia"/>
        </w:rPr>
        <w:t>根据本条法律，年满二十一岁的加利福尼亚州居民若想销售、购买、租借或转让枪支时，除非其为现役军人、退伍军人或执法人员，否则须向州政府支付</w:t>
      </w:r>
      <w:r>
        <w:t>25 美元的费用，并提交申请人的本州居住证明，然后通过由美国司法部认证教员监考的书面考试，以获得五年的枪支安全证书；</w:t>
      </w:r>
    </w:p>
    <w:p w14:paraId="36176BA1" w14:textId="19A21531" w:rsidR="006C2B5E" w:rsidRDefault="006C2B5E">
      <w:pPr>
        <w:pStyle w:val="CAEP5"/>
        <w:numPr>
          <w:ilvl w:val="0"/>
          <w:numId w:val="19"/>
        </w:numPr>
      </w:pPr>
      <w:r>
        <w:t>根据本条法律，只有符合加利福尼亚州法律规定的枪支才可以被销售、购买、持有、租借或转让；</w:t>
      </w:r>
    </w:p>
    <w:p w14:paraId="3B88D176" w14:textId="7A13C167" w:rsidR="006C2B5E" w:rsidRDefault="006C2B5E">
      <w:pPr>
        <w:pStyle w:val="CAEP5"/>
        <w:numPr>
          <w:ilvl w:val="0"/>
          <w:numId w:val="19"/>
        </w:numPr>
      </w:pPr>
      <w:r>
        <w:t>根据本条法律，枪支和弹药的销售和购买必须通过持牌经销商进行，且所有枪支的销售均由州政府和相关部门对购买者进行背景调查并将交易进行记录，并有十天冷静期。被登记的资讯包括但不限于姓名、年龄、住址、电话、驾照及护照资讯、指纹、枪支序列号等；</w:t>
      </w:r>
    </w:p>
    <w:p w14:paraId="0AD86AC5" w14:textId="0BBC6A2C" w:rsidR="006C2B5E" w:rsidRDefault="006C2B5E">
      <w:pPr>
        <w:pStyle w:val="CAEP5"/>
        <w:numPr>
          <w:ilvl w:val="0"/>
          <w:numId w:val="19"/>
        </w:numPr>
      </w:pPr>
      <w:r>
        <w:t>根据本条法律，对于电击枪的购买和持有不需要申请枪支安全证书；</w:t>
      </w:r>
    </w:p>
    <w:p w14:paraId="2B84C54F" w14:textId="5641C3B8" w:rsidR="006C2B5E" w:rsidRDefault="006C2B5E">
      <w:pPr>
        <w:pStyle w:val="CAEP5"/>
        <w:numPr>
          <w:ilvl w:val="0"/>
          <w:numId w:val="19"/>
        </w:numPr>
      </w:pPr>
      <w:r>
        <w:t>根据本条法律，隐蔽式持枪证是普通公民在加利福尼亚州合法携带枪支的唯一途径。在获得隐蔽式持枪证之前，任何在公共场所携带或装卸弹药的行为，都构成犯罪；</w:t>
      </w:r>
    </w:p>
    <w:p w14:paraId="1F9234F4" w14:textId="33FE4A5A" w:rsidR="006C2B5E" w:rsidRDefault="006C2B5E">
      <w:pPr>
        <w:pStyle w:val="CAEP5"/>
        <w:numPr>
          <w:ilvl w:val="0"/>
          <w:numId w:val="19"/>
        </w:numPr>
      </w:pPr>
      <w:r>
        <w:t>根据本条法律，加利福尼亚州司法部或任何地方有关部门颁发的隐蔽式持枪证在全州范围内有效；</w:t>
      </w:r>
    </w:p>
    <w:p w14:paraId="47063288" w14:textId="21CA2811" w:rsidR="006C2B5E" w:rsidRDefault="006C2B5E">
      <w:pPr>
        <w:pStyle w:val="CAEP5"/>
        <w:numPr>
          <w:ilvl w:val="0"/>
          <w:numId w:val="19"/>
        </w:numPr>
      </w:pPr>
      <w:r>
        <w:t>根据本条法律，加利福尼亚州不承认任何由其他州、国家和地区办法的隐藏式持枪证；</w:t>
      </w:r>
    </w:p>
    <w:p w14:paraId="53CD6698" w14:textId="217BB48C" w:rsidR="006C2B5E" w:rsidRDefault="006C2B5E">
      <w:pPr>
        <w:pStyle w:val="CAEP5"/>
        <w:numPr>
          <w:ilvl w:val="0"/>
          <w:numId w:val="19"/>
        </w:numPr>
      </w:pPr>
      <w:r>
        <w:t>根据本条法律，非加利福尼亚州公民无法在本州申请隐蔽式持枪证；</w:t>
      </w:r>
    </w:p>
    <w:p w14:paraId="09E5B13C" w14:textId="636FD968" w:rsidR="006C2B5E" w:rsidRDefault="006C2B5E">
      <w:pPr>
        <w:pStyle w:val="CAEP5"/>
        <w:numPr>
          <w:ilvl w:val="0"/>
          <w:numId w:val="19"/>
        </w:numPr>
      </w:pPr>
      <w:r>
        <w:t>根据本条法律，在私人交通工具上存放枪支时，需要持有有效的隐藏式持枪证；</w:t>
      </w:r>
    </w:p>
    <w:p w14:paraId="4BCD005F" w14:textId="3EC7A215" w:rsidR="006C2B5E" w:rsidRDefault="006C2B5E">
      <w:pPr>
        <w:pStyle w:val="CAEP5"/>
        <w:numPr>
          <w:ilvl w:val="0"/>
          <w:numId w:val="19"/>
        </w:numPr>
      </w:pPr>
      <w:r>
        <w:t>根据本条法律，在未持有隐藏式持枪证的情况下，在运输枪支时需将枪支、弹夹和子弹进行分开放置，并将其锁定在箱子中；</w:t>
      </w:r>
    </w:p>
    <w:p w14:paraId="7FAD2614" w14:textId="162AE213" w:rsidR="006C2B5E" w:rsidRDefault="006C2B5E">
      <w:pPr>
        <w:pStyle w:val="CAEP5"/>
        <w:numPr>
          <w:ilvl w:val="0"/>
          <w:numId w:val="19"/>
        </w:numPr>
      </w:pPr>
      <w:r>
        <w:t>根据本条法律，依据《联邦执法人员安全法案》，符合条件的执法人员携带指定型号的手枪、步枪或猎枪时，不受本州法律约束。</w:t>
      </w:r>
    </w:p>
    <w:p w14:paraId="0C27F87D" w14:textId="77777777" w:rsidR="006C2B5E" w:rsidRDefault="006C2B5E">
      <w:pPr>
        <w:pStyle w:val="CAEP5"/>
        <w:numPr>
          <w:ilvl w:val="0"/>
          <w:numId w:val="19"/>
        </w:numPr>
      </w:pPr>
      <w:r>
        <w:rPr>
          <w:rFonts w:hint="eastAsia"/>
        </w:rPr>
        <w:t>根据本条法律，在未获得加利福尼亚州司法部批准和序列号的情况下，自制枪支的行为，构成轻罪，最高可处县监狱一年监禁；</w:t>
      </w:r>
    </w:p>
    <w:p w14:paraId="74747E7E" w14:textId="2C95F803" w:rsidR="006C2B5E" w:rsidRDefault="006C2B5E">
      <w:pPr>
        <w:pStyle w:val="CAEP5"/>
        <w:numPr>
          <w:ilvl w:val="0"/>
          <w:numId w:val="19"/>
        </w:numPr>
      </w:pPr>
      <w:r>
        <w:t>根据本条法律，所有已合法持有枪支的加利福尼亚州新居民应在六十天内依法向有关部门登记其枪支；</w:t>
      </w:r>
    </w:p>
    <w:p w14:paraId="3425929F" w14:textId="10584803" w:rsidR="006C2B5E" w:rsidRDefault="006C2B5E">
      <w:pPr>
        <w:pStyle w:val="CAEP5"/>
        <w:numPr>
          <w:ilvl w:val="0"/>
          <w:numId w:val="19"/>
        </w:numPr>
      </w:pPr>
      <w:r>
        <w:t>根据红旗法（Red Flag Law），符合下列描述的个人，在合理地怀疑自己或家庭成员的人身安全受到他人威胁时，可以向法院申请禁制令，以没收其枪支，时</w:t>
      </w:r>
      <w:proofErr w:type="gramStart"/>
      <w:r>
        <w:t>长最高</w:t>
      </w:r>
      <w:proofErr w:type="gramEnd"/>
      <w:r>
        <w:t>可达五年：</w:t>
      </w:r>
    </w:p>
    <w:p w14:paraId="2076B881" w14:textId="25CF420E" w:rsidR="006C2B5E" w:rsidRDefault="006C2B5E">
      <w:pPr>
        <w:pStyle w:val="CAEP5"/>
        <w:numPr>
          <w:ilvl w:val="1"/>
          <w:numId w:val="19"/>
        </w:numPr>
      </w:pPr>
      <w:r>
        <w:t>员警；</w:t>
      </w:r>
    </w:p>
    <w:p w14:paraId="0590DF12" w14:textId="1B25D7F3" w:rsidR="006C2B5E" w:rsidRDefault="006C2B5E">
      <w:pPr>
        <w:pStyle w:val="CAEP5"/>
        <w:numPr>
          <w:ilvl w:val="1"/>
          <w:numId w:val="19"/>
        </w:numPr>
      </w:pPr>
      <w:r>
        <w:t>老师；</w:t>
      </w:r>
    </w:p>
    <w:p w14:paraId="21CA5D7A" w14:textId="77769024" w:rsidR="006C2B5E" w:rsidRDefault="006C2B5E">
      <w:pPr>
        <w:pStyle w:val="CAEP5"/>
        <w:numPr>
          <w:ilvl w:val="1"/>
          <w:numId w:val="19"/>
        </w:numPr>
      </w:pPr>
      <w:r>
        <w:t>其雇员或同事；</w:t>
      </w:r>
    </w:p>
    <w:p w14:paraId="6B70E40A" w14:textId="1A849D62" w:rsidR="006C2B5E" w:rsidRDefault="006C2B5E">
      <w:pPr>
        <w:pStyle w:val="CAEP5"/>
        <w:numPr>
          <w:ilvl w:val="0"/>
          <w:numId w:val="19"/>
        </w:numPr>
      </w:pPr>
      <w:r>
        <w:t>根据本条法律，BB 枪、彩弹枪、弹丸枪或其他所有仿真玩具枪支，都属于仿制枪支。所有仿制枪支都必须装饰有明亮的彩色标记，以区别于真枪；</w:t>
      </w:r>
    </w:p>
    <w:p w14:paraId="64E941DA" w14:textId="6C966615" w:rsidR="006C2B5E" w:rsidRDefault="006C2B5E">
      <w:pPr>
        <w:pStyle w:val="CAEP5"/>
        <w:numPr>
          <w:ilvl w:val="0"/>
          <w:numId w:val="19"/>
        </w:numPr>
      </w:pPr>
      <w:r>
        <w:t>根据本条法律，严禁未成年人持有或向未成年人销售BB 枪、彩弹枪、弹丸枪或电击枪；</w:t>
      </w:r>
    </w:p>
    <w:p w14:paraId="24D48FFB" w14:textId="75CE1CE6" w:rsidR="006C2B5E" w:rsidRPr="006C2B5E" w:rsidRDefault="006C2B5E">
      <w:pPr>
        <w:pStyle w:val="CAEP5"/>
        <w:numPr>
          <w:ilvl w:val="0"/>
          <w:numId w:val="19"/>
        </w:numPr>
      </w:pPr>
      <w:r>
        <w:t>根据本条法律，携带仿制枪支或电击枪进入公共或公众视线可以触及到的区域，或向公众展示仿制枪支的行为，构成轻罪，最高可处县或州监狱一年监禁；</w:t>
      </w:r>
    </w:p>
    <w:p w14:paraId="70331EB5" w14:textId="7F379DAF" w:rsidR="006C2B5E" w:rsidRDefault="006C2B5E" w:rsidP="00093CC5">
      <w:pPr>
        <w:pStyle w:val="CAEP5"/>
      </w:pPr>
    </w:p>
    <w:p w14:paraId="13A945C7" w14:textId="5FE698DD" w:rsidR="006C2B5E" w:rsidRDefault="006C2B5E" w:rsidP="00093CC5">
      <w:pPr>
        <w:pStyle w:val="CAEP5"/>
      </w:pPr>
    </w:p>
    <w:p w14:paraId="2C83519E" w14:textId="44DEF37D" w:rsidR="006C2B5E" w:rsidRDefault="006C2B5E" w:rsidP="00093CC5">
      <w:pPr>
        <w:pStyle w:val="CAEP5"/>
      </w:pPr>
    </w:p>
    <w:p w14:paraId="382FDB20" w14:textId="1EF636DD" w:rsidR="006C2B5E" w:rsidRDefault="006C2B5E" w:rsidP="00093CC5">
      <w:pPr>
        <w:pStyle w:val="CAEP5"/>
      </w:pPr>
    </w:p>
    <w:p w14:paraId="66A386C3" w14:textId="1C3E8547" w:rsidR="006C2B5E" w:rsidRDefault="006C2B5E" w:rsidP="00093CC5">
      <w:pPr>
        <w:pStyle w:val="CAEP5"/>
      </w:pPr>
    </w:p>
    <w:p w14:paraId="258BBF33" w14:textId="7D32C929" w:rsidR="0008380D" w:rsidRDefault="0008380D" w:rsidP="00093CC5">
      <w:pPr>
        <w:pStyle w:val="CAEP5"/>
      </w:pPr>
    </w:p>
    <w:p w14:paraId="205C2E98" w14:textId="0B744B13" w:rsidR="0008380D" w:rsidRDefault="0008380D" w:rsidP="00093CC5">
      <w:pPr>
        <w:pStyle w:val="CAEP5"/>
      </w:pPr>
    </w:p>
    <w:p w14:paraId="0770C0D1" w14:textId="0BA1CC26" w:rsidR="0008380D" w:rsidRDefault="0008380D" w:rsidP="00093CC5">
      <w:pPr>
        <w:pStyle w:val="CAEP5"/>
      </w:pPr>
    </w:p>
    <w:p w14:paraId="59218673" w14:textId="762FCFE7" w:rsidR="0008380D" w:rsidRDefault="0008380D" w:rsidP="00093CC5">
      <w:pPr>
        <w:pStyle w:val="CAEP5"/>
      </w:pPr>
    </w:p>
    <w:p w14:paraId="2347C0DD" w14:textId="12BEA026" w:rsidR="0008380D" w:rsidRDefault="0008380D" w:rsidP="00093CC5">
      <w:pPr>
        <w:pStyle w:val="CAEP5"/>
      </w:pPr>
    </w:p>
    <w:p w14:paraId="36129EAF" w14:textId="035E60FE" w:rsidR="0008380D" w:rsidRDefault="0008380D" w:rsidP="00093CC5">
      <w:pPr>
        <w:pStyle w:val="CAEP5"/>
      </w:pPr>
    </w:p>
    <w:p w14:paraId="67CA4493" w14:textId="0626CA0D" w:rsidR="0008380D" w:rsidRPr="0008380D" w:rsidRDefault="0008380D" w:rsidP="0008380D">
      <w:pPr>
        <w:widowControl/>
        <w:jc w:val="left"/>
        <w:rPr>
          <w:rFonts w:ascii="苹方 常规" w:eastAsia="苹方 常规" w:hAnsi="苹方 常规"/>
          <w:szCs w:val="21"/>
        </w:rPr>
      </w:pPr>
      <w:r>
        <w:rPr>
          <w:rFonts w:ascii="苹方 常规" w:eastAsia="苹方 常规" w:hAnsi="苹方 常规"/>
          <w:szCs w:val="21"/>
        </w:rPr>
        <w:br/>
      </w:r>
      <w:r>
        <w:rPr>
          <w:rFonts w:ascii="苹方 常规" w:eastAsia="苹方 常规" w:hAnsi="苹方 常规"/>
          <w:szCs w:val="21"/>
        </w:rPr>
        <w:br/>
      </w:r>
    </w:p>
    <w:p w14:paraId="548120A6" w14:textId="4E15F746" w:rsidR="00AC7BF2" w:rsidRPr="009B3DA9" w:rsidRDefault="005335F3" w:rsidP="00AF7B77">
      <w:pPr>
        <w:pStyle w:val="2"/>
        <w:rPr>
          <w:rFonts w:hint="eastAsia"/>
        </w:rPr>
      </w:pPr>
      <w:r w:rsidRPr="0008380D">
        <w:rPr>
          <w:rFonts w:hint="eastAsia"/>
        </w:rPr>
        <w:t>第</w:t>
      </w:r>
      <w:r w:rsidR="000E1DC1" w:rsidRPr="0008380D">
        <w:rPr>
          <w:rFonts w:hint="eastAsia"/>
        </w:rPr>
        <w:t>二</w:t>
      </w:r>
      <w:r w:rsidRPr="0008380D">
        <w:rPr>
          <w:rFonts w:hint="eastAsia"/>
        </w:rPr>
        <w:t>章：</w:t>
      </w:r>
      <w:r w:rsidR="000E1DC1" w:rsidRPr="0008380D">
        <w:rPr>
          <w:rFonts w:hint="eastAsia"/>
        </w:rPr>
        <w:t>对于法律的进一步解释</w:t>
      </w:r>
    </w:p>
    <w:p w14:paraId="20C66790" w14:textId="77777777" w:rsidR="009B3DA9" w:rsidRDefault="009B3DA9" w:rsidP="00AF7B77">
      <w:pPr>
        <w:pStyle w:val="3"/>
      </w:pPr>
      <w:r w:rsidRPr="000E1DC1">
        <w:rPr>
          <w:rFonts w:hint="eastAsia"/>
        </w:rPr>
        <w:t>未遂</w:t>
      </w:r>
    </w:p>
    <w:p w14:paraId="4952FB58" w14:textId="7C4444E5" w:rsidR="009B3DA9" w:rsidRDefault="009B3DA9">
      <w:pPr>
        <w:pStyle w:val="CAEP5"/>
        <w:numPr>
          <w:ilvl w:val="0"/>
          <w:numId w:val="21"/>
        </w:numPr>
      </w:pPr>
      <w:r w:rsidRPr="000E1DC1">
        <w:rPr>
          <w:rFonts w:hint="eastAsia"/>
        </w:rPr>
        <w:t>根</w:t>
      </w:r>
      <w:r>
        <w:rPr>
          <w:rFonts w:hint="eastAsia"/>
        </w:rPr>
        <w:t>据本条法律，一个行为是否构成犯罪，取决于其特征完全符合法律对该项罪名的描述，涉及</w:t>
      </w:r>
      <w:r>
        <w:t>"例外"的条目除外；</w:t>
      </w:r>
    </w:p>
    <w:p w14:paraId="0F81319E" w14:textId="77777777" w:rsidR="009B3DA9" w:rsidRDefault="009B3DA9">
      <w:pPr>
        <w:pStyle w:val="CAEP5"/>
        <w:numPr>
          <w:ilvl w:val="0"/>
          <w:numId w:val="21"/>
        </w:numPr>
      </w:pPr>
      <w:r>
        <w:t>根据本条法律，每个违法犯罪行为只能构成一项犯罪。然而通常情况下，一个事件可能涉及多个违法犯罪行为，故该事件可能构成多项罪名，且可以重复；</w:t>
      </w:r>
    </w:p>
    <w:p w14:paraId="59800ED8" w14:textId="6A593B49" w:rsidR="009B3DA9" w:rsidRPr="009B3DA9" w:rsidRDefault="009B3DA9">
      <w:pPr>
        <w:pStyle w:val="CAEP5"/>
        <w:numPr>
          <w:ilvl w:val="0"/>
          <w:numId w:val="2"/>
        </w:numPr>
        <w:rPr>
          <w:rFonts w:hint="eastAsia"/>
        </w:rPr>
      </w:pPr>
      <w:r>
        <w:t>根据本条法律，同一个事件可能构成多个相同罪名，但对于相同罪名的处罚不得超过相关法律所规定的最高处罚标准</w:t>
      </w:r>
      <w:r>
        <w:rPr>
          <w:rFonts w:hint="eastAsia"/>
        </w:rPr>
        <w:t>。</w:t>
      </w:r>
    </w:p>
    <w:p w14:paraId="1E9E7577" w14:textId="4826B469" w:rsidR="005335F3" w:rsidRDefault="000E1DC1" w:rsidP="009B3DA9">
      <w:pPr>
        <w:pStyle w:val="3"/>
      </w:pPr>
      <w:r w:rsidRPr="000E1DC1">
        <w:rPr>
          <w:rFonts w:hint="eastAsia"/>
        </w:rPr>
        <w:t>未遂</w:t>
      </w:r>
    </w:p>
    <w:p w14:paraId="3D26709F" w14:textId="3D3A9685" w:rsidR="005335F3" w:rsidRDefault="000E1DC1">
      <w:pPr>
        <w:pStyle w:val="CAEP5"/>
        <w:numPr>
          <w:ilvl w:val="0"/>
          <w:numId w:val="2"/>
        </w:numPr>
      </w:pPr>
      <w:r w:rsidRPr="000E1DC1">
        <w:rPr>
          <w:rFonts w:hint="eastAsia"/>
        </w:rPr>
        <w:t>根据本条法律，企图做出任何违法犯罪的行为，但被阻止或未达成其目标，构成未遂，应与其行为所构成的罪名同罪论处</w:t>
      </w:r>
      <w:r w:rsidR="005335F3">
        <w:t>。</w:t>
      </w:r>
    </w:p>
    <w:p w14:paraId="239591A1" w14:textId="0BE46AD1" w:rsidR="006A1113" w:rsidRDefault="000E1DC1" w:rsidP="009B3DA9">
      <w:pPr>
        <w:pStyle w:val="3"/>
      </w:pPr>
      <w:r w:rsidRPr="000E1DC1">
        <w:rPr>
          <w:rFonts w:hint="eastAsia"/>
        </w:rPr>
        <w:t>密谋</w:t>
      </w:r>
    </w:p>
    <w:p w14:paraId="459B2B44" w14:textId="05D4E809" w:rsidR="006A1113" w:rsidRDefault="000E1DC1">
      <w:pPr>
        <w:pStyle w:val="CAEP5"/>
        <w:numPr>
          <w:ilvl w:val="0"/>
          <w:numId w:val="3"/>
        </w:numPr>
      </w:pPr>
      <w:r w:rsidRPr="000E1DC1">
        <w:rPr>
          <w:rFonts w:hint="eastAsia"/>
        </w:rPr>
        <w:t>根据本条法律，两个或以上数量的行为人聚集并一同进行某项非法行动，或一同以虚假或恶意的手段控告他人，意图使其被逮捕或起诉的行为，构成同谋，所有行为人应以相同罪名同罪论处；</w:t>
      </w:r>
    </w:p>
    <w:p w14:paraId="36EA3C27" w14:textId="3FC015A2" w:rsidR="006A1113" w:rsidRDefault="000E1DC1" w:rsidP="009B3DA9">
      <w:pPr>
        <w:pStyle w:val="3"/>
      </w:pPr>
      <w:r w:rsidRPr="000E1DC1">
        <w:rPr>
          <w:rFonts w:hint="eastAsia"/>
        </w:rPr>
        <w:t>教唆</w:t>
      </w:r>
    </w:p>
    <w:p w14:paraId="14E0371D" w14:textId="3D88B537" w:rsidR="006A1113" w:rsidRDefault="000E1DC1">
      <w:pPr>
        <w:pStyle w:val="CAEP5"/>
        <w:numPr>
          <w:ilvl w:val="0"/>
          <w:numId w:val="4"/>
        </w:numPr>
      </w:pPr>
      <w:r w:rsidRPr="000E1DC1">
        <w:rPr>
          <w:rFonts w:hint="eastAsia"/>
        </w:rPr>
        <w:t>根据本条法律，直白或隐晦地要求或促使他人犯罪的行为，构成教唆，应与他人行为所构成的罪名同罪论处</w:t>
      </w:r>
      <w:r w:rsidR="006A1113">
        <w:t>。</w:t>
      </w:r>
    </w:p>
    <w:p w14:paraId="1B7E2B23" w14:textId="11E6AE53" w:rsidR="006A1113" w:rsidRDefault="000E1DC1" w:rsidP="009B3DA9">
      <w:pPr>
        <w:pStyle w:val="3"/>
      </w:pPr>
      <w:r w:rsidRPr="000E1DC1">
        <w:rPr>
          <w:rFonts w:hint="eastAsia"/>
        </w:rPr>
        <w:t>武器犯罪</w:t>
      </w:r>
    </w:p>
    <w:p w14:paraId="635BABD4" w14:textId="77777777" w:rsidR="000E1DC1" w:rsidRDefault="000E1DC1">
      <w:pPr>
        <w:pStyle w:val="CAEP5"/>
        <w:numPr>
          <w:ilvl w:val="0"/>
          <w:numId w:val="5"/>
        </w:numPr>
      </w:pPr>
      <w:r>
        <w:rPr>
          <w:rFonts w:hint="eastAsia"/>
        </w:rPr>
        <w:t>根据本条法律，行为人持有合法枪支并进行可以构成重罪的行为，其枪支许可证将被吊销；</w:t>
      </w:r>
    </w:p>
    <w:p w14:paraId="61C6ECEF" w14:textId="063033C9" w:rsidR="000E1DC1" w:rsidRDefault="000E1DC1">
      <w:pPr>
        <w:pStyle w:val="CAEP5"/>
        <w:numPr>
          <w:ilvl w:val="0"/>
          <w:numId w:val="5"/>
        </w:numPr>
      </w:pPr>
      <w:r>
        <w:t>根据本条法律，行为人持有合法枪支并进行可以构成轻罪或违规的行为，其枪支许可证将被视情况暂停或吊销；</w:t>
      </w:r>
    </w:p>
    <w:p w14:paraId="277C665E" w14:textId="023F608B" w:rsidR="000E1DC1" w:rsidRDefault="000E1DC1">
      <w:pPr>
        <w:pStyle w:val="CAEP5"/>
        <w:numPr>
          <w:ilvl w:val="0"/>
          <w:numId w:val="5"/>
        </w:numPr>
      </w:pPr>
      <w:r>
        <w:t>根据本条法律，行为人在其枪支许可证被暂停的情况下，持有枪支进行任何违法犯罪的行为，其枪支许可证将被吊销；</w:t>
      </w:r>
    </w:p>
    <w:p w14:paraId="5249A8A4" w14:textId="1D407651" w:rsidR="006A1113" w:rsidRDefault="000E1DC1">
      <w:pPr>
        <w:pStyle w:val="CAEP5"/>
        <w:numPr>
          <w:ilvl w:val="0"/>
          <w:numId w:val="5"/>
        </w:numPr>
      </w:pPr>
      <w:r>
        <w:t>根据本条法律，所有联邦和地方执法人员及相关武器管理机构，应为本节法律的执行人；</w:t>
      </w:r>
    </w:p>
    <w:p w14:paraId="670931A4" w14:textId="35C02F77" w:rsidR="0016362A" w:rsidRDefault="000E1DC1" w:rsidP="009B3DA9">
      <w:pPr>
        <w:pStyle w:val="3"/>
      </w:pPr>
      <w:r w:rsidRPr="000E1DC1">
        <w:rPr>
          <w:rFonts w:hint="eastAsia"/>
        </w:rPr>
        <w:t>从犯</w:t>
      </w:r>
    </w:p>
    <w:p w14:paraId="3DBE5D78" w14:textId="3CA59BA1" w:rsidR="0016362A" w:rsidRDefault="000E1DC1">
      <w:pPr>
        <w:pStyle w:val="CAEP5"/>
        <w:numPr>
          <w:ilvl w:val="0"/>
          <w:numId w:val="6"/>
        </w:numPr>
      </w:pPr>
      <w:r w:rsidRPr="000E1DC1">
        <w:rPr>
          <w:rFonts w:hint="eastAsia"/>
        </w:rPr>
        <w:t>根据本条法律，对他人任何已经完成或未遂的违法犯罪行为提供任何辅助作用的行为，构成从犯，应与他人行为所构成的罪名同罪论处</w:t>
      </w:r>
      <w:r w:rsidR="0016362A">
        <w:t>。</w:t>
      </w:r>
    </w:p>
    <w:p w14:paraId="1469CA2E" w14:textId="58365B8F" w:rsidR="0016362A" w:rsidRDefault="000E1DC1" w:rsidP="009B3DA9">
      <w:pPr>
        <w:pStyle w:val="3"/>
      </w:pPr>
      <w:r w:rsidRPr="000E1DC1">
        <w:rPr>
          <w:rFonts w:hint="eastAsia"/>
        </w:rPr>
        <w:t>包庇</w:t>
      </w:r>
    </w:p>
    <w:p w14:paraId="1F80CD79" w14:textId="5B3812BA" w:rsidR="008C32C4" w:rsidRPr="000E1DC1" w:rsidRDefault="000E1DC1">
      <w:pPr>
        <w:pStyle w:val="CAEP5"/>
        <w:numPr>
          <w:ilvl w:val="0"/>
          <w:numId w:val="7"/>
        </w:numPr>
      </w:pPr>
      <w:r w:rsidRPr="000E1DC1">
        <w:rPr>
          <w:rFonts w:hint="eastAsia"/>
        </w:rPr>
        <w:t>根据本条法律，在已知对方进行了构成违法犯罪的行为，为其提供任何帮助以帮助其逃避法律制裁的行为，构成包庇，应与他人行为所构成的罪名同罪论处，但对其进行的处罚不应超过该罪名最高处罚标准的一半</w:t>
      </w:r>
      <w:r w:rsidR="0016362A">
        <w:t>。</w:t>
      </w:r>
    </w:p>
    <w:sectPr w:rsidR="008C32C4" w:rsidRPr="000E1DC1" w:rsidSect="00F77908">
      <w:headerReference w:type="default" r:id="rId9"/>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3D37" w14:textId="77777777" w:rsidR="00352935" w:rsidRDefault="00352935" w:rsidP="00F77908">
      <w:r>
        <w:separator/>
      </w:r>
    </w:p>
  </w:endnote>
  <w:endnote w:type="continuationSeparator" w:id="0">
    <w:p w14:paraId="6AC3585F" w14:textId="77777777" w:rsidR="00352935" w:rsidRDefault="00352935"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苹方 粗体">
    <w:altName w:val="微软雅黑"/>
    <w:panose1 w:val="020B0600000000000000"/>
    <w:charset w:val="86"/>
    <w:family w:val="swiss"/>
    <w:pitch w:val="variable"/>
    <w:sig w:usb0="A00002FF" w:usb1="7ACFFCFB"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苹方 常规">
    <w:altName w:val="微软雅黑"/>
    <w:panose1 w:val="020B03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苹方 中等">
    <w:altName w:val="微软雅黑"/>
    <w:panose1 w:val="020B0400000000000000"/>
    <w:charset w:val="86"/>
    <w:family w:val="swiss"/>
    <w:pitch w:val="variable"/>
    <w:sig w:usb0="A00002FF" w:usb1="7ACFFCFB"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F9B00" w14:textId="77777777" w:rsidR="00352935" w:rsidRDefault="00352935" w:rsidP="00F77908">
      <w:r>
        <w:separator/>
      </w:r>
    </w:p>
  </w:footnote>
  <w:footnote w:type="continuationSeparator" w:id="0">
    <w:p w14:paraId="35B26510" w14:textId="77777777" w:rsidR="00352935" w:rsidRDefault="00352935"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250"/>
    <w:multiLevelType w:val="multilevel"/>
    <w:tmpl w:val="0409001D"/>
    <w:styleLink w:val="CAEP"/>
    <w:lvl w:ilvl="0">
      <w:start w:val="1"/>
      <w:numFmt w:val="chineseCountingThousand"/>
      <w:lvlText w:val="%1"/>
      <w:lvlJc w:val="left"/>
      <w:pPr>
        <w:ind w:left="425" w:hanging="425"/>
      </w:pPr>
      <w:rPr>
        <w:rFonts w:ascii="Times New Roman" w:eastAsia="苹方 粗体" w:hAnsi="Times New Roman" w:hint="default"/>
        <w:color w:val="auto"/>
        <w:sz w:val="32"/>
      </w:rPr>
    </w:lvl>
    <w:lvl w:ilvl="1">
      <w:start w:val="1"/>
      <w:numFmt w:val="decimal"/>
      <w:lvlText w:val="%1.%2"/>
      <w:lvlJc w:val="left"/>
      <w:pPr>
        <w:ind w:left="152" w:hanging="567"/>
      </w:pPr>
      <w:rPr>
        <w:rFonts w:eastAsia="苹方 粗体" w:hint="eastAsia"/>
        <w:sz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B75AD3"/>
    <w:multiLevelType w:val="multilevel"/>
    <w:tmpl w:val="3EA0DAE6"/>
    <w:lvl w:ilvl="0">
      <w:start w:val="1"/>
      <w:numFmt w:val="none"/>
      <w:pStyle w:val="2"/>
      <w:lvlText w:val=""/>
      <w:lvlJc w:val="left"/>
      <w:pPr>
        <w:ind w:left="0" w:firstLine="0"/>
      </w:pPr>
      <w:rPr>
        <w:rFonts w:hint="eastAsia"/>
      </w:rPr>
    </w:lvl>
    <w:lvl w:ilvl="1">
      <w:start w:val="1"/>
      <w:numFmt w:val="decimal"/>
      <w:pStyle w:val="3"/>
      <w:lvlText w:val="%2."/>
      <w:lvlJc w:val="left"/>
      <w:pPr>
        <w:ind w:left="0" w:firstLine="0"/>
      </w:pPr>
      <w:rPr>
        <w:rFonts w:hint="eastAsia"/>
      </w:rPr>
    </w:lvl>
    <w:lvl w:ilvl="2">
      <w:start w:val="1"/>
      <w:numFmt w:val="decimal"/>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 w15:restartNumberingAfterBreak="0">
    <w:nsid w:val="0D970B93"/>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A813C9"/>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366CD8"/>
    <w:multiLevelType w:val="hybridMultilevel"/>
    <w:tmpl w:val="A9A22186"/>
    <w:lvl w:ilvl="0" w:tplc="FFFFFFFF">
      <w:start w:val="1"/>
      <w:numFmt w:val="decimal"/>
      <w:lvlText w:val="%1."/>
      <w:lvlJc w:val="left"/>
      <w:pPr>
        <w:ind w:left="840" w:hanging="420"/>
      </w:pPr>
    </w:lvl>
    <w:lvl w:ilvl="1" w:tplc="FFFFFFFF">
      <w:start w:val="1"/>
      <w:numFmt w:val="bullet"/>
      <w:lvlText w:val=""/>
      <w:lvlJc w:val="left"/>
      <w:pPr>
        <w:ind w:left="1260" w:hanging="42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C61BCB"/>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826233"/>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B458A3"/>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AD4C53"/>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273C0A"/>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984A13"/>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166A6D"/>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786809"/>
    <w:multiLevelType w:val="hybridMultilevel"/>
    <w:tmpl w:val="DAA219BA"/>
    <w:lvl w:ilvl="0" w:tplc="745C8586">
      <w:start w:val="1"/>
      <w:numFmt w:val="decimal"/>
      <w:pStyle w:val="CAEP0"/>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3A91A08"/>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EB4CBD"/>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BA47E3"/>
    <w:multiLevelType w:val="hybridMultilevel"/>
    <w:tmpl w:val="952E88DA"/>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5E63B42"/>
    <w:multiLevelType w:val="hybridMultilevel"/>
    <w:tmpl w:val="0F4AF6F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02273D"/>
    <w:multiLevelType w:val="hybridMultilevel"/>
    <w:tmpl w:val="097635F6"/>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51479796">
    <w:abstractNumId w:val="22"/>
  </w:num>
  <w:num w:numId="2" w16cid:durableId="426853817">
    <w:abstractNumId w:val="20"/>
  </w:num>
  <w:num w:numId="3" w16cid:durableId="1234926641">
    <w:abstractNumId w:val="11"/>
  </w:num>
  <w:num w:numId="4" w16cid:durableId="963314895">
    <w:abstractNumId w:val="1"/>
  </w:num>
  <w:num w:numId="5" w16cid:durableId="269238108">
    <w:abstractNumId w:val="9"/>
  </w:num>
  <w:num w:numId="6" w16cid:durableId="1943949091">
    <w:abstractNumId w:val="10"/>
  </w:num>
  <w:num w:numId="7" w16cid:durableId="626935145">
    <w:abstractNumId w:val="6"/>
  </w:num>
  <w:num w:numId="8" w16cid:durableId="1412897309">
    <w:abstractNumId w:val="12"/>
  </w:num>
  <w:num w:numId="9" w16cid:durableId="878785523">
    <w:abstractNumId w:val="3"/>
  </w:num>
  <w:num w:numId="10" w16cid:durableId="1655602837">
    <w:abstractNumId w:val="19"/>
  </w:num>
  <w:num w:numId="11" w16cid:durableId="114954567">
    <w:abstractNumId w:val="18"/>
  </w:num>
  <w:num w:numId="12" w16cid:durableId="2110614809">
    <w:abstractNumId w:val="7"/>
  </w:num>
  <w:num w:numId="13" w16cid:durableId="1058747201">
    <w:abstractNumId w:val="13"/>
  </w:num>
  <w:num w:numId="14" w16cid:durableId="812060733">
    <w:abstractNumId w:val="15"/>
  </w:num>
  <w:num w:numId="15" w16cid:durableId="1835993558">
    <w:abstractNumId w:val="14"/>
  </w:num>
  <w:num w:numId="16" w16cid:durableId="172886015">
    <w:abstractNumId w:val="8"/>
  </w:num>
  <w:num w:numId="17" w16cid:durableId="485515105">
    <w:abstractNumId w:val="21"/>
  </w:num>
  <w:num w:numId="18" w16cid:durableId="233243076">
    <w:abstractNumId w:val="16"/>
  </w:num>
  <w:num w:numId="19" w16cid:durableId="1920213033">
    <w:abstractNumId w:val="4"/>
  </w:num>
  <w:num w:numId="20" w16cid:durableId="604772200">
    <w:abstractNumId w:val="17"/>
  </w:num>
  <w:num w:numId="21" w16cid:durableId="1920211449">
    <w:abstractNumId w:val="5"/>
  </w:num>
  <w:num w:numId="22" w16cid:durableId="896093516">
    <w:abstractNumId w:val="0"/>
  </w:num>
  <w:num w:numId="23" w16cid:durableId="292448139">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073F0"/>
    <w:rsid w:val="00074F10"/>
    <w:rsid w:val="0008380D"/>
    <w:rsid w:val="00093CC5"/>
    <w:rsid w:val="000E1DC1"/>
    <w:rsid w:val="00132D13"/>
    <w:rsid w:val="0016362A"/>
    <w:rsid w:val="001B2809"/>
    <w:rsid w:val="001C6179"/>
    <w:rsid w:val="001D7A1F"/>
    <w:rsid w:val="00254CAA"/>
    <w:rsid w:val="002B349E"/>
    <w:rsid w:val="002C6C51"/>
    <w:rsid w:val="00330320"/>
    <w:rsid w:val="00352935"/>
    <w:rsid w:val="00363213"/>
    <w:rsid w:val="003C28AD"/>
    <w:rsid w:val="003E6DAC"/>
    <w:rsid w:val="00417C19"/>
    <w:rsid w:val="00447DC6"/>
    <w:rsid w:val="0045511A"/>
    <w:rsid w:val="005335F3"/>
    <w:rsid w:val="00571196"/>
    <w:rsid w:val="0059446A"/>
    <w:rsid w:val="005A4CD6"/>
    <w:rsid w:val="005E7405"/>
    <w:rsid w:val="006211FA"/>
    <w:rsid w:val="00637082"/>
    <w:rsid w:val="006A1113"/>
    <w:rsid w:val="006C2B5E"/>
    <w:rsid w:val="00771CD1"/>
    <w:rsid w:val="00794167"/>
    <w:rsid w:val="007F0E27"/>
    <w:rsid w:val="00856FDB"/>
    <w:rsid w:val="008965CF"/>
    <w:rsid w:val="00897C6D"/>
    <w:rsid w:val="008C32C4"/>
    <w:rsid w:val="00963821"/>
    <w:rsid w:val="00982A87"/>
    <w:rsid w:val="009A0449"/>
    <w:rsid w:val="009A4024"/>
    <w:rsid w:val="009B3DA9"/>
    <w:rsid w:val="009B7EE7"/>
    <w:rsid w:val="00AC7BF2"/>
    <w:rsid w:val="00AD079A"/>
    <w:rsid w:val="00AF575E"/>
    <w:rsid w:val="00AF7B77"/>
    <w:rsid w:val="00B765C5"/>
    <w:rsid w:val="00C31CF7"/>
    <w:rsid w:val="00CB7822"/>
    <w:rsid w:val="00CC6373"/>
    <w:rsid w:val="00D02375"/>
    <w:rsid w:val="00DE645B"/>
    <w:rsid w:val="00E21250"/>
    <w:rsid w:val="00E3027D"/>
    <w:rsid w:val="00E3286F"/>
    <w:rsid w:val="00E5283B"/>
    <w:rsid w:val="00E609B7"/>
    <w:rsid w:val="00E90AC8"/>
    <w:rsid w:val="00EC642C"/>
    <w:rsid w:val="00F173A6"/>
    <w:rsid w:val="00F47355"/>
    <w:rsid w:val="00F551E8"/>
    <w:rsid w:val="00F7048A"/>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CAEP1"/>
    <w:next w:val="a"/>
    <w:link w:val="10"/>
    <w:uiPriority w:val="9"/>
    <w:qFormat/>
    <w:rsid w:val="00AF575E"/>
    <w:pPr>
      <w:outlineLvl w:val="0"/>
    </w:pPr>
    <w:rPr>
      <w:sz w:val="44"/>
      <w:szCs w:val="44"/>
    </w:rPr>
  </w:style>
  <w:style w:type="paragraph" w:styleId="2">
    <w:name w:val="heading 2"/>
    <w:basedOn w:val="CAEP2"/>
    <w:next w:val="a"/>
    <w:link w:val="20"/>
    <w:uiPriority w:val="9"/>
    <w:unhideWhenUsed/>
    <w:qFormat/>
    <w:rsid w:val="00AF575E"/>
    <w:pPr>
      <w:numPr>
        <w:numId w:val="23"/>
      </w:numPr>
      <w:outlineLvl w:val="1"/>
    </w:pPr>
    <w:rPr>
      <w:sz w:val="32"/>
      <w:szCs w:val="32"/>
    </w:rPr>
  </w:style>
  <w:style w:type="paragraph" w:styleId="3">
    <w:name w:val="heading 3"/>
    <w:basedOn w:val="CAEP0"/>
    <w:next w:val="a"/>
    <w:link w:val="30"/>
    <w:uiPriority w:val="9"/>
    <w:unhideWhenUsed/>
    <w:qFormat/>
    <w:rsid w:val="009A0449"/>
    <w:pPr>
      <w:numPr>
        <w:ilvl w:val="1"/>
        <w:numId w:val="23"/>
      </w:numPr>
      <w:outlineLvl w:val="2"/>
    </w:pPr>
  </w:style>
  <w:style w:type="paragraph" w:styleId="4">
    <w:name w:val="heading 4"/>
    <w:basedOn w:val="CAEP0"/>
    <w:next w:val="a"/>
    <w:link w:val="40"/>
    <w:uiPriority w:val="9"/>
    <w:unhideWhenUsed/>
    <w:qFormat/>
    <w:rsid w:val="009B3DA9"/>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AF575E"/>
    <w:rPr>
      <w:rFonts w:ascii="苹方 特粗" w:eastAsia="苹方 特粗" w:hAnsi="苹方 特粗"/>
      <w:sz w:val="44"/>
      <w:szCs w:val="44"/>
    </w:rPr>
  </w:style>
  <w:style w:type="paragraph" w:customStyle="1" w:styleId="CAEP1">
    <w:name w:val="CAEP标题"/>
    <w:basedOn w:val="a"/>
    <w:link w:val="CAEP3"/>
    <w:qFormat/>
    <w:rsid w:val="00DE645B"/>
    <w:pPr>
      <w:jc w:val="center"/>
    </w:pPr>
    <w:rPr>
      <w:rFonts w:ascii="苹方 特粗" w:eastAsia="苹方 特粗" w:hAnsi="苹方 特粗"/>
      <w:sz w:val="32"/>
      <w:szCs w:val="32"/>
    </w:rPr>
  </w:style>
  <w:style w:type="paragraph" w:customStyle="1" w:styleId="CEAP2">
    <w:name w:val="CEAP标题2"/>
    <w:basedOn w:val="CAEP1"/>
    <w:link w:val="CEAP20"/>
    <w:rsid w:val="00DE645B"/>
    <w:pPr>
      <w:jc w:val="both"/>
    </w:pPr>
  </w:style>
  <w:style w:type="character" w:customStyle="1" w:styleId="CAEP3">
    <w:name w:val="CAEP标题 字符"/>
    <w:basedOn w:val="a0"/>
    <w:link w:val="CAEP1"/>
    <w:rsid w:val="00DE645B"/>
    <w:rPr>
      <w:rFonts w:ascii="苹方 特粗" w:eastAsia="苹方 特粗" w:hAnsi="苹方 特粗"/>
      <w:sz w:val="32"/>
      <w:szCs w:val="32"/>
    </w:rPr>
  </w:style>
  <w:style w:type="paragraph" w:customStyle="1" w:styleId="CAEP2">
    <w:name w:val="CAEP小标题"/>
    <w:basedOn w:val="CAEP1"/>
    <w:link w:val="CAEP4"/>
    <w:qFormat/>
    <w:rsid w:val="00E3027D"/>
    <w:pPr>
      <w:jc w:val="both"/>
    </w:pPr>
    <w:rPr>
      <w:rFonts w:ascii="苹方 粗体" w:eastAsia="苹方 粗体" w:hAnsi="苹方 粗体"/>
      <w:sz w:val="28"/>
      <w:szCs w:val="28"/>
    </w:rPr>
  </w:style>
  <w:style w:type="character" w:customStyle="1" w:styleId="CEAP20">
    <w:name w:val="CEAP标题2 字符"/>
    <w:basedOn w:val="CAEP3"/>
    <w:link w:val="CEAP2"/>
    <w:rsid w:val="00DE645B"/>
    <w:rPr>
      <w:rFonts w:ascii="苹方 特粗" w:eastAsia="苹方 特粗" w:hAnsi="苹方 特粗"/>
      <w:sz w:val="32"/>
      <w:szCs w:val="32"/>
    </w:rPr>
  </w:style>
  <w:style w:type="paragraph" w:customStyle="1" w:styleId="CAEP5">
    <w:name w:val="CAEP正文"/>
    <w:basedOn w:val="CAEP1"/>
    <w:link w:val="CAEP6"/>
    <w:qFormat/>
    <w:rsid w:val="00E3027D"/>
    <w:pPr>
      <w:spacing w:beforeLines="50" w:before="156" w:line="480" w:lineRule="exact"/>
      <w:jc w:val="left"/>
    </w:pPr>
    <w:rPr>
      <w:rFonts w:ascii="苹方 常规" w:eastAsia="苹方 常规" w:hAnsi="苹方 常规"/>
      <w:sz w:val="21"/>
      <w:szCs w:val="21"/>
    </w:rPr>
  </w:style>
  <w:style w:type="character" w:customStyle="1" w:styleId="CAEP4">
    <w:name w:val="CAEP小标题 字符"/>
    <w:basedOn w:val="CAEP3"/>
    <w:link w:val="CAEP2"/>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6">
    <w:name w:val="CAEP正文 字符"/>
    <w:basedOn w:val="CAEP3"/>
    <w:link w:val="CAEP5"/>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7">
    <w:name w:val="CAEP说明"/>
    <w:basedOn w:val="CAEP5"/>
    <w:link w:val="CAEP8"/>
    <w:qFormat/>
    <w:rsid w:val="00856FDB"/>
    <w:pPr>
      <w:spacing w:beforeLines="0" w:before="0" w:line="320" w:lineRule="exact"/>
    </w:pPr>
    <w:rPr>
      <w:color w:val="595959" w:themeColor="text1" w:themeTint="A6"/>
      <w:sz w:val="18"/>
      <w:szCs w:val="18"/>
    </w:rPr>
  </w:style>
  <w:style w:type="paragraph" w:customStyle="1" w:styleId="CAEP20">
    <w:name w:val="CAEP小标题2"/>
    <w:basedOn w:val="CAEP5"/>
    <w:link w:val="CAEP21"/>
    <w:qFormat/>
    <w:rsid w:val="005E7405"/>
    <w:rPr>
      <w:rFonts w:ascii="苹方 粗体" w:eastAsia="苹方 粗体" w:hAnsi="苹方 粗体"/>
    </w:rPr>
  </w:style>
  <w:style w:type="character" w:customStyle="1" w:styleId="CAEP8">
    <w:name w:val="CAEP说明 字符"/>
    <w:basedOn w:val="CAEP6"/>
    <w:link w:val="CAEP7"/>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6"/>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 w:type="paragraph" w:customStyle="1" w:styleId="CAEP0">
    <w:name w:val="CAEP法条标题"/>
    <w:basedOn w:val="a"/>
    <w:next w:val="a"/>
    <w:link w:val="CAEP9"/>
    <w:autoRedefine/>
    <w:qFormat/>
    <w:rsid w:val="009B3DA9"/>
    <w:pPr>
      <w:numPr>
        <w:numId w:val="20"/>
      </w:numPr>
      <w:spacing w:beforeLines="200" w:before="624"/>
      <w:jc w:val="left"/>
    </w:pPr>
    <w:rPr>
      <w:rFonts w:eastAsia="苹方 粗体"/>
      <w:sz w:val="28"/>
    </w:rPr>
  </w:style>
  <w:style w:type="character" w:customStyle="1" w:styleId="CAEP9">
    <w:name w:val="CAEP法条标题 字符"/>
    <w:basedOn w:val="CAEP4"/>
    <w:link w:val="CAEP0"/>
    <w:rsid w:val="009B3DA9"/>
    <w:rPr>
      <w:rFonts w:ascii="苹方 粗体" w:eastAsia="苹方 粗体" w:hAnsi="苹方 粗体"/>
      <w:sz w:val="28"/>
      <w:szCs w:val="28"/>
    </w:rPr>
  </w:style>
  <w:style w:type="paragraph" w:styleId="TOC">
    <w:name w:val="TOC Heading"/>
    <w:basedOn w:val="1"/>
    <w:next w:val="a"/>
    <w:uiPriority w:val="39"/>
    <w:unhideWhenUsed/>
    <w:qFormat/>
    <w:rsid w:val="00363213"/>
    <w:pPr>
      <w:widowControl/>
      <w:spacing w:before="240" w:line="259" w:lineRule="auto"/>
      <w:jc w:val="left"/>
      <w:outlineLvl w:val="9"/>
    </w:pPr>
    <w:rPr>
      <w:rFonts w:asciiTheme="majorHAnsi" w:eastAsiaTheme="majorEastAsia" w:hAnsiTheme="majorHAnsi" w:cstheme="majorBidi"/>
      <w:b/>
      <w:bCs/>
      <w:color w:val="2F5496" w:themeColor="accent1" w:themeShade="BF"/>
      <w:kern w:val="0"/>
      <w:sz w:val="32"/>
      <w:szCs w:val="32"/>
    </w:rPr>
  </w:style>
  <w:style w:type="character" w:customStyle="1" w:styleId="20">
    <w:name w:val="标题 2 字符"/>
    <w:basedOn w:val="a0"/>
    <w:link w:val="2"/>
    <w:uiPriority w:val="9"/>
    <w:rsid w:val="00AF575E"/>
    <w:rPr>
      <w:rFonts w:ascii="苹方 粗体" w:eastAsia="苹方 粗体" w:hAnsi="苹方 粗体"/>
      <w:sz w:val="32"/>
      <w:szCs w:val="32"/>
    </w:rPr>
  </w:style>
  <w:style w:type="character" w:customStyle="1" w:styleId="30">
    <w:name w:val="标题 3 字符"/>
    <w:basedOn w:val="a0"/>
    <w:link w:val="3"/>
    <w:uiPriority w:val="9"/>
    <w:rsid w:val="009A0449"/>
    <w:rPr>
      <w:rFonts w:eastAsia="苹方 粗体"/>
      <w:sz w:val="28"/>
    </w:rPr>
  </w:style>
  <w:style w:type="paragraph" w:styleId="TOC1">
    <w:name w:val="toc 1"/>
    <w:basedOn w:val="a"/>
    <w:next w:val="a"/>
    <w:autoRedefine/>
    <w:uiPriority w:val="39"/>
    <w:unhideWhenUsed/>
    <w:rsid w:val="00AF575E"/>
  </w:style>
  <w:style w:type="paragraph" w:styleId="TOC2">
    <w:name w:val="toc 2"/>
    <w:basedOn w:val="a"/>
    <w:next w:val="a"/>
    <w:autoRedefine/>
    <w:uiPriority w:val="39"/>
    <w:unhideWhenUsed/>
    <w:rsid w:val="00AF575E"/>
    <w:pPr>
      <w:ind w:leftChars="200" w:left="420"/>
    </w:pPr>
  </w:style>
  <w:style w:type="character" w:styleId="ab">
    <w:name w:val="Hyperlink"/>
    <w:basedOn w:val="a0"/>
    <w:uiPriority w:val="99"/>
    <w:unhideWhenUsed/>
    <w:rsid w:val="00AF575E"/>
    <w:rPr>
      <w:color w:val="0563C1" w:themeColor="hyperlink"/>
      <w:u w:val="single"/>
    </w:rPr>
  </w:style>
  <w:style w:type="character" w:customStyle="1" w:styleId="40">
    <w:name w:val="标题 4 字符"/>
    <w:basedOn w:val="a0"/>
    <w:link w:val="4"/>
    <w:uiPriority w:val="9"/>
    <w:rsid w:val="009B3DA9"/>
    <w:rPr>
      <w:rFonts w:eastAsia="苹方 粗体"/>
      <w:sz w:val="28"/>
    </w:rPr>
  </w:style>
  <w:style w:type="numbering" w:customStyle="1" w:styleId="CAEP">
    <w:name w:val="CAEP"/>
    <w:uiPriority w:val="99"/>
    <w:rsid w:val="009B3DA9"/>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29E9-9BB3-4F63-B024-B884AC71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张嘉</cp:lastModifiedBy>
  <cp:revision>24</cp:revision>
  <cp:lastPrinted>2023-03-14T06:43:00Z</cp:lastPrinted>
  <dcterms:created xsi:type="dcterms:W3CDTF">2023-03-04T07:59:00Z</dcterms:created>
  <dcterms:modified xsi:type="dcterms:W3CDTF">2023-03-14T06:44:00Z</dcterms:modified>
</cp:coreProperties>
</file>