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开发规范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所有新增svg添加在icon-kat.liquid里，统一维护</w:t>
      </w:r>
    </w:p>
    <w:p>
      <w:pPr>
        <w:ind/>
      </w:pPr>
      <w:r/>
      <w:r>
        <w:drawing>
          <wp:inline distT="0" distB="0" distL="0" distR="0">
            <wp:extent cx="7124700" cy="285618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8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rPr>
          <w:sz w:val="20"/>
        </w:rPr>
        <w:t xml:space="preserve">命名svg语义化</w:t>
      </w:r>
    </w:p>
    <w:p>
      <w:pPr>
        <w:numPr>
          <w:ilvl w:val="0"/>
          <w:numId w:val="2"/>
        </w:numPr>
      </w:pPr>
      <w:r>
        <w:rPr>
          <w:sz w:val="20"/>
        </w:rPr>
        <w:t xml:space="preserve">在需要的地方引入：{%- render 'icon-kat', icon: 'cart' -%}</w:t>
      </w:r>
    </w:p>
    <w:p>
      <w:pPr>
        <w:numPr>
          <w:ilvl w:val="0"/>
          <w:numId w:val="2"/>
        </w:numPr>
      </w:pPr>
      <w:r>
        <w:rPr>
          <w:sz w:val="20"/>
        </w:rPr>
        <w:t xml:space="preserve">用svg的原始宽高作为default 宽高，引入时需要更改则再render时设置</w:t>
      </w:r>
    </w:p>
    <w:p>
      <w:pPr>
        <w:ind/>
      </w:pPr>
      <w:r/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使用picture+soucce区分双端</w:t>
      </w:r>
    </w:p>
    <w:p>
      <w:pPr>
        <w:pStyle w:val="dingding_code"/>
        <w:shd w:val="clear" w:color="auto" w:fill="D0CECE"/>
      </w:pPr>
      <w:r>
        <w:rPr>
          <w:sz w:val="20"/>
        </w:rPr>
        <w:t xml:space="preserve">   {% assign pc_image_alt = section.settings.image_pc.alt | default: 'KAT VR' | escape %}</w:t>
        <w:br w:type="textWrapping"/>
        <w:t xml:space="preserve">    </w:t>
        <w:br w:type="textWrapping"/>
        <w:t xml:space="preserve">    &lt;picture&gt;</w:t>
        <w:br w:type="textWrapping"/>
        <w:t xml:space="preserve">      {%- if section.settings.image_mobile -%}</w:t>
        <w:br w:type="textWrapping"/>
        <w:t xml:space="preserve">          &lt;source</w:t>
        <w:br w:type="textWrapping"/>
        <w:t xml:space="preserve">          media="(max-width: 768px)"</w:t>
        <w:br w:type="textWrapping"/>
        <w:t xml:space="preserve">          srcset="{{ section.settings.image_mobile | image_url: width: 400 }} 400w, {{ section.settings.image_mobile | image_url: width: 600 }} 600w"</w:t>
        <w:br w:type="textWrapping"/>
        <w:t xml:space="preserve">          width="{{ section.settings.image_mobile.width }}"</w:t>
        <w:br w:type="textWrapping"/>
        <w:t xml:space="preserve">          alt="{{ section.settings.image_mobile.alt | default: 'KAT VR' | escape }}"</w:t>
        <w:br w:type="textWrapping"/>
        <w:t xml:space="preserve">          loading="lazy"</w:t>
        <w:br w:type="textWrapping"/>
        <w:t xml:space="preserve">          class="object-cover"</w:t>
        <w:br w:type="textWrapping"/>
        <w:t xml:space="preserve">          &gt;</w:t>
        <w:br w:type="textWrapping"/>
        <w:t xml:space="preserve">      {%- endif -%}</w:t>
        <w:br w:type="textWrapping"/>
        <w:t xml:space="preserve">        {{- section.settings.image_pc | image_url: width: section.settings.image_pc.width | image_tag: loading: 'lazy', fetchpriority: 'high', widths: '600,700,800,900,1000,1200,1400,1600,1800,2000,2200,2400',alt: pc_image_alt -}}</w:t>
        <w:br w:type="textWrapping"/>
        <w:t xml:space="preserve">      &lt;/picture&gt;</w:t>
      </w:r>
    </w:p>
    <w:p>
      <w:pPr>
        <w:numPr>
          <w:ilvl w:val="0"/>
          <w:numId w:val="3"/>
        </w:numPr>
      </w:pPr>
      <w:r>
        <w:rPr>
          <w:sz w:val="20"/>
        </w:rPr>
        <w:t xml:space="preserve">上面M图，下面PC图</w:t>
      </w:r>
    </w:p>
    <w:p>
      <w:pPr>
        <w:numPr>
          <w:ilvl w:val="0"/>
          <w:numId w:val="3"/>
        </w:numPr>
      </w:pPr>
      <w:r>
        <w:rPr>
          <w:sz w:val="20"/>
        </w:rPr>
        <w:t xml:space="preserve">image_url: 图片url</w:t>
      </w:r>
    </w:p>
    <w:p>
      <w:pPr>
        <w:numPr>
          <w:ilvl w:val="0"/>
          <w:numId w:val="3"/>
        </w:numPr>
      </w:pPr>
      <w:r>
        <w:rPr>
          <w:sz w:val="20"/>
        </w:rPr>
        <w:t xml:space="preserve">width取图片初始宽，高会自适应，必设</w:t>
      </w:r>
    </w:p>
    <w:p>
      <w:pPr>
        <w:numPr>
          <w:ilvl w:val="0"/>
          <w:numId w:val="3"/>
        </w:numPr>
      </w:pPr>
      <w:r>
        <w:rPr>
          <w:sz w:val="20"/>
        </w:rPr>
        <w:t xml:space="preserve">alt：建议设置, 优先取后台设置，若无则取默认（建议</w:t>
      </w:r>
      <w:r>
        <w:rPr>
          <w:sz w:val="20"/>
          <w:color w:val="FE0300"/>
        </w:rPr>
        <w:t xml:space="preserve">后台上传时写上alt</w:t>
      </w:r>
      <w:r>
        <w:rPr>
          <w:sz w:val="20"/>
        </w:rPr>
        <w:t xml:space="preserve">，那样就不需要额外取值了）</w:t>
      </w:r>
    </w:p>
    <w:p>
      <w:pPr>
        <w:numPr>
          <w:ilvl w:val="0"/>
          <w:numId w:val="3"/>
        </w:numPr>
      </w:pPr>
      <w:r>
        <w:rPr>
          <w:sz w:val="20"/>
        </w:rPr>
        <w:t xml:space="preserve">loading:  可选，lazy=lazyload， eager=正常加载</w:t>
      </w:r>
    </w:p>
    <w:p>
      <w:pPr>
        <w:numPr>
          <w:ilvl w:val="0"/>
          <w:numId w:val="3"/>
        </w:numPr>
      </w:pPr>
      <w:r>
        <w:rPr>
          <w:sz w:val="20"/>
        </w:rPr>
        <w:t xml:space="preserve">fetchpriority:  可选，high=关键图，优先加载，low=可延迟加载</w:t>
      </w:r>
    </w:p>
    <w:p>
      <w:pPr>
        <w:numPr>
          <w:ilvl w:val="0"/>
          <w:numId w:val="3"/>
        </w:numPr>
      </w:pPr>
      <w:r>
        <w:rPr>
          <w:sz w:val="20"/>
        </w:rPr>
        <w:t xml:space="preserve">class: 可选，添加额外class控制样式</w:t>
      </w:r>
    </w:p>
    <w:p>
      <w:pPr>
        <w:numPr>
          <w:ilvl w:val="0"/>
          <w:numId w:val="3"/>
        </w:numPr>
      </w:pPr>
      <w:r>
        <w:rPr>
          <w:sz w:val="20"/>
        </w:rPr>
        <w:t xml:space="preserve">通常移动端加{%- if  -%}判断是否有移动端图，以免只上传一张图时带来的异常</w:t>
      </w:r>
    </w:p>
    <w:p>
      <w:pPr>
        <w:numPr>
          <w:ilvl w:val="0"/>
          <w:numId w:val="3"/>
        </w:numPr>
      </w:pPr>
      <w:r>
        <w:rPr>
          <w:sz w:val="20"/>
        </w:rPr>
        <w:t xml:space="preserve">图片使用webp格式</w:t>
      </w:r>
    </w:p>
    <w:p>
      <w:pPr>
        <w:numPr>
          <w:ilvl w:val="0"/>
          <w:numId w:val="3"/>
        </w:numPr>
      </w:pPr>
      <w:r>
        <w:rPr>
          <w:sz w:val="20"/>
        </w:rPr>
        <w:t xml:space="preserve">无需响应式：</w:t>
      </w:r>
    </w:p>
    <w:p>
      <w:pPr>
        <w:pStyle w:val="dingding_code"/>
        <w:shd w:val="clear" w:color="auto" w:fill="D0CECE"/>
      </w:pPr>
      <w:r>
        <w:rPr>
          <w:sz w:val="20"/>
        </w:rPr>
        <w:t xml:space="preserve">{% assign image_alt = block.settings.product_img.alt | default: 'KAT VR' | escape %}</w:t>
        <w:br w:type="textWrapping"/>
        <w:t xml:space="preserve">{{- block.settings.product_img | image_url: width: block.settings.product_img.width | image_tag: loading: 'eager', widths: '150,200,250,300,350,400,500,600',alt: image_alt -}}</w:t>
      </w:r>
    </w:p>
    <w:p>
      <w:pPr/>
      <w:r>
        <w:rPr>
          <w:sz w:val="20"/>
        </w:rPr>
      </w:r>
    </w:p>
    <w:p>
      <w:pPr>
        <w:ind/>
      </w:pPr>
      <w:r>
        <w:rPr>
          <w:sz w:val="20"/>
        </w:rPr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上线排期</w:t>
      </w:r>
    </w:p>
    <w:p>
      <w:pPr>
        <w:numPr>
          <w:ilvl w:val="0"/>
          <w:numId w:val="4"/>
        </w:numPr>
      </w:pPr>
      <w:r>
        <w:rPr>
          <w:sz w:val="20"/>
        </w:rPr>
        <w:t xml:space="preserve">开发截至周期，至少早于上线时间一天，以留充足时间进行验收修改</w:t>
      </w:r>
    </w:p>
    <w:p>
      <w:pPr>
        <w:numPr>
          <w:ilvl w:val="0"/>
          <w:numId w:val="4"/>
        </w:numPr>
      </w:pPr>
      <w:r>
        <w:rPr>
          <w:sz w:val="20"/>
        </w:rPr>
        <w:t xml:space="preserve">下午5点前，除线上问题外，不再更新线上主题，避免用户浏览高峰期</w:t>
      </w:r>
    </w:p>
    <w:p>
      <w:pPr>
        <w:numPr>
          <w:ilvl w:val="0"/>
          <w:numId w:val="4"/>
        </w:numPr>
      </w:pPr>
      <w:r>
        <w:rPr>
          <w:sz w:val="20"/>
        </w:rPr>
        <w:t xml:space="preserve">同步线上或线上操作时，应同步运营，避免多人同时操作引起覆盖冲突</w:t>
      </w:r>
    </w:p>
    <w:p>
      <w:pPr>
        <w:ind/>
      </w:pPr>
      <w:r>
        <w:rPr>
          <w:sz w:val="20"/>
        </w:rPr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核心或较为复杂功能添加注释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media.liquid组件新增了lazyload支持，引入时若图片非首屏位置，可以添加参数, 默认eager</w:t>
      </w:r>
    </w:p>
    <w:p>
      <w:pPr>
        <w:ind/>
      </w:pPr>
      <w:r/>
      <w:r>
        <w:drawing>
          <wp:inline distT="0" distB="0" distL="0" distR="0">
            <wp:extent cx="4162425" cy="2400300"/>
            <wp:effectExtent b="0" l="0" r="0" t="0"/>
            <wp:docPr id="2" name="d5a6357a-6f3c-44cd-a068-224bd1ef9f9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4162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media.liquid:</w:t>
      </w:r>
    </w:p>
    <w:p>
      <w:pPr>
        <w:ind/>
      </w:pPr>
      <w:r/>
      <w:r>
        <w:drawing>
          <wp:inline distT="0" distB="0" distL="0" distR="0">
            <wp:extent cx="4943475" cy="1257300"/>
            <wp:effectExtent b="0" l="0" r="0" t="0"/>
            <wp:docPr id="3" name="8ad8586a-befb-4034-8243-d8e2ae0a6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4943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5981700" cy="3829050"/>
            <wp:effectExtent b="0" l="0" r="0" t="0"/>
            <wp:docPr id="4" name="f646b9e1-282f-465d-9f87-e23b0740769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9817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上传图片命令使用‘-’连接，避免空格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建议不要使用h2~h6之类的标签，可以用p class="h2"代替</w:t>
      </w:r>
    </w:p>
    <w:p>
      <w:pPr>
        <w:numPr>
          <w:ilvl w:val="0"/>
          <w:numId w:val="5"/>
        </w:numPr>
      </w:pPr>
      <w:r>
        <w:rPr>
          <w:sz w:val="20"/>
          <w:b w:val="1"/>
        </w:rPr>
        <w:t xml:space="preserve">google会要求由上而下，以此使用标题标签</w:t>
      </w:r>
    </w:p>
    <w:p>
      <w:pPr>
        <w:ind/>
      </w:pPr>
      <w:r>
        <w:rPr>
          <w:sz w:val="20"/>
          <w:b w:val="1"/>
        </w:rPr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新增kat-satus组件(coast弹出提示)</w:t>
      </w:r>
    </w:p>
    <w:p>
      <w:pPr>
        <w:numPr>
          <w:ilvl w:val="0"/>
          <w:numId w:val="6"/>
        </w:numPr>
      </w:pPr>
      <w:r>
        <w:rPr>
          <w:sz w:val="20"/>
          <w:b w:val="1"/>
        </w:rPr>
        <w:t xml:space="preserve">引入方式：showKatToast('success')、showKatToast('error')</w:t>
      </w:r>
    </w:p>
    <w:p>
      <w:pPr>
        <w:numPr>
          <w:ilvl w:val="0"/>
          <w:numId w:val="7"/>
        </w:numPr>
      </w:pPr>
      <w:r>
        <w:rPr>
          <w:sz w:val="20"/>
          <w:b w:val="1"/>
        </w:rPr>
        <w:t xml:space="preserve">目前有success和error两种类型，后期根据需要加扩展</w:t>
      </w:r>
    </w:p>
    <w:p>
      <w:pPr>
        <w:numPr>
          <w:ilvl w:val="0"/>
          <w:numId w:val="7"/>
        </w:numPr>
      </w:pPr>
      <w:r>
        <w:rPr>
          <w:sz w:val="20"/>
          <w:b w:val="1"/>
        </w:rPr>
        <w:t xml:space="preserve">目前暂不支持message传入，后期扩展</w:t>
      </w:r>
    </w:p>
    <w:p>
      <w:pPr>
        <w:ind/>
      </w:pPr>
      <w:r>
        <w:rPr>
          <w:sz w:val="20"/>
          <w:b w:val="1"/>
        </w:rPr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撒花组件clebration-effect</w:t>
      </w:r>
    </w:p>
    <w:p>
      <w:pPr>
        <w:numPr>
          <w:ilvl w:val="0"/>
          <w:numId w:val="8"/>
        </w:numPr>
      </w:pPr>
      <w:r>
        <w:rPr>
          <w:sz w:val="20"/>
          <w:b w:val="1"/>
        </w:rPr>
        <w:t xml:space="preserve">引入方式：{% render 'celebration-effect' %}</w:t>
      </w:r>
      <w:r>
        <w:t xml:space="preserve">， </w:t>
      </w:r>
      <w:r>
        <w:rPr>
          <w:sz w:val="20"/>
          <w:b w:val="1"/>
        </w:rPr>
        <w:t xml:space="preserve">if (window.celebrationEffect) window.celebrationEffect();</w:t>
      </w:r>
    </w:p>
    <w:p>
      <w:pPr>
        <w:numPr>
          <w:ilvl w:val="0"/>
          <w:numId w:val="8"/>
        </w:numPr>
      </w:pPr>
      <w:r>
        <w:rPr>
          <w:sz w:val="20"/>
          <w:b w:val="1"/>
        </w:rPr>
        <w:t xml:space="preserve">给容器最外层元素添加relative定位，否则会向上查找最近的relative元素直至body</w:t>
      </w:r>
    </w:p>
    <w:p>
      <w:pPr>
        <w:ind/>
      </w:pPr>
      <w:r>
        <w:rPr>
          <w:sz w:val="20"/>
          <w:b w:val="1"/>
        </w:rPr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页内外跳转 inpageSetionLink</w:t>
      </w:r>
    </w:p>
    <w:p>
      <w:pPr>
        <w:numPr>
          <w:ilvl w:val="0"/>
          <w:numId w:val="9"/>
        </w:numPr>
      </w:pPr>
      <w:r>
        <w:rPr>
          <w:sz w:val="20"/>
        </w:rPr>
        <w:t xml:space="preserve">使用方式："inpageSetionLink('{{ section.settings.url }}', '{{ section.settings.name }}', {{ section.settings.num }})"</w:t>
      </w:r>
    </w:p>
    <w:p>
      <w:pPr>
        <w:numPr>
          <w:ilvl w:val="0"/>
          <w:numId w:val="9"/>
        </w:numPr>
      </w:pPr>
      <w:r>
        <w:rPr>
          <w:sz w:val="20"/>
        </w:rPr>
        <w:t xml:space="preserve">参数：url为其它页url，name为当前页组件名（取自id）, num为序列号（默认为1）</w:t>
      </w:r>
    </w:p>
    <w:p>
      <w:pPr>
        <w:numPr>
          <w:ilvl w:val="0"/>
          <w:numId w:val="9"/>
        </w:numPr>
      </w:pPr>
      <w:r>
        <w:rPr>
          <w:sz w:val="20"/>
        </w:rPr>
        <w:t xml:space="preserve">优先级：如果有url直接跳转，没有则页内跳转；页内跳转如果跳转多个同名组件，num为同名组件的序列号（从1起）</w:t>
      </w:r>
    </w:p>
    <w:p>
      <w:pPr>
        <w:numPr>
          <w:ilvl w:val="0"/>
          <w:numId w:val="9"/>
        </w:numPr>
      </w:pPr>
      <w:r>
        <w:rPr>
          <w:sz w:val="20"/>
        </w:rPr>
        <w:t xml:space="preserve">风险：如果跳转了多个同名组件，其中间某一个被删了，导致后面的index对不上，默认跳转第一个同名组件，此时console会提示警告。</w:t>
      </w:r>
    </w:p>
    <w:p>
      <w:pPr>
        <w:ind/>
      </w:pPr>
      <w:r>
        <w:rPr>
          <w:sz w:val="20"/>
          <w:b w:val="1"/>
        </w:rPr>
      </w:r>
      <w:r>
        <w:drawing>
          <wp:inline distT="0" distB="0" distL="0" distR="0">
            <wp:extent cx="7124700" cy="4736032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47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b w:val="1"/>
        </w:rPr>
      </w:r>
    </w:p>
    <w:p>
      <w:pPr/>
      <w:r/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公共-复制折扣码（需要直接绑定在Copy Code元素上）</w:t>
      </w:r>
    </w:p>
    <w:p>
      <w:pPr>
        <w:ind/>
      </w:pPr>
      <w:r>
        <w:rPr>
          <w:sz w:val="20"/>
          <w:b w:val="1"/>
        </w:rPr>
      </w:r>
      <w:r>
        <w:drawing>
          <wp:inline distT="0" distB="0" distL="0" distR="0">
            <wp:extent cx="4084320" cy="1470660"/>
            <wp:effectExtent b="0" l="0" r="0" t="0"/>
            <wp:docPr id="6" name="29e73e98-7d4e-4b2a-a979-b2a8741791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0843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b w:val="1"/>
        </w:rPr>
      </w:r>
    </w:p>
    <w:p>
      <w:pPr>
        <w:ind/>
      </w:pPr>
      <w:r>
        <w:rPr>
          <w:sz w:val="20"/>
          <w:b w:val="1"/>
        </w:rPr>
      </w:r>
      <w:r>
        <w:drawing>
          <wp:inline distT="0" distB="0" distL="0" distR="0">
            <wp:extent cx="5364480" cy="990600"/>
            <wp:effectExtent b="0" l="0" r="0" t="0"/>
            <wp:docPr id="7" name="da35b25f-b61e-4588-8e68-d5bf211684c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53644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b w:val="1"/>
        </w:rPr>
      </w:r>
    </w:p>
    <w:p>
      <w:pPr>
        <w:ind/>
      </w:pPr>
      <w:r>
        <w:rPr>
          <w:sz w:val="20"/>
          <w:b w:val="1"/>
        </w:rPr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6">
    <w:abstractNumId w:val="5"/>
  </w:num>
  <w:num w:numId="8">
    <w:abstractNumId w:val="7"/>
  </w:num>
  <w:num w:numId="7">
    <w:abstractNumId w:val="6"/>
  </w:num>
  <w:num w:numId="3">
    <w:abstractNumId w:val="2"/>
  </w:num>
  <w:num w:numId="9">
    <w:abstractNumId w:val="8"/>
  </w:num>
  <w:num w:numId="5">
    <w:abstractNumId w:val="4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