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设计相关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响应式设计</w:t>
      </w:r>
    </w:p>
    <w:p>
      <w:pPr>
        <w:ind/>
      </w:pPr>
      <w:r>
        <w:rPr>
          <w:sz w:val="20"/>
        </w:rPr>
        <w:t xml:space="preserve">常见设备：</w:t>
      </w:r>
    </w:p>
    <w:p>
      <w:pPr>
        <w:ind w:firstLine="480"/>
      </w:pPr>
      <w:r>
        <w:rPr>
          <w:sz w:val="20"/>
        </w:rPr>
        <w:t xml:space="preserve">iphone12: 390*844</w:t>
      </w:r>
    </w:p>
    <w:p>
      <w:pPr>
        <w:ind w:firstLine="480"/>
      </w:pPr>
      <w:r>
        <w:rPr>
          <w:sz w:val="20"/>
        </w:rPr>
        <w:t xml:space="preserve">iphone16pro max: 440*956</w:t>
      </w:r>
    </w:p>
    <w:p>
      <w:pPr>
        <w:ind w:firstLine="480"/>
      </w:pPr>
      <w:r>
        <w:rPr>
          <w:sz w:val="20"/>
        </w:rPr>
        <w:t xml:space="preserve">ipad mini: 768*1024</w:t>
      </w:r>
    </w:p>
    <w:p>
      <w:pPr>
        <w:ind w:firstLine="480"/>
      </w:pPr>
      <w:r>
        <w:rPr>
          <w:sz w:val="20"/>
        </w:rPr>
        <w:t xml:space="preserve">ipad Pro12.9: 1024*1366</w:t>
      </w:r>
    </w:p>
    <w:p>
      <w:pPr>
        <w:ind/>
      </w:pPr>
      <w:r>
        <w:rPr>
          <w:sz w:val="20"/>
        </w:rPr>
        <w:t xml:space="preserve">通常以768px为双端分界点</w:t>
      </w:r>
    </w:p>
    <w:p>
      <w:pPr>
        <w:ind/>
      </w:pPr>
      <w:r>
        <w:rPr>
          <w:sz w:val="20"/>
        </w:rPr>
        <w:t xml:space="preserve">移动端设计以640宽为准，进行等比例计算</w:t>
      </w:r>
    </w:p>
    <w:p>
      <w:pPr>
        <w:ind/>
      </w:pPr>
      <w:r>
        <w:rPr>
          <w:sz w:val="20"/>
        </w:rPr>
        <w:t xml:space="preserve">pc端设计以1920宽为准</w:t>
      </w:r>
    </w:p>
    <w:p>
      <w:pPr>
        <w:ind/>
      </w:pPr>
      <w:r>
        <w:rPr>
          <w:sz w:val="20"/>
        </w:rPr>
        <w:t xml:space="preserve">&gt;1440px时，除header和footer等通用内容外，容器考虑开启居中，两侧留白</w:t>
      </w:r>
    </w:p>
    <w:p>
      <w:pPr>
        <w:ind/>
      </w:pPr>
      <w:r>
        <w:rPr>
          <w:sz w:val="20"/>
        </w:rPr>
        <w:t xml:space="preserve">&gt;1920px时，除header和footer等通用内容外，大多数容器居中宽度不再增长，两侧留白增长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背景和文字，增加颜色对比度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同一组件里，多张平行的图片，宽高相同</w:t>
      </w:r>
    </w:p>
    <w:p>
      <w:pPr>
        <w:numPr>
          <w:ilvl w:val="0"/>
          <w:numId w:val="1"/>
        </w:numPr>
      </w:pPr>
      <w:r>
        <w:rPr>
          <w:sz w:val="20"/>
          <w:b w:val="1"/>
        </w:rPr>
        <w:t xml:space="preserve">绝大多数section，应当在一屏内展示完，同一个section如果有多个item组成，则item应当在一屏内展示完</w:t>
      </w:r>
    </w:p>
    <w:p>
      <w:pPr>
        <w:numPr>
          <w:ilvl w:val="0"/>
          <w:numId w:val="2"/>
        </w:numPr>
      </w:pPr>
      <w:r>
        <w:rPr>
          <w:sz w:val="20"/>
          <w:b w:val="1"/>
        </w:rPr>
        <w:t xml:space="preserve">banner轮播图或占一整行的单张图建议尺寸：pc 12:5 或 16:5, M 12:16 或 12：12</w:t>
      </w:r>
      <w:r>
        <w:t xml:space="preserve">； </w:t>
      </w:r>
      <w:r>
        <w:rPr>
          <w:sz w:val="20"/>
          <w:b w:val="1"/>
        </w:rPr>
        <w:t xml:space="preserve">pc上因为有菜单一类公共区域，用16:9会超出屏幕；</w:t>
      </w:r>
    </w:p>
    <w:p>
      <w:pPr>
        <w:ind/>
      </w:pPr>
      <w:r>
        <w:rPr>
          <w:sz w:val="20"/>
          <w:b w:val="1"/>
        </w:rPr>
        <w:t xml:space="preserve">参考： 大疆、安克，apple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