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673F4E9A" w14:textId="77777777" w:rsidR="00952E08" w:rsidRPr="00FF4109" w:rsidRDefault="00952E08" w:rsidP="00326B24">
      <w:pPr>
        <w:rPr>
          <w:b/>
          <w:bCs/>
          <w:i/>
          <w:iCs/>
        </w:rPr>
      </w:pPr>
    </w:p>
    <w:p w14:paraId="02B757DF" w14:textId="278322D9" w:rsidR="00952E08" w:rsidRPr="00FF4109" w:rsidRDefault="00507AFF" w:rsidP="00952E08">
      <w:pPr>
        <w:jc w:val="center"/>
        <w:rPr>
          <w:rFonts w:eastAsia="Times New Roman"/>
          <w:b/>
          <w:i/>
        </w:rPr>
      </w:pPr>
      <w:bookmarkStart w:id="0" w:name="_Hlk82471863"/>
      <w:r w:rsidRPr="00FF4109">
        <w:rPr>
          <w:rFonts w:eastAsia="Times New Roman"/>
          <w:b/>
          <w:i/>
        </w:rPr>
        <w:t>&lt;&lt;ug_main&gt;&gt;</w:t>
      </w:r>
      <w:commentRangeStart w:id="1"/>
    </w:p>
    <w:p w14:paraId="4EB2A508" w14:textId="5EE8AB9F" w:rsidR="00952E08" w:rsidRPr="00FF4109" w:rsidRDefault="00952E08" w:rsidP="00952E08">
      <w:pPr>
        <w:spacing w:before="120" w:afterLines="120" w:after="288" w:line="312" w:lineRule="auto"/>
        <w:jc w:val="center"/>
        <w:rPr>
          <w:bCs/>
          <w:sz w:val="20"/>
          <w:szCs w:val="20"/>
        </w:rPr>
      </w:pPr>
      <w:r w:rsidRPr="00FF4109">
        <w:rPr>
          <w:sz w:val="20"/>
          <w:szCs w:val="20"/>
        </w:rPr>
        <w:t>(Processo Administrativo n°</w:t>
      </w:r>
      <w:r w:rsidR="00507AFF" w:rsidRPr="00FF4109">
        <w:rPr>
          <w:sz w:val="20"/>
          <w:szCs w:val="20"/>
        </w:rPr>
        <w:t>&lt;&lt;processo_admininstrativo&gt;&gt;</w:t>
      </w:r>
      <w:r w:rsidRPr="00FF4109">
        <w:rPr>
          <w:sz w:val="20"/>
          <w:szCs w:val="20"/>
        </w:rPr>
        <w:t>)</w:t>
      </w:r>
      <w:commentRangeEnd w:id="1"/>
      <w:r w:rsidRPr="00FF4109">
        <w:commentReference w:id="1"/>
      </w:r>
    </w:p>
    <w:p w14:paraId="36720564" w14:textId="77777777" w:rsidR="00952E08" w:rsidRPr="00FF4109" w:rsidRDefault="00952E08" w:rsidP="00952E08">
      <w:pPr>
        <w:pStyle w:val="Nivel01"/>
        <w:rPr>
          <w:rFonts w:eastAsia="Arial"/>
        </w:rPr>
      </w:pPr>
      <w:r w:rsidRPr="00FF4109">
        <w:t>CONDIÇÕES GERAIS DA CONTRATAÇÃO</w:t>
      </w:r>
    </w:p>
    <w:p w14:paraId="4F45A3DF" w14:textId="6624C215" w:rsidR="00952E08" w:rsidRPr="00FF4109" w:rsidRDefault="00952E08" w:rsidP="00952E08">
      <w:pPr>
        <w:pStyle w:val="Nivel2"/>
        <w:rPr>
          <w:b/>
          <w:bCs/>
          <w:color w:val="auto"/>
        </w:rPr>
      </w:pPr>
      <w:commentRangeStart w:id="2"/>
      <w:r w:rsidRPr="00FF4109">
        <w:rPr>
          <w:color w:val="auto"/>
        </w:rPr>
        <w:t>Aquisição de</w:t>
      </w:r>
      <w:r w:rsidR="00507AFF" w:rsidRPr="00FF4109">
        <w:rPr>
          <w:color w:val="auto"/>
        </w:rPr>
        <w:t xml:space="preserve"> &lt;&lt;objeto&gt;&gt;</w:t>
      </w:r>
      <w:r w:rsidRPr="00FF4109">
        <w:rPr>
          <w:b/>
          <w:bCs/>
          <w:color w:val="auto"/>
        </w:rPr>
        <w:t>,</w:t>
      </w:r>
      <w:r w:rsidRPr="00FF4109">
        <w:rPr>
          <w:color w:val="auto"/>
        </w:rPr>
        <w:t xml:space="preserve"> nos termos da tabela abaixo, conforme condições e exigências estabelecidas neste instrumento.</w:t>
      </w:r>
      <w:commentRangeEnd w:id="2"/>
      <w:r w:rsidRPr="00FF4109">
        <w:rPr>
          <w:color w:val="auto"/>
        </w:rPr>
        <w:commentReference w:id="2"/>
      </w:r>
    </w:p>
    <w:p w14:paraId="7173836D" w14:textId="340C88E9" w:rsidR="00DA7886" w:rsidRPr="00FF4109" w:rsidRDefault="00DA7886" w:rsidP="00DA7886">
      <w:pPr>
        <w:pStyle w:val="Nivel2"/>
        <w:numPr>
          <w:ilvl w:val="0"/>
          <w:numId w:val="0"/>
        </w:numPr>
        <w:rPr>
          <w:b/>
          <w:bCs/>
          <w:color w:val="auto"/>
        </w:rPr>
      </w:pPr>
      <w:r w:rsidRPr="00FF4109">
        <w:rPr>
          <w:color w:val="auto"/>
        </w:rPr>
        <w:t>&lt;&lt;tabela_itens&gt;&gt; ou &lt;&lt;tabela_lote&gt;&gt; ou &lt;&lt;tabela_itens&gt;&gt;</w:t>
      </w:r>
    </w:p>
    <w:p w14:paraId="41B200D1" w14:textId="77777777" w:rsidR="00952E08" w:rsidRPr="00FF4109" w:rsidRDefault="00952E08" w:rsidP="00952E08">
      <w:pPr>
        <w:pStyle w:val="Nivel2"/>
        <w:rPr>
          <w:color w:val="auto"/>
        </w:rPr>
      </w:pPr>
      <w:bookmarkStart w:id="3" w:name="_Hlk187868748"/>
      <w:commentRangeStart w:id="4"/>
      <w:r w:rsidRPr="00FF4109">
        <w:rPr>
          <w:color w:val="auto"/>
        </w:rPr>
        <w:t>O objeto desta contratação não se enquadra como sendo de bem de luxo, conforme Decreto nº 10.818, de 27 de setembro de 2021.</w:t>
      </w:r>
      <w:commentRangeEnd w:id="4"/>
      <w:r w:rsidRPr="00FF4109">
        <w:rPr>
          <w:color w:val="auto"/>
        </w:rPr>
        <w:commentReference w:id="4"/>
      </w:r>
    </w:p>
    <w:bookmarkEnd w:id="3"/>
    <w:p w14:paraId="64D61CDB" w14:textId="0FE6FCA4" w:rsidR="00952E08" w:rsidRPr="00FF4109" w:rsidRDefault="00952E08" w:rsidP="00952E08">
      <w:pPr>
        <w:pStyle w:val="Nvel2-Red"/>
        <w:rPr>
          <w:color w:val="auto"/>
        </w:rPr>
      </w:pPr>
      <w:commentRangeStart w:id="5"/>
      <w:r w:rsidRPr="00FF4109">
        <w:rPr>
          <w:color w:val="auto"/>
        </w:rPr>
        <w:t xml:space="preserve">O prazo de vigência da contratação é de </w:t>
      </w:r>
      <w:r w:rsidR="00812D18" w:rsidRPr="00FF4109">
        <w:rPr>
          <w:color w:val="auto"/>
        </w:rPr>
        <w:t>&lt;&lt;prazo_vigenci</w:t>
      </w:r>
      <w:r w:rsidR="00FC3CE8" w:rsidRPr="00FF4109">
        <w:rPr>
          <w:color w:val="auto"/>
        </w:rPr>
        <w:t>a_a</w:t>
      </w:r>
      <w:r w:rsidR="00812D18" w:rsidRPr="00FF4109">
        <w:rPr>
          <w:color w:val="auto"/>
        </w:rPr>
        <w:t>&gt;&gt;</w:t>
      </w:r>
      <w:r w:rsidRPr="00FF4109">
        <w:rPr>
          <w:color w:val="auto"/>
        </w:rPr>
        <w:t xml:space="preserve"> contados do(a) </w:t>
      </w:r>
      <w:r w:rsidR="00FC3CE8" w:rsidRPr="00FF4109">
        <w:rPr>
          <w:color w:val="auto"/>
        </w:rPr>
        <w:t>&lt;&lt;ini_vigencia_a&gt;&gt;</w:t>
      </w:r>
      <w:r w:rsidRPr="00FF4109">
        <w:rPr>
          <w:color w:val="auto"/>
        </w:rPr>
        <w:t>, na forma do artigo 105 da Lei n° 14.133, de 2021.</w:t>
      </w:r>
    </w:p>
    <w:p w14:paraId="051DE09E" w14:textId="77777777" w:rsidR="00952E08" w:rsidRPr="00FF4109" w:rsidRDefault="00952E08" w:rsidP="00952E08">
      <w:pPr>
        <w:pStyle w:val="ou"/>
        <w:spacing w:before="120" w:afterLines="120" w:after="288" w:line="312" w:lineRule="auto"/>
        <w:rPr>
          <w:color w:val="auto"/>
          <w:szCs w:val="20"/>
        </w:rPr>
      </w:pPr>
      <w:r w:rsidRPr="00FF4109">
        <w:rPr>
          <w:color w:val="auto"/>
          <w:szCs w:val="20"/>
        </w:rPr>
        <w:t>OU</w:t>
      </w:r>
    </w:p>
    <w:p w14:paraId="663EC5D1" w14:textId="1DA33A14" w:rsidR="00952E08" w:rsidRPr="00FF4109" w:rsidRDefault="00952E08" w:rsidP="00952E08">
      <w:pPr>
        <w:pStyle w:val="Nvel2-Red"/>
        <w:rPr>
          <w:color w:val="auto"/>
        </w:rPr>
      </w:pPr>
      <w:r w:rsidRPr="00FF4109">
        <w:rPr>
          <w:color w:val="auto"/>
        </w:rPr>
        <w:t xml:space="preserve">O prazo de vigência da contratação é de </w:t>
      </w:r>
      <w:r w:rsidR="00FC3CE8" w:rsidRPr="00FF4109">
        <w:rPr>
          <w:color w:val="auto"/>
        </w:rPr>
        <w:t>&lt;&lt;prazo_vigencia_b&gt;&gt;</w:t>
      </w:r>
      <w:r w:rsidRPr="00FF4109">
        <w:rPr>
          <w:color w:val="auto"/>
        </w:rPr>
        <w:t xml:space="preserve"> contados do(a)</w:t>
      </w:r>
      <w:r w:rsidR="00FC3CE8" w:rsidRPr="00FF4109">
        <w:rPr>
          <w:color w:val="auto"/>
        </w:rPr>
        <w:t xml:space="preserve"> &lt;&lt;</w:t>
      </w:r>
      <w:r w:rsidR="0097686B" w:rsidRPr="00FF4109">
        <w:rPr>
          <w:color w:val="auto"/>
        </w:rPr>
        <w:t>ini_vigencia_b</w:t>
      </w:r>
      <w:r w:rsidR="00FC3CE8" w:rsidRPr="00FF4109">
        <w:rPr>
          <w:color w:val="auto"/>
        </w:rPr>
        <w:t>&gt;&gt;</w:t>
      </w:r>
      <w:r w:rsidRPr="00FF4109">
        <w:rPr>
          <w:color w:val="auto"/>
        </w:rPr>
        <w:t>, prorrogável por até 10 anos, na forma dos artigos 106 e 107 da Lei n° 14.133, de 2021.</w:t>
      </w:r>
      <w:commentRangeEnd w:id="5"/>
      <w:r w:rsidRPr="00FF4109">
        <w:rPr>
          <w:color w:val="auto"/>
        </w:rPr>
        <w:commentReference w:id="5"/>
      </w:r>
    </w:p>
    <w:p w14:paraId="26C6A989" w14:textId="4B149123" w:rsidR="00952E08" w:rsidRPr="00FF4109" w:rsidRDefault="00952E08" w:rsidP="000B1356">
      <w:pPr>
        <w:pStyle w:val="Nvel3-R"/>
      </w:pPr>
      <w:r w:rsidRPr="00FF4109">
        <w:t>O fornecimento de bens é enquadrado como continuado tendo em vista que</w:t>
      </w:r>
      <w:r w:rsidR="0097686B" w:rsidRPr="00FF4109">
        <w:t xml:space="preserve"> &lt;&lt;just_serv_contin&gt;&gt;</w:t>
      </w:r>
      <w:r w:rsidRPr="00FF4109">
        <w:t xml:space="preserve">, sendo a vigência plurianual mais vantajosa considerando </w:t>
      </w:r>
      <w:r w:rsidR="0097686B" w:rsidRPr="00FF4109">
        <w:t>&lt;&lt;just_serv_ppl&gt;&gt;.</w:t>
      </w:r>
    </w:p>
    <w:p w14:paraId="0F0204A1" w14:textId="6F0CA964" w:rsidR="0097686B" w:rsidRPr="00FF4109" w:rsidRDefault="0097686B" w:rsidP="0097686B">
      <w:pPr>
        <w:pStyle w:val="ou"/>
        <w:spacing w:before="120" w:afterLines="120" w:after="288" w:line="312" w:lineRule="auto"/>
        <w:rPr>
          <w:color w:val="auto"/>
          <w:szCs w:val="20"/>
        </w:rPr>
      </w:pPr>
      <w:r w:rsidRPr="00FF4109">
        <w:rPr>
          <w:color w:val="auto"/>
          <w:szCs w:val="20"/>
        </w:rPr>
        <w:t>OU</w:t>
      </w:r>
    </w:p>
    <w:p w14:paraId="1AA16BEE" w14:textId="0A604075" w:rsidR="00952E08" w:rsidRPr="00FF4109" w:rsidRDefault="00952E08" w:rsidP="009166EE">
      <w:pPr>
        <w:pStyle w:val="Nvel2-Red"/>
        <w:rPr>
          <w:color w:val="auto"/>
        </w:rPr>
      </w:pPr>
      <w:r w:rsidRPr="00FF4109">
        <w:rPr>
          <w:color w:val="auto"/>
        </w:rPr>
        <w:t xml:space="preserve">O prazo de vigência da contratação é de </w:t>
      </w:r>
      <w:r w:rsidR="0097686B" w:rsidRPr="00FF4109">
        <w:rPr>
          <w:color w:val="auto"/>
        </w:rPr>
        <w:t>&lt;&lt;prazo_vigencia_c&gt;&gt;</w:t>
      </w:r>
      <w:r w:rsidRPr="00FF4109">
        <w:rPr>
          <w:color w:val="auto"/>
        </w:rPr>
        <w:t xml:space="preserve"> contados do(a) </w:t>
      </w:r>
      <w:r w:rsidR="0097686B" w:rsidRPr="00FF4109">
        <w:rPr>
          <w:color w:val="auto"/>
        </w:rPr>
        <w:t>&lt;&lt;ini_vigencia_b&gt;&gt;</w:t>
      </w:r>
      <w:r w:rsidRPr="00FF4109">
        <w:rPr>
          <w:color w:val="auto"/>
        </w:rPr>
        <w:t>, improrrogável, na forma do art. 75, VIII da Lei n° 14.133/2021.</w:t>
      </w:r>
    </w:p>
    <w:p w14:paraId="14636851" w14:textId="5ABCDDFA" w:rsidR="00952E08" w:rsidRPr="00FF4109" w:rsidRDefault="00952E08" w:rsidP="002548D7">
      <w:pPr>
        <w:pStyle w:val="Nivel2"/>
        <w:rPr>
          <w:color w:val="auto"/>
        </w:rPr>
      </w:pPr>
      <w:r w:rsidRPr="00FF4109">
        <w:rPr>
          <w:color w:val="auto"/>
        </w:rPr>
        <w:t xml:space="preserve">O contrato </w:t>
      </w:r>
      <w:r w:rsidR="002548D7" w:rsidRPr="00FF4109">
        <w:rPr>
          <w:color w:val="auto"/>
        </w:rPr>
        <w:t>e/ou o(a) &lt;&lt;instru_habil&gt;&gt;</w:t>
      </w:r>
      <w:r w:rsidRPr="00FF4109">
        <w:rPr>
          <w:color w:val="auto"/>
        </w:rPr>
        <w:t xml:space="preserve"> oferece maior detalhamento das regras que serão aplicadas em relação à vigência da contratação.</w:t>
      </w:r>
    </w:p>
    <w:p w14:paraId="44A5B4B5" w14:textId="77777777" w:rsidR="00952E08" w:rsidRPr="00FF4109" w:rsidRDefault="00952E08" w:rsidP="00952E08">
      <w:pPr>
        <w:pStyle w:val="Nivel01"/>
      </w:pPr>
      <w:r w:rsidRPr="00FF4109">
        <w:t>FUNDAMENTAÇÃO E DESCRIÇÃO DA NECESSIDADE DA CONTRATAÇÃO</w:t>
      </w:r>
    </w:p>
    <w:p w14:paraId="5AF16895" w14:textId="3B07F433" w:rsidR="00ED1712" w:rsidRPr="00FF4109" w:rsidRDefault="002548D7" w:rsidP="003427F5">
      <w:pPr>
        <w:pStyle w:val="Nivel2"/>
        <w:rPr>
          <w:color w:val="auto"/>
        </w:rPr>
      </w:pPr>
      <w:r w:rsidRPr="00FF4109">
        <w:rPr>
          <w:color w:val="auto"/>
        </w:rPr>
        <w:t>&lt;&lt;justificativa&gt;</w:t>
      </w:r>
      <w:r w:rsidR="00ED1712" w:rsidRPr="00FF4109">
        <w:rPr>
          <w:color w:val="auto"/>
        </w:rPr>
        <w:t>&gt;.</w:t>
      </w:r>
    </w:p>
    <w:p w14:paraId="6D92396D" w14:textId="7050B665" w:rsidR="00952E08" w:rsidRPr="00FF4109" w:rsidRDefault="00952E08" w:rsidP="00952E08">
      <w:pPr>
        <w:pStyle w:val="Nivel2"/>
        <w:rPr>
          <w:color w:val="auto"/>
        </w:rPr>
      </w:pPr>
      <w:r w:rsidRPr="00FF4109">
        <w:rPr>
          <w:color w:val="auto"/>
        </w:rPr>
        <w:t>O objeto da contratação está previsto no Plano de Contratações Anual</w:t>
      </w:r>
      <w:r w:rsidR="003427F5" w:rsidRPr="00FF4109">
        <w:rPr>
          <w:color w:val="auto"/>
        </w:rPr>
        <w:t xml:space="preserve"> </w:t>
      </w:r>
      <w:r w:rsidR="003427F5" w:rsidRPr="00FF4109">
        <w:rPr>
          <w:rFonts w:asciiTheme="majorHAnsi" w:hAnsiTheme="majorHAnsi" w:cs="Courier New"/>
          <w:color w:val="auto"/>
          <w:sz w:val="21"/>
          <w:szCs w:val="21"/>
        </w:rPr>
        <w:t>&lt;&lt;ano_pca&gt;&gt;</w:t>
      </w:r>
      <w:r w:rsidRPr="00FF4109">
        <w:rPr>
          <w:color w:val="auto"/>
        </w:rPr>
        <w:t>, conforme detalhamento a seguir:</w:t>
      </w:r>
    </w:p>
    <w:p w14:paraId="1DB1F91F" w14:textId="7F266804" w:rsidR="00952E08" w:rsidRPr="00FF4109" w:rsidRDefault="00952E08" w:rsidP="00952E08">
      <w:pPr>
        <w:pStyle w:val="Nivel3"/>
        <w:numPr>
          <w:ilvl w:val="0"/>
          <w:numId w:val="12"/>
        </w:numPr>
        <w:ind w:left="284" w:firstLine="0"/>
        <w:rPr>
          <w:color w:val="auto"/>
        </w:rPr>
      </w:pPr>
      <w:r w:rsidRPr="00FF4109">
        <w:rPr>
          <w:color w:val="auto"/>
        </w:rPr>
        <w:t xml:space="preserve">ID PCA no PNCP: </w:t>
      </w:r>
      <w:r w:rsidR="00146DC5" w:rsidRPr="00FF4109">
        <w:rPr>
          <w:color w:val="auto"/>
          <w:lang w:val="pt-PT"/>
        </w:rPr>
        <w:t>&lt;&lt;id_pca&gt;&gt;</w:t>
      </w:r>
      <w:r w:rsidRPr="00FF4109">
        <w:rPr>
          <w:color w:val="auto"/>
        </w:rPr>
        <w:t>;</w:t>
      </w:r>
    </w:p>
    <w:p w14:paraId="4FAECABD" w14:textId="1F1E4E2D" w:rsidR="00952E08" w:rsidRPr="00FF4109" w:rsidRDefault="00952E08" w:rsidP="00952E08">
      <w:pPr>
        <w:pStyle w:val="Nivel3"/>
        <w:numPr>
          <w:ilvl w:val="0"/>
          <w:numId w:val="12"/>
        </w:numPr>
        <w:ind w:left="284" w:firstLine="0"/>
        <w:rPr>
          <w:color w:val="auto"/>
        </w:rPr>
      </w:pPr>
      <w:r w:rsidRPr="00FF4109">
        <w:rPr>
          <w:color w:val="auto"/>
        </w:rPr>
        <w:t xml:space="preserve">Data de publicação no PNCP: </w:t>
      </w:r>
      <w:r w:rsidR="00146DC5" w:rsidRPr="00FF4109">
        <w:rPr>
          <w:color w:val="auto"/>
          <w:lang w:val="pt-PT"/>
        </w:rPr>
        <w:t>&lt;&lt;data_publi_pca&gt;&gt;</w:t>
      </w:r>
      <w:r w:rsidRPr="00FF4109">
        <w:rPr>
          <w:color w:val="auto"/>
        </w:rPr>
        <w:t>;</w:t>
      </w:r>
    </w:p>
    <w:p w14:paraId="6FE6DC88" w14:textId="7D2058D4" w:rsidR="00146DC5" w:rsidRPr="00FF4109" w:rsidRDefault="00952E08" w:rsidP="00146DC5">
      <w:pPr>
        <w:pStyle w:val="Nivel3"/>
        <w:numPr>
          <w:ilvl w:val="0"/>
          <w:numId w:val="12"/>
        </w:numPr>
        <w:ind w:left="284" w:firstLine="0"/>
        <w:rPr>
          <w:color w:val="auto"/>
        </w:rPr>
      </w:pPr>
      <w:r w:rsidRPr="00FF4109">
        <w:rPr>
          <w:color w:val="auto"/>
        </w:rPr>
        <w:t>Id do item no PCA:</w:t>
      </w:r>
      <w:r w:rsidR="00146DC5" w:rsidRPr="00FF4109">
        <w:rPr>
          <w:rFonts w:asciiTheme="majorHAnsi" w:hAnsiTheme="majorHAnsi" w:cs="Courier New"/>
          <w:color w:val="auto"/>
          <w:kern w:val="2"/>
          <w:sz w:val="21"/>
          <w:szCs w:val="21"/>
          <w:lang w:eastAsia="ja-JP"/>
          <w14:ligatures w14:val="standardContextual"/>
        </w:rPr>
        <w:t xml:space="preserve"> </w:t>
      </w:r>
      <w:r w:rsidR="00146DC5" w:rsidRPr="00FF4109">
        <w:rPr>
          <w:color w:val="auto"/>
        </w:rPr>
        <w:t>&lt;&lt;</w:t>
      </w:r>
      <w:r w:rsidR="00146DC5" w:rsidRPr="00FF4109">
        <w:rPr>
          <w:color w:val="auto"/>
        </w:rPr>
        <w:t>id</w:t>
      </w:r>
      <w:r w:rsidR="00146DC5" w:rsidRPr="00FF4109">
        <w:rPr>
          <w:color w:val="auto"/>
        </w:rPr>
        <w:t>_</w:t>
      </w:r>
      <w:r w:rsidR="00146DC5" w:rsidRPr="00FF4109">
        <w:rPr>
          <w:color w:val="auto"/>
        </w:rPr>
        <w:t>item_</w:t>
      </w:r>
      <w:r w:rsidR="00146DC5" w:rsidRPr="00FF4109">
        <w:rPr>
          <w:color w:val="auto"/>
        </w:rPr>
        <w:t>pca&gt;&gt;</w:t>
      </w:r>
      <w:r w:rsidR="00146DC5" w:rsidRPr="00FF4109">
        <w:rPr>
          <w:color w:val="auto"/>
        </w:rPr>
        <w:t>;</w:t>
      </w:r>
    </w:p>
    <w:p w14:paraId="35083CE6" w14:textId="4B3B2921" w:rsidR="00146DC5" w:rsidRPr="00FF4109" w:rsidRDefault="00952E08" w:rsidP="00146DC5">
      <w:pPr>
        <w:pStyle w:val="Nivel3"/>
        <w:numPr>
          <w:ilvl w:val="0"/>
          <w:numId w:val="12"/>
        </w:numPr>
        <w:ind w:left="284" w:firstLine="0"/>
        <w:rPr>
          <w:color w:val="auto"/>
        </w:rPr>
      </w:pPr>
      <w:r w:rsidRPr="00FF4109">
        <w:rPr>
          <w:color w:val="auto"/>
        </w:rPr>
        <w:t>Classe/Grupo:</w:t>
      </w:r>
      <w:r w:rsidR="00146DC5" w:rsidRPr="00FF4109">
        <w:rPr>
          <w:rFonts w:asciiTheme="majorHAnsi" w:hAnsiTheme="majorHAnsi" w:cs="Courier New"/>
          <w:color w:val="auto"/>
          <w:kern w:val="2"/>
          <w:sz w:val="21"/>
          <w:szCs w:val="21"/>
          <w:lang w:eastAsia="ja-JP"/>
          <w14:ligatures w14:val="standardContextual"/>
        </w:rPr>
        <w:t xml:space="preserve"> </w:t>
      </w:r>
      <w:r w:rsidR="00146DC5" w:rsidRPr="00FF4109">
        <w:rPr>
          <w:color w:val="auto"/>
        </w:rPr>
        <w:t>&lt;&lt;classe_pca&gt;&gt;</w:t>
      </w:r>
      <w:r w:rsidR="00146DC5" w:rsidRPr="00FF4109">
        <w:rPr>
          <w:color w:val="auto"/>
        </w:rPr>
        <w:t>;</w:t>
      </w:r>
    </w:p>
    <w:p w14:paraId="47D28A1C" w14:textId="1CB48B5B" w:rsidR="00952E08" w:rsidRPr="00FF4109" w:rsidRDefault="00952E08" w:rsidP="00146DC5">
      <w:pPr>
        <w:pStyle w:val="Nivel3"/>
        <w:numPr>
          <w:ilvl w:val="0"/>
          <w:numId w:val="12"/>
        </w:numPr>
        <w:ind w:left="284" w:firstLine="0"/>
        <w:rPr>
          <w:color w:val="auto"/>
        </w:rPr>
      </w:pPr>
      <w:r w:rsidRPr="00FF4109">
        <w:rPr>
          <w:color w:val="auto"/>
        </w:rPr>
        <w:t xml:space="preserve">Identificador da Futura Contratação: </w:t>
      </w:r>
      <w:r w:rsidR="00146DC5" w:rsidRPr="00FF4109">
        <w:rPr>
          <w:color w:val="auto"/>
        </w:rPr>
        <w:t>&lt;&lt;id_fut_cont&gt;&gt;</w:t>
      </w:r>
      <w:r w:rsidRPr="00FF4109">
        <w:rPr>
          <w:color w:val="auto"/>
        </w:rPr>
        <w:t>.</w:t>
      </w:r>
    </w:p>
    <w:p w14:paraId="73092E9C" w14:textId="77777777" w:rsidR="00952E08" w:rsidRPr="00FF4109" w:rsidRDefault="00952E08" w:rsidP="00952E08">
      <w:pPr>
        <w:pStyle w:val="ou"/>
        <w:rPr>
          <w:color w:val="auto"/>
        </w:rPr>
      </w:pPr>
      <w:bookmarkStart w:id="6" w:name="_Hlk187870529"/>
      <w:r w:rsidRPr="00FF4109">
        <w:rPr>
          <w:color w:val="auto"/>
        </w:rPr>
        <w:t>OU</w:t>
      </w:r>
    </w:p>
    <w:bookmarkEnd w:id="6"/>
    <w:p w14:paraId="44723381" w14:textId="0B1B1CE5" w:rsidR="00952E08" w:rsidRPr="00FF4109" w:rsidRDefault="00952E08" w:rsidP="009758B4">
      <w:pPr>
        <w:pStyle w:val="Nvel2-Red"/>
        <w:rPr>
          <w:color w:val="auto"/>
        </w:rPr>
      </w:pPr>
      <w:r w:rsidRPr="00FF4109">
        <w:rPr>
          <w:color w:val="auto"/>
        </w:rPr>
        <w:t xml:space="preserve">O objeto da contratação está previsto no Plano de Contratações Anual </w:t>
      </w:r>
      <w:r w:rsidR="009758B4" w:rsidRPr="00FF4109">
        <w:rPr>
          <w:color w:val="auto"/>
        </w:rPr>
        <w:t>&lt;&lt;ano_pca&gt;&gt;</w:t>
      </w:r>
      <w:r w:rsidRPr="00FF4109">
        <w:rPr>
          <w:color w:val="auto"/>
        </w:rPr>
        <w:t>, conforme consta das informações básicas desse termo de referência.</w:t>
      </w:r>
    </w:p>
    <w:p w14:paraId="0A69B0B9" w14:textId="77777777" w:rsidR="009758B4" w:rsidRPr="00FF4109" w:rsidRDefault="009758B4" w:rsidP="009758B4">
      <w:pPr>
        <w:pStyle w:val="ou"/>
        <w:rPr>
          <w:color w:val="auto"/>
        </w:rPr>
      </w:pPr>
      <w:r w:rsidRPr="00FF4109">
        <w:rPr>
          <w:color w:val="auto"/>
        </w:rPr>
        <w:t>OU</w:t>
      </w:r>
    </w:p>
    <w:p w14:paraId="371121D8" w14:textId="40E55FDD" w:rsidR="009758B4" w:rsidRPr="00FF4109" w:rsidRDefault="009758B4" w:rsidP="009758B4">
      <w:pPr>
        <w:pStyle w:val="Nivel2"/>
        <w:rPr>
          <w:color w:val="auto"/>
        </w:rPr>
      </w:pPr>
      <w:r w:rsidRPr="00FF4109">
        <w:rPr>
          <w:color w:val="auto"/>
        </w:rPr>
        <w:t>O objeto da contratação não está previsto no Plano de Contratações Anual, pois &lt;&lt;justificativa_naopca&gt;&gt;.</w:t>
      </w:r>
    </w:p>
    <w:p w14:paraId="6C2EBB05" w14:textId="77777777" w:rsidR="00952E08" w:rsidRPr="00FF4109" w:rsidRDefault="00952E08" w:rsidP="00952E08">
      <w:pPr>
        <w:pStyle w:val="Nivel01"/>
      </w:pPr>
      <w:bookmarkStart w:id="7" w:name="_Hlk187871171"/>
      <w:r w:rsidRPr="00FF4109">
        <w:lastRenderedPageBreak/>
        <w:t>DESCRIÇÃO DA SOLUÇÃO COMO UM TODO CONSIDERADO O CICLO DE VIDA DO OBJETO E ESPECIFICAÇÃO DO PRODUTO</w:t>
      </w:r>
    </w:p>
    <w:bookmarkEnd w:id="7"/>
    <w:p w14:paraId="57C9A2E1" w14:textId="77777777" w:rsidR="00952E08" w:rsidRPr="00FF4109" w:rsidRDefault="00952E08" w:rsidP="00952E08">
      <w:pPr>
        <w:pStyle w:val="Nvel2-Red"/>
        <w:rPr>
          <w:color w:val="auto"/>
        </w:rPr>
      </w:pPr>
      <w:commentRangeStart w:id="8"/>
      <w:r w:rsidRPr="00FF4109">
        <w:rPr>
          <w:color w:val="auto"/>
        </w:rPr>
        <w:t>A descrição da solução como um todo encontra-se pormenorizada em tópico específico dos Estudos Técnicos Preliminares, apêndice deste Termo de Referência.</w:t>
      </w:r>
      <w:commentRangeEnd w:id="8"/>
      <w:r w:rsidRPr="00FF4109">
        <w:rPr>
          <w:color w:val="auto"/>
        </w:rPr>
        <w:commentReference w:id="8"/>
      </w:r>
    </w:p>
    <w:p w14:paraId="6D7A7983" w14:textId="77777777" w:rsidR="00952E08" w:rsidRPr="00FF4109" w:rsidRDefault="00952E08" w:rsidP="00952E08">
      <w:pPr>
        <w:pStyle w:val="Nivel01"/>
      </w:pPr>
      <w:commentRangeStart w:id="9"/>
      <w:r w:rsidRPr="00FF4109">
        <w:t>REQUISITOS DA CONTRATAÇÃO</w:t>
      </w:r>
      <w:commentRangeEnd w:id="9"/>
      <w:r w:rsidRPr="00FF4109">
        <w:commentReference w:id="9"/>
      </w:r>
    </w:p>
    <w:p w14:paraId="0E948663" w14:textId="77777777" w:rsidR="00952E08" w:rsidRPr="00FF4109" w:rsidRDefault="00952E08" w:rsidP="00FF4109">
      <w:pPr>
        <w:pStyle w:val="Nvel1-SemNumPreto"/>
      </w:pPr>
      <w:r w:rsidRPr="00FF4109">
        <w:t>Sustentabilidade:</w:t>
      </w:r>
    </w:p>
    <w:p w14:paraId="72F437BD" w14:textId="77777777" w:rsidR="00952E08" w:rsidRPr="00FF4109" w:rsidRDefault="00952E08" w:rsidP="00952E08">
      <w:pPr>
        <w:pStyle w:val="Nivel2"/>
        <w:rPr>
          <w:color w:val="auto"/>
          <w:shd w:val="clear" w:color="auto" w:fill="FFFFFF"/>
        </w:rPr>
      </w:pPr>
      <w:r w:rsidRPr="00FF4109">
        <w:rPr>
          <w:color w:val="auto"/>
        </w:rPr>
        <w:t>Além dos critérios de sustentabilidade eventualmente inseridos na descrição do objeto, devem ser atendidos os seguintes requisitos, que se baseiam no Guia Nacional de Contratações Sustentáveis:</w:t>
      </w:r>
    </w:p>
    <w:p w14:paraId="2FEB294F" w14:textId="01874155" w:rsidR="00952E08" w:rsidRPr="00FF4109" w:rsidRDefault="00FF4109" w:rsidP="000B1356">
      <w:pPr>
        <w:pStyle w:val="Nvel3-R"/>
        <w:rPr>
          <w:shd w:val="clear" w:color="auto" w:fill="FFFFFF"/>
        </w:rPr>
      </w:pPr>
      <w:r w:rsidRPr="00FF4109">
        <w:t>&lt;&lt;crit_sustentabilidade_nm&gt;&gt;</w:t>
      </w:r>
    </w:p>
    <w:p w14:paraId="6B9C995B" w14:textId="77777777" w:rsidR="00952E08" w:rsidRPr="00FF4109" w:rsidRDefault="00952E08" w:rsidP="00FF4109">
      <w:pPr>
        <w:pStyle w:val="Nvel1-SemNum"/>
      </w:pPr>
      <w:r w:rsidRPr="00FF4109">
        <w:t>Indicação de marcas ou modelos:</w:t>
      </w:r>
    </w:p>
    <w:p w14:paraId="71D7872E" w14:textId="77777777" w:rsidR="002D7DDD" w:rsidRDefault="00952E08" w:rsidP="00952E08">
      <w:pPr>
        <w:pStyle w:val="Nivel2"/>
        <w:rPr>
          <w:color w:val="auto"/>
        </w:rPr>
      </w:pPr>
      <w:r w:rsidRPr="00FF4109">
        <w:rPr>
          <w:color w:val="auto"/>
        </w:rPr>
        <w:t>Na presente contratação será admitida a indicação da(s) seguinte(s) marca(s), característica(s) ou modelo(s), de acordo com as justificativas contidas nos Estudos Técnicos Preliminares: (...)</w:t>
      </w:r>
    </w:p>
    <w:p w14:paraId="71B43A35" w14:textId="308C4506" w:rsidR="00952E08" w:rsidRPr="00FF4109" w:rsidRDefault="002D7DDD" w:rsidP="002D7DDD">
      <w:pPr>
        <w:pStyle w:val="Nivel2"/>
        <w:numPr>
          <w:ilvl w:val="0"/>
          <w:numId w:val="0"/>
        </w:numPr>
        <w:rPr>
          <w:color w:val="auto"/>
        </w:rPr>
      </w:pPr>
      <w:r>
        <w:rPr>
          <w:rFonts w:asciiTheme="majorHAnsi" w:hAnsiTheme="majorHAnsi" w:cs="Courier New"/>
        </w:rPr>
        <w:t>&lt;</w:t>
      </w:r>
      <w:r w:rsidRPr="002D7DDD">
        <w:rPr>
          <w:rFonts w:asciiTheme="majorHAnsi" w:hAnsiTheme="majorHAnsi" w:cs="Courier New"/>
          <w:color w:val="C00000"/>
        </w:rPr>
        <w:t>&lt;quadro_ind_marc&gt;&gt;</w:t>
      </w:r>
    </w:p>
    <w:p w14:paraId="2A29F0BA" w14:textId="77777777" w:rsidR="00952E08" w:rsidRPr="00FF4109" w:rsidRDefault="00952E08" w:rsidP="00FF4109">
      <w:pPr>
        <w:pStyle w:val="Nvel1-SemNum"/>
      </w:pPr>
      <w:r w:rsidRPr="00FF4109">
        <w:t xml:space="preserve">Da vedação de contratação de marca ou produto </w:t>
      </w:r>
    </w:p>
    <w:p w14:paraId="2604D196" w14:textId="383DF3EE" w:rsidR="00952E08" w:rsidRPr="00FF4109" w:rsidRDefault="00952E08" w:rsidP="00952E08">
      <w:pPr>
        <w:pStyle w:val="Nvel2-Red"/>
        <w:rPr>
          <w:color w:val="auto"/>
        </w:rPr>
      </w:pPr>
      <w:r w:rsidRPr="00FF4109">
        <w:rPr>
          <w:color w:val="auto"/>
        </w:rPr>
        <w:t>Diante das conclusões extraídas do processo n</w:t>
      </w:r>
      <w:r w:rsidR="002D7DDD">
        <w:rPr>
          <w:color w:val="auto"/>
        </w:rPr>
        <w:t>º&lt;&lt;processo_administrativo&gt;&gt;</w:t>
      </w:r>
      <w:r w:rsidRPr="00FF4109">
        <w:rPr>
          <w:color w:val="auto"/>
        </w:rPr>
        <w:t>, a Administração não aceitará o fornecimento dos seguintes produtos/marcas:</w:t>
      </w:r>
    </w:p>
    <w:p w14:paraId="1F5F322C" w14:textId="6FE87FBA" w:rsidR="00952E08" w:rsidRPr="00FF4109" w:rsidRDefault="000F6E7B" w:rsidP="000B1356">
      <w:pPr>
        <w:pStyle w:val="Nvel3-R"/>
      </w:pPr>
      <w:r w:rsidRPr="000F6E7B">
        <w:t>&lt;&lt;quadro_veda_marc&gt;</w:t>
      </w:r>
      <w:r w:rsidR="00266BC2">
        <w:t>&gt;</w:t>
      </w:r>
      <w:r w:rsidR="00266BC2" w:rsidRPr="00FF4109">
        <w:t xml:space="preserve"> </w:t>
      </w:r>
    </w:p>
    <w:p w14:paraId="22149515" w14:textId="77777777" w:rsidR="00952E08" w:rsidRPr="00FF4109" w:rsidRDefault="00952E08" w:rsidP="00FF4109">
      <w:pPr>
        <w:pStyle w:val="Nvel1-SemNum"/>
      </w:pPr>
      <w:commentRangeStart w:id="10"/>
      <w:r w:rsidRPr="00FF4109">
        <w:t>Da exigência de amostra</w:t>
      </w:r>
    </w:p>
    <w:p w14:paraId="0AA80AF8" w14:textId="77777777" w:rsidR="00952E08" w:rsidRPr="00FF4109" w:rsidRDefault="00952E08" w:rsidP="00952E08">
      <w:pPr>
        <w:pStyle w:val="Nvel2-Red"/>
        <w:rPr>
          <w:color w:val="auto"/>
        </w:rPr>
      </w:pPr>
      <w:r w:rsidRPr="00FF4109">
        <w:rPr>
          <w:color w:val="auto"/>
        </w:rPr>
        <w:t>Havendo o aceite da proposta quanto ao valor, o interessado classificado provisoriamente em primeiro lugar deverá apresentar amostra, que terá data, local e horário de sua realização divulgados por mensagem no sistema, cuja presença será facultada a todos os interessados, incluindo os demais fornecedores interessados.</w:t>
      </w:r>
    </w:p>
    <w:p w14:paraId="6BB97261" w14:textId="77777777" w:rsidR="00952E08" w:rsidRPr="00FF4109" w:rsidRDefault="00952E08" w:rsidP="00952E08">
      <w:pPr>
        <w:pStyle w:val="Nvel2-Red"/>
        <w:rPr>
          <w:color w:val="auto"/>
        </w:rPr>
      </w:pPr>
      <w:r w:rsidRPr="00FF4109">
        <w:rPr>
          <w:color w:val="auto"/>
        </w:rPr>
        <w:t>Serão exigidas amostras dos seguintes itens:</w:t>
      </w:r>
    </w:p>
    <w:p w14:paraId="155B6582" w14:textId="733BE9FA" w:rsidR="00952E08" w:rsidRPr="000B1356" w:rsidRDefault="00266BC2" w:rsidP="000B1356">
      <w:pPr>
        <w:pStyle w:val="Nvel3-R"/>
      </w:pPr>
      <w:r w:rsidRPr="000B1356">
        <w:t>&lt;&lt;quadro_ex_amostra&gt;&gt;</w:t>
      </w:r>
    </w:p>
    <w:p w14:paraId="6E51F5BB" w14:textId="36103483" w:rsidR="00952E08" w:rsidRPr="00FF4109" w:rsidRDefault="00952E08" w:rsidP="00952E08">
      <w:pPr>
        <w:pStyle w:val="Nvel2-Red"/>
        <w:rPr>
          <w:color w:val="auto"/>
        </w:rPr>
      </w:pPr>
      <w:r w:rsidRPr="00FF4109">
        <w:rPr>
          <w:color w:val="auto"/>
        </w:rPr>
        <w:t>As amostras poderão ser entregues no endereço</w:t>
      </w:r>
      <w:r w:rsidR="00266BC2">
        <w:rPr>
          <w:color w:val="auto"/>
        </w:rPr>
        <w:t xml:space="preserve"> &lt;&lt;ug_endereco&gt;&gt;</w:t>
      </w:r>
      <w:r w:rsidRPr="00FF4109">
        <w:rPr>
          <w:color w:val="auto"/>
        </w:rPr>
        <w:t>, no prazo limite de</w:t>
      </w:r>
      <w:r w:rsidR="00584873">
        <w:rPr>
          <w:color w:val="auto"/>
        </w:rPr>
        <w:t xml:space="preserve"> </w:t>
      </w:r>
      <w:r w:rsidR="00266BC2">
        <w:rPr>
          <w:color w:val="auto"/>
        </w:rPr>
        <w:t>&lt;&lt;prazo_amostra&gt;&gt;</w:t>
      </w:r>
      <w:r w:rsidRPr="00FF4109">
        <w:rPr>
          <w:color w:val="auto"/>
        </w:rPr>
        <w:t>, sendo que a empresa assume total responsabilidade pelo envio e por eventual atraso na entrega.</w:t>
      </w:r>
    </w:p>
    <w:p w14:paraId="594CE80A" w14:textId="687EB83C" w:rsidR="00952E08" w:rsidRPr="00FF4109" w:rsidRDefault="00952E08" w:rsidP="00952E08">
      <w:pPr>
        <w:pStyle w:val="Nvel2-Red"/>
        <w:rPr>
          <w:color w:val="auto"/>
        </w:rPr>
      </w:pPr>
      <w:r w:rsidRPr="00FF4109">
        <w:rPr>
          <w:color w:val="auto"/>
        </w:rPr>
        <w:t xml:space="preserve">É facultada prorrogação o prazo estabelecido, a partir de solicitação fundamentada </w:t>
      </w:r>
      <w:r w:rsidR="00266BC2">
        <w:rPr>
          <w:color w:val="auto"/>
        </w:rPr>
        <w:t xml:space="preserve">por meio oficial (correio eletrônico oficial, carta </w:t>
      </w:r>
      <w:r w:rsidR="000B1356">
        <w:rPr>
          <w:color w:val="auto"/>
        </w:rPr>
        <w:t>ofício etc.</w:t>
      </w:r>
      <w:r w:rsidR="00266BC2">
        <w:rPr>
          <w:color w:val="auto"/>
        </w:rPr>
        <w:t>)</w:t>
      </w:r>
      <w:r w:rsidRPr="00FF4109">
        <w:rPr>
          <w:color w:val="auto"/>
        </w:rPr>
        <w:t xml:space="preserve"> pelo interessado, antes de findo o prazo.</w:t>
      </w:r>
    </w:p>
    <w:p w14:paraId="766EB10E" w14:textId="77777777" w:rsidR="00952E08" w:rsidRPr="00FF4109" w:rsidRDefault="00952E08" w:rsidP="00952E08">
      <w:pPr>
        <w:pStyle w:val="Nvel2-Red"/>
        <w:rPr>
          <w:color w:val="auto"/>
        </w:rPr>
      </w:pPr>
      <w:r w:rsidRPr="00FF4109">
        <w:rPr>
          <w:color w:val="auto"/>
        </w:rPr>
        <w:t>No caso de não haver entrega da amostra ou ocorrer atraso na entrega, sem justificativa aceita, ou havendo entrega de amostra fora das especificações previstas, a proposta será recusada.</w:t>
      </w:r>
    </w:p>
    <w:p w14:paraId="0F8B55BB" w14:textId="77777777" w:rsidR="00952E08" w:rsidRPr="00FF4109" w:rsidRDefault="00952E08" w:rsidP="00584873">
      <w:pPr>
        <w:pStyle w:val="Nvel2-Red"/>
        <w:tabs>
          <w:tab w:val="left" w:pos="1985"/>
        </w:tabs>
        <w:rPr>
          <w:color w:val="auto"/>
        </w:rPr>
      </w:pPr>
      <w:r w:rsidRPr="00FF4109">
        <w:rPr>
          <w:color w:val="auto"/>
        </w:rPr>
        <w:t>Serão avaliados os seguintes aspectos e padrões mínimos de aceitabilidade:</w:t>
      </w:r>
    </w:p>
    <w:p w14:paraId="053ED4E2" w14:textId="3C0F7110" w:rsidR="00952E08" w:rsidRPr="00FF4109" w:rsidRDefault="000B1356" w:rsidP="000B1356">
      <w:pPr>
        <w:pStyle w:val="Nvel3-R"/>
      </w:pPr>
      <w:r>
        <w:t>&lt;&lt;quadro_aceitabilidade&gt;&gt;</w:t>
      </w:r>
    </w:p>
    <w:p w14:paraId="5679A22A" w14:textId="77777777" w:rsidR="00952E08" w:rsidRPr="00FF4109" w:rsidRDefault="00952E08" w:rsidP="00952E08">
      <w:pPr>
        <w:pStyle w:val="Nvel2-Red"/>
        <w:rPr>
          <w:color w:val="auto"/>
        </w:rPr>
      </w:pPr>
      <w:r w:rsidRPr="00FF4109">
        <w:rPr>
          <w:color w:val="auto"/>
        </w:rPr>
        <w:t>Os resultados das avaliações serão divulgados por meio de mensagem no sistema.</w:t>
      </w:r>
    </w:p>
    <w:p w14:paraId="134F0AB7" w14:textId="77777777" w:rsidR="00952E08" w:rsidRPr="00FF4109" w:rsidRDefault="00952E08" w:rsidP="00952E08">
      <w:pPr>
        <w:pStyle w:val="Nvel2-Red"/>
        <w:rPr>
          <w:color w:val="auto"/>
        </w:rPr>
      </w:pPr>
      <w:r w:rsidRPr="00FF4109">
        <w:rPr>
          <w:color w:val="auto"/>
        </w:rPr>
        <w:t>Se a(s) amostra(s) apresentada(s) pelo primeiro classificado não for(em) aceita(s), será analisada a aceitabilidade da proposta ou lance ofertado pelo segundo classificado. Seguir-se-á com a verificação da(s) amostra(s) e, assim, sucessivamente, até a verificação de uma que atenda às especificações constantes neste Termo de Referência.</w:t>
      </w:r>
    </w:p>
    <w:p w14:paraId="5A5ABFB5" w14:textId="77777777" w:rsidR="00952E08" w:rsidRPr="00FF4109" w:rsidRDefault="00952E08" w:rsidP="00952E08">
      <w:pPr>
        <w:pStyle w:val="Nvel2-Red"/>
        <w:rPr>
          <w:color w:val="auto"/>
        </w:rPr>
      </w:pPr>
      <w:r w:rsidRPr="00FF4109">
        <w:rPr>
          <w:color w:val="auto"/>
        </w:rPr>
        <w:t>Os exemplares colocados à disposição da Administração serão tratados como protótipos, podendo ser manuseados e desmontados pela equipe técnica responsável pela análise, não gerando direito a ressarcimento.</w:t>
      </w:r>
    </w:p>
    <w:p w14:paraId="6679698E" w14:textId="2CCF9BD7" w:rsidR="00952E08" w:rsidRPr="00FF4109" w:rsidRDefault="00952E08" w:rsidP="00952E08">
      <w:pPr>
        <w:pStyle w:val="Nvel2-Red"/>
        <w:rPr>
          <w:color w:val="auto"/>
        </w:rPr>
      </w:pPr>
      <w:r w:rsidRPr="00FF4109">
        <w:rPr>
          <w:color w:val="auto"/>
        </w:rPr>
        <w:lastRenderedPageBreak/>
        <w:t xml:space="preserve">Após a divulgação do </w:t>
      </w:r>
      <w:r w:rsidR="00AC0197" w:rsidRPr="00FF4109">
        <w:rPr>
          <w:color w:val="auto"/>
        </w:rPr>
        <w:t>resultado</w:t>
      </w:r>
      <w:r w:rsidRPr="00FF4109">
        <w:rPr>
          <w:color w:val="auto"/>
        </w:rPr>
        <w:t xml:space="preserve"> do certame, as amostras entregues deverão ser recolhidas pelos fornecedores no prazo de</w:t>
      </w:r>
      <w:r w:rsidR="00AC0197">
        <w:rPr>
          <w:color w:val="auto"/>
        </w:rPr>
        <w:t xml:space="preserve"> &lt;&lt;pra_rec_amostra&gt;&gt;</w:t>
      </w:r>
      <w:r w:rsidRPr="00FF4109">
        <w:rPr>
          <w:color w:val="auto"/>
        </w:rPr>
        <w:t xml:space="preserve"> dias, após o qual poderão ser descartadas pela Administração, sem direito a ressarcimento. </w:t>
      </w:r>
    </w:p>
    <w:p w14:paraId="5AD34E84" w14:textId="77777777" w:rsidR="00952E08" w:rsidRPr="00FF4109" w:rsidRDefault="00952E08" w:rsidP="00952E08">
      <w:pPr>
        <w:pStyle w:val="Nvel2-Red"/>
        <w:rPr>
          <w:color w:val="auto"/>
        </w:rPr>
      </w:pPr>
      <w:r w:rsidRPr="00FF4109">
        <w:rPr>
          <w:color w:val="auto"/>
        </w:rPr>
        <w:t>Os interessados deverão colocar à disposição da Administração todas as condições indispensáveis à realização de testes e fornecer, sem ônus, os manuais impressos em língua portuguesa, necessários ao seu perfeito manuseio, quando for o caso.</w:t>
      </w:r>
      <w:commentRangeEnd w:id="10"/>
      <w:r w:rsidRPr="00FF4109">
        <w:rPr>
          <w:color w:val="auto"/>
        </w:rPr>
        <w:commentReference w:id="10"/>
      </w:r>
    </w:p>
    <w:p w14:paraId="7778074D" w14:textId="77777777" w:rsidR="00952E08" w:rsidRPr="00FF4109" w:rsidRDefault="00952E08" w:rsidP="00FF4109">
      <w:pPr>
        <w:pStyle w:val="Nvel1-SemNum"/>
      </w:pPr>
      <w:commentRangeStart w:id="11"/>
      <w:r w:rsidRPr="00FF4109">
        <w:t>Da exigência de carta de solidariedade</w:t>
      </w:r>
    </w:p>
    <w:p w14:paraId="52BCFDA6" w14:textId="77777777" w:rsidR="00952E08" w:rsidRPr="00FF4109" w:rsidRDefault="00952E08" w:rsidP="00952E08">
      <w:pPr>
        <w:pStyle w:val="Nvel2-Red"/>
        <w:rPr>
          <w:color w:val="auto"/>
        </w:rPr>
      </w:pPr>
      <w:r w:rsidRPr="00FF4109">
        <w:rPr>
          <w:color w:val="auto"/>
        </w:rPr>
        <w:t>Em caso de fornecedor revendedor ou distribuidor, será exigida carta de solidariedade emitida pelo fabricante, que assegure a execução do contrato.</w:t>
      </w:r>
      <w:commentRangeEnd w:id="11"/>
      <w:r w:rsidRPr="00FF4109">
        <w:rPr>
          <w:color w:val="auto"/>
        </w:rPr>
        <w:commentReference w:id="11"/>
      </w:r>
    </w:p>
    <w:p w14:paraId="375B99B4" w14:textId="77777777" w:rsidR="00952E08" w:rsidRPr="00FF4109" w:rsidRDefault="00952E08" w:rsidP="00FF4109">
      <w:pPr>
        <w:pStyle w:val="Nvel1-SemNumPreto"/>
      </w:pPr>
      <w:r w:rsidRPr="00FF4109">
        <w:t>Subcontratação</w:t>
      </w:r>
    </w:p>
    <w:p w14:paraId="50246468" w14:textId="66C6530D" w:rsidR="00952E08" w:rsidRPr="00FF4109" w:rsidRDefault="00952E08" w:rsidP="00952E08">
      <w:pPr>
        <w:pStyle w:val="Nivel2"/>
        <w:rPr>
          <w:color w:val="auto"/>
        </w:rPr>
      </w:pPr>
      <w:commentRangeStart w:id="12"/>
      <w:r w:rsidRPr="00FF4109">
        <w:rPr>
          <w:color w:val="auto"/>
        </w:rPr>
        <w:t>Não é admitida a subcontratação do objeto contratual.</w:t>
      </w:r>
      <w:commentRangeEnd w:id="12"/>
      <w:r w:rsidR="00F07002">
        <w:rPr>
          <w:color w:val="auto"/>
        </w:rPr>
        <w:t xml:space="preserve"> </w:t>
      </w:r>
      <w:r w:rsidRPr="00FF4109">
        <w:rPr>
          <w:color w:val="auto"/>
        </w:rPr>
        <w:commentReference w:id="12"/>
      </w:r>
    </w:p>
    <w:p w14:paraId="1F2CD7B4" w14:textId="77777777" w:rsidR="00952E08" w:rsidRPr="00FF4109" w:rsidRDefault="00952E08" w:rsidP="00952E08">
      <w:pPr>
        <w:pStyle w:val="ou"/>
        <w:spacing w:before="120" w:afterLines="120" w:after="288" w:line="312" w:lineRule="auto"/>
        <w:rPr>
          <w:color w:val="auto"/>
          <w:szCs w:val="20"/>
        </w:rPr>
      </w:pPr>
      <w:r w:rsidRPr="00FF4109">
        <w:rPr>
          <w:color w:val="auto"/>
          <w:szCs w:val="20"/>
        </w:rPr>
        <w:t>OU</w:t>
      </w:r>
    </w:p>
    <w:p w14:paraId="165BD9C7" w14:textId="77777777" w:rsidR="00952E08" w:rsidRPr="00FF4109" w:rsidRDefault="00952E08" w:rsidP="00952E08">
      <w:pPr>
        <w:pStyle w:val="Nivel2"/>
        <w:rPr>
          <w:color w:val="auto"/>
        </w:rPr>
      </w:pPr>
      <w:commentRangeStart w:id="13"/>
      <w:r w:rsidRPr="00FF4109">
        <w:rPr>
          <w:color w:val="auto"/>
        </w:rPr>
        <w:t>É admitida a subcontratação parcial do objeto, nas seguintes condições:</w:t>
      </w:r>
    </w:p>
    <w:p w14:paraId="5CBE6269" w14:textId="760C7621" w:rsidR="00952E08" w:rsidRPr="00FF4109" w:rsidRDefault="00952E08" w:rsidP="000B1356">
      <w:pPr>
        <w:pStyle w:val="Nvel3-R"/>
      </w:pPr>
      <w:r w:rsidRPr="00FF4109">
        <w:t xml:space="preserve">É vedada a subcontratação completa ou da parcela principal do objeto da contratação, a qual consiste em: </w:t>
      </w:r>
      <w:r w:rsidR="006F4F4B">
        <w:t>&lt;&lt;parcela principal&gt;&gt;</w:t>
      </w:r>
    </w:p>
    <w:p w14:paraId="0ED23C0D" w14:textId="5B0844D1" w:rsidR="00952E08" w:rsidRPr="00FF4109" w:rsidRDefault="00952E08" w:rsidP="000B1356">
      <w:pPr>
        <w:pStyle w:val="Nvel3-R"/>
      </w:pPr>
      <w:r w:rsidRPr="00FF4109">
        <w:t xml:space="preserve">A subcontratação fica limitada a </w:t>
      </w:r>
      <w:r w:rsidR="006F4F4B">
        <w:t>&lt;&lt;limite_subcontr&gt;&gt;.</w:t>
      </w:r>
    </w:p>
    <w:p w14:paraId="32567366" w14:textId="77777777" w:rsidR="00952E08" w:rsidRPr="00FF4109" w:rsidRDefault="00952E08" w:rsidP="00952E08">
      <w:pPr>
        <w:pStyle w:val="Nivel2"/>
        <w:rPr>
          <w:color w:val="auto"/>
        </w:rPr>
      </w:pPr>
      <w:r w:rsidRPr="00FF4109">
        <w:rPr>
          <w:color w:val="auto"/>
        </w:rPr>
        <w:t>O contrato oferece maior detalhamento das regras que serão aplicadas em relação à subcontratação, caso admitida.</w:t>
      </w:r>
      <w:commentRangeEnd w:id="13"/>
      <w:r w:rsidRPr="00FF4109">
        <w:rPr>
          <w:color w:val="auto"/>
        </w:rPr>
        <w:commentReference w:id="13"/>
      </w:r>
    </w:p>
    <w:p w14:paraId="3995DE21" w14:textId="77777777" w:rsidR="00952E08" w:rsidRPr="00FF4109" w:rsidRDefault="00952E08" w:rsidP="00FF4109">
      <w:pPr>
        <w:pStyle w:val="Nvel1-SemNumPreto"/>
      </w:pPr>
      <w:commentRangeStart w:id="14"/>
      <w:r w:rsidRPr="00FF4109">
        <w:t>Garantia da contratação</w:t>
      </w:r>
      <w:commentRangeEnd w:id="14"/>
      <w:r w:rsidRPr="00FF4109">
        <w:rPr>
          <w:rStyle w:val="Refdecomentrio"/>
          <w:rFonts w:ascii="Ecofont_Spranq_eco_Sans" w:eastAsiaTheme="minorEastAsia" w:hAnsi="Ecofont_Spranq_eco_Sans" w:cs="Tahoma"/>
        </w:rPr>
        <w:commentReference w:id="14"/>
      </w:r>
    </w:p>
    <w:p w14:paraId="45777C2B" w14:textId="77777777" w:rsidR="00952E08" w:rsidRPr="00FF4109" w:rsidRDefault="00952E08" w:rsidP="00952E08">
      <w:pPr>
        <w:pStyle w:val="Nvel2-Red"/>
        <w:rPr>
          <w:color w:val="auto"/>
        </w:rPr>
      </w:pPr>
      <w:r w:rsidRPr="00FF4109">
        <w:rPr>
          <w:color w:val="auto"/>
        </w:rPr>
        <w:t xml:space="preserve">Não haverá exigência da garantia da contratação dos </w:t>
      </w:r>
      <w:hyperlink r:id="rId10" w:anchor="art96">
        <w:r w:rsidRPr="00FF4109">
          <w:rPr>
            <w:rStyle w:val="Hyperlink"/>
            <w:color w:val="auto"/>
          </w:rPr>
          <w:t>artigos 96 e seguintes da Lei nº 14.133, de 2021</w:t>
        </w:r>
      </w:hyperlink>
      <w:r w:rsidRPr="00FF4109">
        <w:rPr>
          <w:color w:val="auto"/>
        </w:rPr>
        <w:t>, pelas razões constantes do Estudo Técnico Preliminar.</w:t>
      </w:r>
    </w:p>
    <w:p w14:paraId="13E351D8" w14:textId="77777777" w:rsidR="00952E08" w:rsidRPr="00FF4109" w:rsidRDefault="00952E08" w:rsidP="00952E08">
      <w:pPr>
        <w:pStyle w:val="ou"/>
        <w:spacing w:before="120" w:afterLines="120" w:after="288" w:line="312" w:lineRule="auto"/>
        <w:rPr>
          <w:color w:val="auto"/>
          <w:szCs w:val="20"/>
        </w:rPr>
      </w:pPr>
      <w:r w:rsidRPr="00FF4109">
        <w:rPr>
          <w:color w:val="auto"/>
          <w:szCs w:val="20"/>
        </w:rPr>
        <w:t>OU</w:t>
      </w:r>
    </w:p>
    <w:p w14:paraId="12C7853E" w14:textId="347A357E" w:rsidR="00952E08" w:rsidRPr="00FF4109" w:rsidRDefault="00952E08" w:rsidP="00952E08">
      <w:pPr>
        <w:pStyle w:val="Nvel2-Red"/>
        <w:rPr>
          <w:b/>
          <w:bCs/>
          <w:color w:val="auto"/>
          <w:highlight w:val="green"/>
          <w:u w:val="single"/>
        </w:rPr>
      </w:pPr>
      <w:r w:rsidRPr="00FF4109">
        <w:rPr>
          <w:color w:val="auto"/>
        </w:rPr>
        <w:t xml:space="preserve">Será exigida a garantia da contratação de que tratam os </w:t>
      </w:r>
      <w:hyperlink r:id="rId11" w:anchor="art96">
        <w:proofErr w:type="spellStart"/>
        <w:r w:rsidRPr="00FF4109">
          <w:rPr>
            <w:rStyle w:val="Hyperlink"/>
            <w:color w:val="auto"/>
          </w:rPr>
          <w:t>arts</w:t>
        </w:r>
        <w:proofErr w:type="spellEnd"/>
        <w:r w:rsidRPr="00FF4109">
          <w:rPr>
            <w:rStyle w:val="Hyperlink"/>
            <w:color w:val="auto"/>
          </w:rPr>
          <w:t>. 96 e seguintes da Lei nº 14.133, de 2021</w:t>
        </w:r>
      </w:hyperlink>
      <w:r w:rsidRPr="00FF4109">
        <w:rPr>
          <w:color w:val="auto"/>
        </w:rPr>
        <w:t>, no percentual e condições descritas nas cláusulas do contrato</w:t>
      </w:r>
      <w:r w:rsidR="0022194B">
        <w:rPr>
          <w:color w:val="auto"/>
        </w:rPr>
        <w:t xml:space="preserve"> </w:t>
      </w:r>
      <w:r w:rsidR="0022194B">
        <w:rPr>
          <w:color w:val="auto"/>
          <w:highlight w:val="green"/>
        </w:rPr>
        <w:t>&lt;&lt;instru_habil&gt;&gt;</w:t>
      </w:r>
      <w:r w:rsidRPr="00FF4109">
        <w:rPr>
          <w:color w:val="auto"/>
          <w:highlight w:val="green"/>
        </w:rPr>
        <w:t>.</w:t>
      </w:r>
    </w:p>
    <w:p w14:paraId="0B4F50BA" w14:textId="77777777" w:rsidR="00952E08" w:rsidRPr="00FF4109" w:rsidRDefault="00952E08" w:rsidP="00952E08">
      <w:pPr>
        <w:pStyle w:val="Nvel2-Red"/>
        <w:rPr>
          <w:b/>
          <w:bCs/>
          <w:color w:val="auto"/>
          <w:u w:val="single"/>
        </w:rPr>
      </w:pPr>
      <w:r w:rsidRPr="00FF4109">
        <w:rPr>
          <w:color w:val="auto"/>
        </w:rPr>
        <w:t xml:space="preserve">Em caso opção pelo seguro-garantia, a parte adjudicatária deverá apresentá-la, no máximo, até a data de assinatura do contrato.  </w:t>
      </w:r>
    </w:p>
    <w:p w14:paraId="7CD8A1B2" w14:textId="77777777" w:rsidR="00952E08" w:rsidRPr="00FF4109" w:rsidRDefault="00952E08" w:rsidP="00952E08">
      <w:pPr>
        <w:pStyle w:val="Nvel2-Red"/>
        <w:rPr>
          <w:b/>
          <w:bCs/>
          <w:color w:val="auto"/>
          <w:highlight w:val="green"/>
          <w:u w:val="single"/>
        </w:rPr>
      </w:pPr>
      <w:r w:rsidRPr="00FF4109">
        <w:rPr>
          <w:color w:val="auto"/>
        </w:rPr>
        <w:t xml:space="preserve">A garantia, nas modalidades caução e fiança bancária, deverá ser prestada em até </w:t>
      </w:r>
      <w:r w:rsidRPr="00FF4109">
        <w:rPr>
          <w:color w:val="auto"/>
          <w:highlight w:val="green"/>
        </w:rPr>
        <w:t>10 dias úteis após a assinatura do contrato.</w:t>
      </w:r>
    </w:p>
    <w:p w14:paraId="1DC0175D" w14:textId="5F535436" w:rsidR="00952E08" w:rsidRPr="00FF4109" w:rsidRDefault="00952E08" w:rsidP="00952E08">
      <w:pPr>
        <w:pStyle w:val="Nivel2"/>
        <w:rPr>
          <w:color w:val="auto"/>
        </w:rPr>
      </w:pPr>
      <w:r w:rsidRPr="00FF4109">
        <w:rPr>
          <w:color w:val="auto"/>
        </w:rPr>
        <w:t xml:space="preserve">O contrato </w:t>
      </w:r>
      <w:r w:rsidR="0022194B">
        <w:rPr>
          <w:color w:val="auto"/>
        </w:rPr>
        <w:t>&lt;&lt;instru_habil&gt;&gt;</w:t>
      </w:r>
      <w:r w:rsidRPr="00FF4109">
        <w:rPr>
          <w:color w:val="auto"/>
        </w:rPr>
        <w:t xml:space="preserve"> oferece maior detalhamento das regras que serão aplicadas em relação à garantia da contratação.</w:t>
      </w:r>
    </w:p>
    <w:p w14:paraId="6D4CFB43" w14:textId="77777777" w:rsidR="00952E08" w:rsidRPr="00FF4109" w:rsidRDefault="00952E08" w:rsidP="00952E08">
      <w:pPr>
        <w:pStyle w:val="Nivel01"/>
      </w:pPr>
      <w:commentRangeStart w:id="15"/>
      <w:r w:rsidRPr="00FF4109">
        <w:t>MODELO DE EXECUÇÃO DO OBJETO</w:t>
      </w:r>
      <w:commentRangeEnd w:id="15"/>
      <w:r w:rsidRPr="00FF4109">
        <w:rPr>
          <w:rStyle w:val="Refdecomentrio"/>
        </w:rPr>
        <w:commentReference w:id="15"/>
      </w:r>
    </w:p>
    <w:p w14:paraId="3D50272F" w14:textId="77777777" w:rsidR="00952E08" w:rsidRPr="00FF4109" w:rsidRDefault="00952E08" w:rsidP="00FF4109">
      <w:pPr>
        <w:pStyle w:val="Nvel1-SemNum"/>
      </w:pPr>
      <w:r w:rsidRPr="00FF4109">
        <w:t>Condições de Entrega</w:t>
      </w:r>
    </w:p>
    <w:p w14:paraId="46FC1B01" w14:textId="7BA76CFA" w:rsidR="00952E08" w:rsidRPr="00FF4109" w:rsidRDefault="00952E08" w:rsidP="00952E08">
      <w:pPr>
        <w:pStyle w:val="Nvel2-Red"/>
        <w:rPr>
          <w:color w:val="auto"/>
        </w:rPr>
      </w:pPr>
      <w:r w:rsidRPr="00FF4109">
        <w:rPr>
          <w:color w:val="auto"/>
        </w:rPr>
        <w:t>O prazo de entrega dos bens é de</w:t>
      </w:r>
      <w:r w:rsidR="0022194B">
        <w:rPr>
          <w:color w:val="auto"/>
        </w:rPr>
        <w:t xml:space="preserve"> &lt;&lt;prazo_entrega&gt;&gt;</w:t>
      </w:r>
      <w:r w:rsidRPr="00FF4109">
        <w:rPr>
          <w:color w:val="auto"/>
        </w:rPr>
        <w:t xml:space="preserve"> dias, contados do(a) </w:t>
      </w:r>
      <w:r w:rsidR="0022194B">
        <w:rPr>
          <w:color w:val="auto"/>
        </w:rPr>
        <w:t>&lt;&lt;ini_prazo_entrega&gt;&gt;</w:t>
      </w:r>
      <w:r w:rsidRPr="00FF4109">
        <w:rPr>
          <w:color w:val="auto"/>
        </w:rPr>
        <w:t xml:space="preserve">, em remessa única. </w:t>
      </w:r>
    </w:p>
    <w:p w14:paraId="50A4C28A" w14:textId="77777777" w:rsidR="00952E08" w:rsidRPr="00FF4109" w:rsidRDefault="00952E08" w:rsidP="00952E08">
      <w:pPr>
        <w:pStyle w:val="ou"/>
        <w:spacing w:before="120" w:afterLines="120" w:after="288" w:line="312" w:lineRule="auto"/>
        <w:rPr>
          <w:color w:val="auto"/>
          <w:szCs w:val="20"/>
        </w:rPr>
      </w:pPr>
      <w:r w:rsidRPr="00FF4109">
        <w:rPr>
          <w:color w:val="auto"/>
          <w:szCs w:val="20"/>
        </w:rPr>
        <w:t>OU</w:t>
      </w:r>
    </w:p>
    <w:p w14:paraId="5BC8056B" w14:textId="77777777" w:rsidR="00952E08" w:rsidRDefault="00952E08" w:rsidP="00952E08">
      <w:pPr>
        <w:pStyle w:val="Nvel2-Red"/>
        <w:rPr>
          <w:color w:val="auto"/>
        </w:rPr>
      </w:pPr>
      <w:commentRangeStart w:id="16"/>
      <w:r w:rsidRPr="00FF4109">
        <w:rPr>
          <w:color w:val="auto"/>
        </w:rPr>
        <w:t>As parcelas serão entregues nos seguintes prazos e condições:</w:t>
      </w:r>
      <w:commentRangeEnd w:id="16"/>
      <w:r w:rsidRPr="00FF4109">
        <w:rPr>
          <w:color w:val="auto"/>
        </w:rPr>
        <w:commentReference w:id="16"/>
      </w:r>
    </w:p>
    <w:p w14:paraId="3E458A0D" w14:textId="5F2478F2" w:rsidR="0022194B" w:rsidRPr="00FF4109" w:rsidRDefault="0022194B" w:rsidP="0022194B">
      <w:pPr>
        <w:pStyle w:val="Nvel2-Red"/>
        <w:numPr>
          <w:ilvl w:val="0"/>
          <w:numId w:val="0"/>
        </w:numPr>
        <w:rPr>
          <w:color w:val="auto"/>
        </w:rPr>
      </w:pPr>
      <w:r>
        <w:rPr>
          <w:color w:val="auto"/>
        </w:rPr>
        <w:t>&lt;&lt;quadro_entrega_parcelas&gt;&gt;</w:t>
      </w:r>
    </w:p>
    <w:p w14:paraId="260E7383" w14:textId="111F843B" w:rsidR="00952E08" w:rsidRPr="00FF4109" w:rsidRDefault="00952E08" w:rsidP="00952E08">
      <w:pPr>
        <w:pStyle w:val="Nvel2-Red"/>
        <w:rPr>
          <w:color w:val="auto"/>
        </w:rPr>
      </w:pPr>
      <w:r w:rsidRPr="00FF4109">
        <w:rPr>
          <w:color w:val="auto"/>
        </w:rPr>
        <w:lastRenderedPageBreak/>
        <w:t xml:space="preserve">Caso não seja possível a entrega na data assinalada, a empresa deverá comunicar as razões respectivas com pelo menos </w:t>
      </w:r>
      <w:r w:rsidR="00910D1A">
        <w:rPr>
          <w:color w:val="auto"/>
        </w:rPr>
        <w:t>&lt;&lt;</w:t>
      </w:r>
      <w:proofErr w:type="spellStart"/>
      <w:r w:rsidR="00910D1A">
        <w:rPr>
          <w:color w:val="auto"/>
        </w:rPr>
        <w:t>razaon_entrega_proposta</w:t>
      </w:r>
      <w:proofErr w:type="spellEnd"/>
      <w:r w:rsidR="00910D1A">
        <w:rPr>
          <w:color w:val="auto"/>
        </w:rPr>
        <w:t>&gt;&gt;</w:t>
      </w:r>
      <w:r w:rsidRPr="00FF4109">
        <w:rPr>
          <w:color w:val="auto"/>
        </w:rPr>
        <w:t xml:space="preserve"> dias de antecedência para que qualquer pleito de prorrogação de prazo seja analisado, ressalvadas situações de caso fortuito e força maior.</w:t>
      </w:r>
    </w:p>
    <w:p w14:paraId="13723851" w14:textId="77777777" w:rsidR="00952E08" w:rsidRPr="00FF4109" w:rsidRDefault="00952E08" w:rsidP="00952E08">
      <w:pPr>
        <w:pStyle w:val="Nivel2"/>
        <w:rPr>
          <w:color w:val="auto"/>
        </w:rPr>
      </w:pPr>
      <w:commentRangeStart w:id="17"/>
      <w:r w:rsidRPr="00FF4109">
        <w:rPr>
          <w:color w:val="auto"/>
        </w:rPr>
        <w:t>Os bens deverão ser entregues no seguinte endereço [...]</w:t>
      </w:r>
      <w:commentRangeEnd w:id="17"/>
      <w:r w:rsidRPr="00FF4109">
        <w:rPr>
          <w:color w:val="auto"/>
        </w:rPr>
        <w:commentReference w:id="17"/>
      </w:r>
    </w:p>
    <w:p w14:paraId="1FE73918" w14:textId="77777777" w:rsidR="00952E08" w:rsidRPr="00FF4109" w:rsidRDefault="00952E08" w:rsidP="00952E08">
      <w:pPr>
        <w:pStyle w:val="Nvel2-Red"/>
        <w:rPr>
          <w:color w:val="auto"/>
        </w:rPr>
      </w:pPr>
      <w:r w:rsidRPr="00FF4109">
        <w:rPr>
          <w:color w:val="auto"/>
        </w:rPr>
        <w:t>No caso de produtos perecíveis, o prazo de validade na data da entrega não poderá ser inferior a ...... (......) (dias ou meses ou anos), ou a (metade, um terço, dois terços etc.) do prazo total recomendado pelo fabricante.</w:t>
      </w:r>
    </w:p>
    <w:p w14:paraId="04861401" w14:textId="77777777" w:rsidR="00952E08" w:rsidRPr="00FF4109" w:rsidRDefault="00952E08" w:rsidP="00FF4109">
      <w:pPr>
        <w:pStyle w:val="Nvel1-SemNumPreto"/>
      </w:pPr>
      <w:commentRangeStart w:id="18"/>
      <w:r w:rsidRPr="00FF4109">
        <w:t>Garantia, manutenção e assistência técnica</w:t>
      </w:r>
      <w:commentRangeEnd w:id="18"/>
      <w:r w:rsidRPr="00FF4109">
        <w:commentReference w:id="18"/>
      </w:r>
    </w:p>
    <w:p w14:paraId="26BA2C61" w14:textId="77777777" w:rsidR="00952E08" w:rsidRPr="00FF4109" w:rsidRDefault="00952E08" w:rsidP="00952E08">
      <w:pPr>
        <w:pStyle w:val="Nvel2-Red"/>
        <w:rPr>
          <w:color w:val="auto"/>
        </w:rPr>
      </w:pPr>
      <w:commentRangeStart w:id="19"/>
      <w:r w:rsidRPr="00FF4109">
        <w:rPr>
          <w:color w:val="auto"/>
        </w:rPr>
        <w:t>O prazo de garantia é aquele estabelecido na Lei nº 8.078, de 11 de setembro de 1990 (Código de Defesa do Consumidor)</w:t>
      </w:r>
      <w:commentRangeEnd w:id="19"/>
      <w:r w:rsidRPr="00FF4109">
        <w:rPr>
          <w:color w:val="auto"/>
        </w:rPr>
        <w:commentReference w:id="19"/>
      </w:r>
    </w:p>
    <w:p w14:paraId="4F4539B0" w14:textId="77777777" w:rsidR="00952E08" w:rsidRPr="00FF4109" w:rsidRDefault="00952E08" w:rsidP="00952E08">
      <w:pPr>
        <w:pStyle w:val="ou"/>
        <w:spacing w:before="120" w:afterLines="120" w:after="288" w:line="312" w:lineRule="auto"/>
        <w:rPr>
          <w:color w:val="auto"/>
          <w:szCs w:val="20"/>
        </w:rPr>
      </w:pPr>
      <w:r w:rsidRPr="00FF4109">
        <w:rPr>
          <w:color w:val="auto"/>
          <w:szCs w:val="20"/>
        </w:rPr>
        <w:t xml:space="preserve">OU </w:t>
      </w:r>
    </w:p>
    <w:p w14:paraId="2DC2F479" w14:textId="77777777" w:rsidR="00952E08" w:rsidRPr="00FF4109" w:rsidRDefault="00952E08" w:rsidP="00952E08">
      <w:pPr>
        <w:pStyle w:val="Nvel2-Red"/>
        <w:rPr>
          <w:color w:val="auto"/>
        </w:rPr>
      </w:pPr>
      <w:commentRangeStart w:id="20"/>
      <w:r w:rsidRPr="00FF4109">
        <w:rPr>
          <w:color w:val="auto"/>
        </w:rPr>
        <w:t xml:space="preserve">O prazo de garantia contratual dos bens, complementar à garantia legal, será de, no mínimo, ___ (____) meses, contado a partir do primeiro dia útil subsequente à data do recebimento definitivo do objeto. </w:t>
      </w:r>
    </w:p>
    <w:p w14:paraId="2B299023" w14:textId="77777777" w:rsidR="00952E08" w:rsidRPr="00FF4109" w:rsidRDefault="00952E08" w:rsidP="00952E08">
      <w:pPr>
        <w:pStyle w:val="Nvel2-Red"/>
        <w:rPr>
          <w:color w:val="auto"/>
        </w:rPr>
      </w:pPr>
      <w:r w:rsidRPr="00FF4109">
        <w:rPr>
          <w:color w:val="auto"/>
        </w:rPr>
        <w:t xml:space="preserve">Caso o prazo da garantia oferecida pelo fabricante seja inferior ao estabelecido nesta cláusula, o fornecedor deverá complementar a garantia do bem ofertado pelo período restante. </w:t>
      </w:r>
      <w:commentRangeEnd w:id="20"/>
      <w:r w:rsidRPr="00FF4109">
        <w:rPr>
          <w:color w:val="auto"/>
        </w:rPr>
        <w:commentReference w:id="20"/>
      </w:r>
    </w:p>
    <w:p w14:paraId="748B61CF" w14:textId="77777777" w:rsidR="00952E08" w:rsidRPr="00FF4109" w:rsidRDefault="00952E08" w:rsidP="00952E08">
      <w:pPr>
        <w:pStyle w:val="ou"/>
        <w:spacing w:before="120" w:afterLines="120" w:after="288" w:line="312" w:lineRule="auto"/>
        <w:rPr>
          <w:color w:val="auto"/>
          <w:szCs w:val="20"/>
        </w:rPr>
      </w:pPr>
      <w:r w:rsidRPr="00FF4109">
        <w:rPr>
          <w:color w:val="auto"/>
          <w:szCs w:val="20"/>
        </w:rPr>
        <w:t>OU</w:t>
      </w:r>
    </w:p>
    <w:p w14:paraId="22342CE6" w14:textId="77777777" w:rsidR="00952E08" w:rsidRPr="00FF4109" w:rsidRDefault="00952E08" w:rsidP="00952E08">
      <w:pPr>
        <w:pStyle w:val="Nvel2-Red"/>
        <w:rPr>
          <w:color w:val="auto"/>
        </w:rPr>
      </w:pPr>
      <w:commentRangeStart w:id="21"/>
      <w:r w:rsidRPr="00FF4109">
        <w:rPr>
          <w:color w:val="auto"/>
        </w:rPr>
        <w:t xml:space="preserve">O prazo de garantia contratual dos bens, complementar à garantia legal, é de, no mínimo, __ (____) meses, ou pelo prazo fornecido pelo fabricante, se superior, contado a partir do primeiro dia útil subsequente à data do recebimento definitivo do objeto. </w:t>
      </w:r>
      <w:commentRangeEnd w:id="21"/>
      <w:r w:rsidRPr="00FF4109">
        <w:rPr>
          <w:color w:val="auto"/>
        </w:rPr>
        <w:commentReference w:id="21"/>
      </w:r>
    </w:p>
    <w:p w14:paraId="46AB4035" w14:textId="77777777" w:rsidR="00952E08" w:rsidRPr="00FF4109" w:rsidRDefault="00952E08" w:rsidP="00952E08">
      <w:pPr>
        <w:pStyle w:val="Nvel2-Red"/>
        <w:rPr>
          <w:color w:val="auto"/>
        </w:rPr>
      </w:pPr>
      <w:commentRangeStart w:id="22"/>
      <w:r w:rsidRPr="00FF4109">
        <w:rPr>
          <w:color w:val="auto"/>
        </w:rPr>
        <w:t xml:space="preserve">A garantia será prestada com vistas a manter os equipamentos fornecidos em perfeitas condições de uso, sem qualquer ônus ou custo adicional para o Contratante. </w:t>
      </w:r>
    </w:p>
    <w:p w14:paraId="32CB0420" w14:textId="77777777" w:rsidR="00952E08" w:rsidRPr="00FF4109" w:rsidRDefault="00952E08" w:rsidP="00952E08">
      <w:pPr>
        <w:pStyle w:val="Nvel2-Red"/>
        <w:rPr>
          <w:color w:val="auto"/>
        </w:rPr>
      </w:pPr>
      <w:r w:rsidRPr="00FF4109">
        <w:rPr>
          <w:color w:val="auto"/>
        </w:rPr>
        <w:t xml:space="preserve">A garantia abrange a realização da manutenção corretiva dos bens pelo próprio Contratado, ou, se for o caso, por meio de assistência técnica autorizada, de acordo com as normas técnicas específicas. </w:t>
      </w:r>
    </w:p>
    <w:p w14:paraId="316A156B" w14:textId="77777777" w:rsidR="00952E08" w:rsidRPr="00FF4109" w:rsidRDefault="00952E08" w:rsidP="00952E08">
      <w:pPr>
        <w:pStyle w:val="Nvel2-Red"/>
        <w:rPr>
          <w:color w:val="auto"/>
        </w:rPr>
      </w:pPr>
      <w:r w:rsidRPr="00FF4109">
        <w:rPr>
          <w:color w:val="auto"/>
        </w:rPr>
        <w:t xml:space="preserve">Entende-se por manutenção corretiva aquela destinada a corrigir os defeitos apresentados pelos bens, compreendendo a substituição de peças, a realização de ajustes, reparos e correções necessárias. </w:t>
      </w:r>
    </w:p>
    <w:p w14:paraId="4DC482E3" w14:textId="77777777" w:rsidR="00952E08" w:rsidRPr="00FF4109" w:rsidRDefault="00952E08" w:rsidP="00952E08">
      <w:pPr>
        <w:pStyle w:val="Nvel2-Red"/>
        <w:rPr>
          <w:color w:val="auto"/>
        </w:rPr>
      </w:pPr>
      <w:r w:rsidRPr="00FF4109">
        <w:rPr>
          <w:color w:val="auto"/>
        </w:rPr>
        <w:t xml:space="preserve">As peças que apresentarem vício ou defeito no período de vigência da garantia deverão ser substituídas por outras novas, de primeiro uso, e originais, que apresentem padrões de qualidade e desempenho iguais ou superiores aos das peças utilizadas na fabricação do equipamento. </w:t>
      </w:r>
      <w:commentRangeEnd w:id="22"/>
      <w:r w:rsidRPr="00FF4109">
        <w:rPr>
          <w:color w:val="auto"/>
        </w:rPr>
        <w:commentReference w:id="22"/>
      </w:r>
    </w:p>
    <w:p w14:paraId="06DE1037" w14:textId="77777777" w:rsidR="00952E08" w:rsidRPr="00FF4109" w:rsidRDefault="00952E08" w:rsidP="00952E08">
      <w:pPr>
        <w:pStyle w:val="Nvel2-Red"/>
        <w:rPr>
          <w:color w:val="auto"/>
        </w:rPr>
      </w:pPr>
      <w:commentRangeStart w:id="23"/>
      <w:r w:rsidRPr="00FF4109">
        <w:rPr>
          <w:color w:val="auto"/>
        </w:rPr>
        <w:t xml:space="preserve">Uma vez notificado, o Contratado realizará a reparação ou substituição dos bens que apresentarem vício ou defeito no prazo de até ___ (_____) dias úteis, contados a partir da data de retirada do equipamento das dependências da Administração pelo Contratado ou pela assistência técnica autorizada. </w:t>
      </w:r>
    </w:p>
    <w:p w14:paraId="1020C7FA" w14:textId="77777777" w:rsidR="00952E08" w:rsidRPr="00FF4109" w:rsidRDefault="00952E08" w:rsidP="00952E08">
      <w:pPr>
        <w:pStyle w:val="Nvel2-Red"/>
        <w:rPr>
          <w:color w:val="auto"/>
        </w:rPr>
      </w:pPr>
      <w:r w:rsidRPr="00FF4109">
        <w:rPr>
          <w:color w:val="auto"/>
        </w:rPr>
        <w:t xml:space="preserve">O prazo indicado no subitem anterior, durante seu transcurso, poderá ser prorrogado uma única vez, por igual período, mediante solicitação escrita e justificada do Contratado, aceita pelo Contratante. </w:t>
      </w:r>
    </w:p>
    <w:p w14:paraId="54A48BEC" w14:textId="77777777" w:rsidR="00952E08" w:rsidRPr="00FF4109" w:rsidRDefault="00952E08" w:rsidP="00952E08">
      <w:pPr>
        <w:pStyle w:val="Nvel2-Red"/>
        <w:rPr>
          <w:color w:val="auto"/>
        </w:rPr>
      </w:pPr>
      <w:r w:rsidRPr="00FF4109">
        <w:rPr>
          <w:color w:val="auto"/>
        </w:rPr>
        <w:t xml:space="preserve">Na hipótese do subitem acima, o Contratado deverá disponibilizar equipamento equivalente, de especificação igual ou superior ao anteriormente fornecido, para utilização em caráter provisório pelo Contratante, de modo a garantir a continuidade dos trabalhos administrativos durante a execução dos reparos. </w:t>
      </w:r>
    </w:p>
    <w:p w14:paraId="4798CF3A" w14:textId="77777777" w:rsidR="00952E08" w:rsidRPr="00FF4109" w:rsidRDefault="00952E08" w:rsidP="00952E08">
      <w:pPr>
        <w:pStyle w:val="Nvel2-Red"/>
        <w:rPr>
          <w:color w:val="auto"/>
        </w:rPr>
      </w:pPr>
      <w:r w:rsidRPr="00FF4109">
        <w:rPr>
          <w:color w:val="auto"/>
        </w:rPr>
        <w:t xml:space="preserve">Decorrido o prazo para reparos e substituições sem o atendimento da solicitação do Contratante ou a apresentação de justificativas pelo Contratado, fica o Contratante autorizado a contratar empresa diversa para executar os reparos, ajustes ou a substituição do bem ou de seus componentes, bem como a exigir do Contratado o reembolso pelos custos respectivos, sem que tal fato acarrete a perda da garantia dos equipamentos. </w:t>
      </w:r>
    </w:p>
    <w:p w14:paraId="4C52AC87" w14:textId="77777777" w:rsidR="00952E08" w:rsidRPr="00FF4109" w:rsidRDefault="00952E08" w:rsidP="00952E08">
      <w:pPr>
        <w:pStyle w:val="Nvel2-Red"/>
        <w:rPr>
          <w:color w:val="auto"/>
        </w:rPr>
      </w:pPr>
      <w:r w:rsidRPr="00FF4109">
        <w:rPr>
          <w:color w:val="auto"/>
        </w:rPr>
        <w:t xml:space="preserve">O custo referente ao transporte dos equipamentos cobertos pela garantia será de responsabilidade do Contratado. </w:t>
      </w:r>
    </w:p>
    <w:p w14:paraId="1AB18353" w14:textId="77777777" w:rsidR="00952E08" w:rsidRPr="00FF4109" w:rsidRDefault="00952E08" w:rsidP="00952E08">
      <w:pPr>
        <w:pStyle w:val="Nvel2-Red"/>
        <w:rPr>
          <w:color w:val="auto"/>
        </w:rPr>
      </w:pPr>
      <w:r w:rsidRPr="00FF4109">
        <w:rPr>
          <w:color w:val="auto"/>
        </w:rPr>
        <w:lastRenderedPageBreak/>
        <w:t>A garantia legal ou contratual do objeto tem prazo de vigência próprio e desvinculado daquele fixado no contrato, permitindo eventual aplicação de penalidades em caso de descumprimento de alguma de suas condições, mesmo depois de expirada a vigência contratual.</w:t>
      </w:r>
      <w:commentRangeEnd w:id="23"/>
      <w:r w:rsidRPr="00FF4109">
        <w:rPr>
          <w:color w:val="auto"/>
        </w:rPr>
        <w:commentReference w:id="23"/>
      </w:r>
    </w:p>
    <w:p w14:paraId="2707B72F" w14:textId="77777777" w:rsidR="00952E08" w:rsidRPr="00FF4109" w:rsidRDefault="00952E08" w:rsidP="00952E08">
      <w:pPr>
        <w:pStyle w:val="Nivel01"/>
      </w:pPr>
      <w:r w:rsidRPr="00FF4109">
        <w:t>MODELO DE GESTÃO DO CONTRATO</w:t>
      </w:r>
    </w:p>
    <w:p w14:paraId="6E0B4A1B" w14:textId="77777777" w:rsidR="00952E08" w:rsidRPr="00FF4109" w:rsidRDefault="00952E08" w:rsidP="00952E08">
      <w:pPr>
        <w:pStyle w:val="Nivel2"/>
        <w:rPr>
          <w:color w:val="auto"/>
        </w:rPr>
      </w:pPr>
      <w:r w:rsidRPr="00FF4109">
        <w:rPr>
          <w:color w:val="auto"/>
        </w:rPr>
        <w:t>O contrato deverá ser executado fielmente pelas partes, de acordo com as cláusulas avençadas e as normas da Lei nº 14.133, de 2021, e cada parte responderá pelas consequências de sua inexecução total ou parcial.</w:t>
      </w:r>
    </w:p>
    <w:p w14:paraId="4226EB50" w14:textId="77777777" w:rsidR="00952E08" w:rsidRPr="00FF4109" w:rsidRDefault="00952E08" w:rsidP="00952E08">
      <w:pPr>
        <w:pStyle w:val="Nivel2"/>
        <w:rPr>
          <w:color w:val="auto"/>
        </w:rPr>
      </w:pPr>
      <w:r w:rsidRPr="00FF4109">
        <w:rPr>
          <w:color w:val="auto"/>
        </w:rPr>
        <w:t>Em caso de impedimento, ordem de paralisação ou suspensão do contrato, o cronograma de execução será prorrogado automaticamente pelo tempo correspondente, anotadas tais circunstâncias mediante simples apostila.</w:t>
      </w:r>
    </w:p>
    <w:p w14:paraId="6A1E3F7D" w14:textId="77777777" w:rsidR="00952E08" w:rsidRPr="00FF4109" w:rsidRDefault="00952E08" w:rsidP="00952E08">
      <w:pPr>
        <w:pStyle w:val="Nivel2"/>
        <w:rPr>
          <w:color w:val="auto"/>
        </w:rPr>
      </w:pPr>
      <w:r w:rsidRPr="00FF4109">
        <w:rPr>
          <w:color w:val="auto"/>
        </w:rPr>
        <w:t>As comunicações entre o órgão ou entidade e a contratada devem ser realizadas por escrito sempre que o ato exigir tal formalidade, admitindo-se o uso de mensagem eletrônica para esse fim.</w:t>
      </w:r>
    </w:p>
    <w:p w14:paraId="2576A00A" w14:textId="77777777" w:rsidR="00952E08" w:rsidRPr="00FF4109" w:rsidRDefault="00952E08" w:rsidP="00952E08">
      <w:pPr>
        <w:pStyle w:val="Nivel2"/>
        <w:rPr>
          <w:color w:val="auto"/>
        </w:rPr>
      </w:pPr>
      <w:r w:rsidRPr="00FF4109">
        <w:rPr>
          <w:color w:val="auto"/>
        </w:rPr>
        <w:t>O órgão ou entidade poderá convocar representante da empresa para adoção de providências que devam ser cumpridas de imediato.</w:t>
      </w:r>
    </w:p>
    <w:p w14:paraId="52E65C40" w14:textId="77777777" w:rsidR="00952E08" w:rsidRPr="00FF4109" w:rsidRDefault="00952E08" w:rsidP="00952E08">
      <w:pPr>
        <w:pStyle w:val="Nivel2"/>
        <w:rPr>
          <w:color w:val="auto"/>
        </w:rPr>
      </w:pPr>
      <w:r w:rsidRPr="00FF4109">
        <w:rPr>
          <w:color w:val="auto"/>
        </w:rPr>
        <w:t xml:space="preserve"> Após a assinatura do contrato ou instrumento equivalente</w:t>
      </w:r>
      <w:r w:rsidRPr="00FF4109">
        <w:rPr>
          <w:strike/>
          <w:color w:val="auto"/>
        </w:rPr>
        <w:t>,</w:t>
      </w:r>
      <w:r w:rsidRPr="00FF4109">
        <w:rPr>
          <w:color w:val="auto"/>
        </w:rPr>
        <w:t xml:space="preserve"> o órgão ou entidade poderá convocar o representante da empresa contratada para reunião inicial para apresentação do plano de fiscalização, que 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6A6DDB10" w14:textId="77777777" w:rsidR="00952E08" w:rsidRPr="00FF4109" w:rsidRDefault="00952E08" w:rsidP="00952E08">
      <w:pPr>
        <w:pStyle w:val="Nivel2"/>
        <w:numPr>
          <w:ilvl w:val="1"/>
          <w:numId w:val="0"/>
        </w:numPr>
        <w:rPr>
          <w:b/>
          <w:bCs/>
          <w:color w:val="auto"/>
        </w:rPr>
      </w:pPr>
      <w:r w:rsidRPr="00FF4109">
        <w:rPr>
          <w:b/>
          <w:bCs/>
          <w:color w:val="auto"/>
        </w:rPr>
        <w:t>Fiscalização</w:t>
      </w:r>
    </w:p>
    <w:p w14:paraId="1379F086" w14:textId="77777777" w:rsidR="00952E08" w:rsidRPr="00FF4109" w:rsidRDefault="00952E08" w:rsidP="00952E08">
      <w:pPr>
        <w:pStyle w:val="Nivel2"/>
        <w:rPr>
          <w:color w:val="auto"/>
        </w:rPr>
      </w:pPr>
      <w:commentRangeStart w:id="24"/>
      <w:r w:rsidRPr="00FF4109">
        <w:rPr>
          <w:color w:val="auto"/>
        </w:rPr>
        <w:t>A execução do contrato deverá ser acompanhada e fiscalizada pelo(s) fiscal(</w:t>
      </w:r>
      <w:proofErr w:type="spellStart"/>
      <w:r w:rsidRPr="00FF4109">
        <w:rPr>
          <w:color w:val="auto"/>
        </w:rPr>
        <w:t>is</w:t>
      </w:r>
      <w:proofErr w:type="spellEnd"/>
      <w:r w:rsidRPr="00FF4109">
        <w:rPr>
          <w:color w:val="auto"/>
        </w:rPr>
        <w:t>) do contrato, ou pelos respectivos substitutos (</w:t>
      </w:r>
      <w:hyperlink r:id="rId12" w:anchor="art117">
        <w:r w:rsidRPr="00FF4109">
          <w:rPr>
            <w:rStyle w:val="Hyperlink"/>
            <w:color w:val="auto"/>
          </w:rPr>
          <w:t>Lei nº 14.133, de 2021, art. 117, caput</w:t>
        </w:r>
      </w:hyperlink>
      <w:r w:rsidRPr="00FF4109">
        <w:rPr>
          <w:color w:val="auto"/>
        </w:rPr>
        <w:t>).</w:t>
      </w:r>
    </w:p>
    <w:p w14:paraId="480CF3E2" w14:textId="77777777" w:rsidR="00952E08" w:rsidRPr="00FF4109" w:rsidRDefault="00952E08" w:rsidP="00FF4109">
      <w:pPr>
        <w:pStyle w:val="Nvel1-SemNumPreto"/>
      </w:pPr>
      <w:r w:rsidRPr="00FF4109">
        <w:t>Fiscalização Técnica</w:t>
      </w:r>
    </w:p>
    <w:p w14:paraId="33F50F93" w14:textId="77777777" w:rsidR="00952E08" w:rsidRPr="00FF4109" w:rsidRDefault="00952E08" w:rsidP="00952E08">
      <w:pPr>
        <w:pStyle w:val="Nivel2"/>
        <w:rPr>
          <w:color w:val="auto"/>
        </w:rPr>
      </w:pPr>
      <w:r w:rsidRPr="00FF4109">
        <w:rPr>
          <w:color w:val="auto"/>
        </w:rPr>
        <w:t>O fiscal técnico do contrato acompanhará a execução do contrato, para que sejam cumpridas todas as condições estabelecidas no contrato, de modo a assegurar os melhores resultados para a Administração. (Decreto nº 11.246, de 2022, art. 22, VI);</w:t>
      </w:r>
    </w:p>
    <w:p w14:paraId="5B635883" w14:textId="77777777" w:rsidR="00952E08" w:rsidRPr="00FF4109" w:rsidRDefault="00952E08" w:rsidP="00952E08">
      <w:pPr>
        <w:pStyle w:val="Nivel3"/>
        <w:rPr>
          <w:color w:val="auto"/>
        </w:rPr>
      </w:pPr>
      <w:r w:rsidRPr="00FF4109">
        <w:rPr>
          <w:color w:val="auto"/>
        </w:rPr>
        <w:t>O fiscal técnico do contrato anotará no histórico de gerenciamento do contrato todas as ocorrências relacionadas à execução do contrato, com a descrição do que for necessário para a regularização das faltas ou dos defeitos observados. (</w:t>
      </w:r>
      <w:hyperlink r:id="rId13" w:anchor="art117§1">
        <w:r w:rsidRPr="00FF4109">
          <w:rPr>
            <w:rStyle w:val="Hyperlink"/>
            <w:color w:val="auto"/>
          </w:rPr>
          <w:t>Lei nº 14.133, de 2021, art. 117, §1º</w:t>
        </w:r>
      </w:hyperlink>
      <w:r w:rsidRPr="00FF4109">
        <w:rPr>
          <w:color w:val="auto"/>
        </w:rPr>
        <w:t xml:space="preserve">, e </w:t>
      </w:r>
      <w:hyperlink r:id="rId14" w:anchor="art22">
        <w:r w:rsidRPr="00FF4109">
          <w:rPr>
            <w:rStyle w:val="Hyperlink"/>
            <w:color w:val="auto"/>
          </w:rPr>
          <w:t>Decreto nº 11.246, de 2022, art. 22, II);</w:t>
        </w:r>
      </w:hyperlink>
      <w:commentRangeEnd w:id="24"/>
      <w:r w:rsidRPr="00FF4109">
        <w:rPr>
          <w:color w:val="auto"/>
        </w:rPr>
        <w:commentReference w:id="24"/>
      </w:r>
    </w:p>
    <w:p w14:paraId="0D4778D4" w14:textId="77777777" w:rsidR="00952E08" w:rsidRPr="00FF4109" w:rsidRDefault="00952E08" w:rsidP="00952E08">
      <w:pPr>
        <w:pStyle w:val="Nivel3"/>
        <w:rPr>
          <w:color w:val="auto"/>
        </w:rPr>
      </w:pPr>
      <w:r w:rsidRPr="00FF4109">
        <w:rPr>
          <w:color w:val="auto"/>
        </w:rPr>
        <w:t>Identificada qualquer inexatidão ou irregularidade, o fiscal técnico do contrato emitirá notificações para a correção da execução do contrato, determinando prazo para a correção. (</w:t>
      </w:r>
      <w:hyperlink r:id="rId15" w:anchor="art22">
        <w:r w:rsidRPr="00FF4109">
          <w:rPr>
            <w:rStyle w:val="Hyperlink"/>
            <w:color w:val="auto"/>
          </w:rPr>
          <w:t>Decreto nº 11.246, de 2022, art. 22, III</w:t>
        </w:r>
      </w:hyperlink>
      <w:r w:rsidRPr="00FF4109">
        <w:rPr>
          <w:color w:val="auto"/>
        </w:rPr>
        <w:t xml:space="preserve">); </w:t>
      </w:r>
    </w:p>
    <w:p w14:paraId="09F30B53" w14:textId="77777777" w:rsidR="00952E08" w:rsidRPr="00FF4109" w:rsidRDefault="00952E08" w:rsidP="00952E08">
      <w:pPr>
        <w:pStyle w:val="Nivel3"/>
        <w:rPr>
          <w:color w:val="auto"/>
        </w:rPr>
      </w:pPr>
      <w:r w:rsidRPr="00FF4109">
        <w:rPr>
          <w:color w:val="auto"/>
        </w:rPr>
        <w:t>O fiscal técnico do contrato informará ao gestor do contato, em tempo hábil, a situação que demandar decisão ou adoção de medidas que ultrapassem sua competência, para que adote as medidas necessárias e saneadoras, se for o caso. (</w:t>
      </w:r>
      <w:hyperlink r:id="rId16" w:anchor="art22">
        <w:r w:rsidRPr="00FF4109">
          <w:rPr>
            <w:rStyle w:val="Hyperlink"/>
            <w:color w:val="auto"/>
          </w:rPr>
          <w:t>Decreto nº 11.246, de 2022, art. 22, IV</w:t>
        </w:r>
      </w:hyperlink>
      <w:r w:rsidRPr="00FF4109">
        <w:rPr>
          <w:color w:val="auto"/>
        </w:rPr>
        <w:t>).</w:t>
      </w:r>
    </w:p>
    <w:p w14:paraId="4C062C5E" w14:textId="77777777" w:rsidR="00952E08" w:rsidRPr="00FF4109" w:rsidRDefault="00952E08" w:rsidP="00952E08">
      <w:pPr>
        <w:pStyle w:val="Nivel3"/>
        <w:rPr>
          <w:color w:val="auto"/>
        </w:rPr>
      </w:pPr>
      <w:r w:rsidRPr="00FF4109">
        <w:rPr>
          <w:color w:val="auto"/>
        </w:rPr>
        <w:t>No caso de ocorrências que possam inviabilizar a execução do contrato nas datas aprazadas, o fiscal técnico do contrato comunicará o fato imediatamente ao gestor do contrato. (</w:t>
      </w:r>
      <w:hyperlink r:id="rId17" w:anchor="art22">
        <w:r w:rsidRPr="00FF4109">
          <w:rPr>
            <w:rStyle w:val="Hyperlink"/>
            <w:color w:val="auto"/>
          </w:rPr>
          <w:t>Decreto nº 11.246, de 2022, art. 22, V</w:t>
        </w:r>
      </w:hyperlink>
      <w:r w:rsidRPr="00FF4109">
        <w:rPr>
          <w:color w:val="auto"/>
        </w:rPr>
        <w:t>).</w:t>
      </w:r>
    </w:p>
    <w:p w14:paraId="23E0FB5A" w14:textId="77777777" w:rsidR="00952E08" w:rsidRPr="00FF4109" w:rsidRDefault="00952E08" w:rsidP="00952E08">
      <w:pPr>
        <w:pStyle w:val="Nivel3"/>
        <w:rPr>
          <w:color w:val="auto"/>
        </w:rPr>
      </w:pPr>
      <w:r w:rsidRPr="00FF4109">
        <w:rPr>
          <w:color w:val="auto"/>
        </w:rPr>
        <w:t xml:space="preserve">O fiscal técnico do contrato comunicará ao gestor do contrato, em tempo hábil, o término do contrato sob sua responsabilidade, com vistas à renovação tempestiva ou à prorrogação contratual </w:t>
      </w:r>
      <w:hyperlink r:id="rId18" w:anchor="art22">
        <w:r w:rsidRPr="00FF4109">
          <w:rPr>
            <w:rStyle w:val="Hyperlink"/>
            <w:color w:val="auto"/>
          </w:rPr>
          <w:t>(Decreto nº 11.246, de 2022, art. 22, VII</w:t>
        </w:r>
      </w:hyperlink>
      <w:r w:rsidRPr="00FF4109">
        <w:rPr>
          <w:color w:val="auto"/>
        </w:rPr>
        <w:t>).</w:t>
      </w:r>
    </w:p>
    <w:p w14:paraId="09176013" w14:textId="77777777" w:rsidR="00952E08" w:rsidRPr="00FF4109" w:rsidRDefault="00952E08" w:rsidP="00952E08">
      <w:pPr>
        <w:pStyle w:val="Nivel3"/>
        <w:numPr>
          <w:ilvl w:val="0"/>
          <w:numId w:val="0"/>
        </w:numPr>
        <w:rPr>
          <w:color w:val="auto"/>
        </w:rPr>
      </w:pPr>
      <w:r w:rsidRPr="00FF4109">
        <w:rPr>
          <w:color w:val="auto"/>
        </w:rPr>
        <w:t>Fiscalização Administrativa</w:t>
      </w:r>
    </w:p>
    <w:p w14:paraId="60CD6B1A" w14:textId="77777777" w:rsidR="00952E08" w:rsidRPr="00FF4109" w:rsidRDefault="00952E08" w:rsidP="00952E08">
      <w:pPr>
        <w:pStyle w:val="Nivel2"/>
        <w:rPr>
          <w:color w:val="auto"/>
        </w:rPr>
      </w:pPr>
      <w:r w:rsidRPr="00FF4109">
        <w:rPr>
          <w:color w:val="auto"/>
        </w:rPr>
        <w:lastRenderedPageBreak/>
        <w:t>O fiscal administrativo do contrato verificará a manutenção das condições de habilitação da contratada, acompanhará o empenho, o pagamento, as garantias, as glosas e a formalização de apostilamento e termos aditivos, solicitando quaisquer documentos comprobatórios pertinentes, caso necessário (</w:t>
      </w:r>
      <w:hyperlink r:id="rId19" w:anchor="art23">
        <w:r w:rsidRPr="00FF4109">
          <w:rPr>
            <w:rStyle w:val="Hyperlink"/>
            <w:color w:val="auto"/>
          </w:rPr>
          <w:t>Art. 23, I e II, do Decreto nº 11.246, de 2022</w:t>
        </w:r>
      </w:hyperlink>
      <w:r w:rsidRPr="00FF4109">
        <w:rPr>
          <w:color w:val="auto"/>
        </w:rPr>
        <w:t>).</w:t>
      </w:r>
    </w:p>
    <w:p w14:paraId="4392B91C" w14:textId="77777777" w:rsidR="00952E08" w:rsidRPr="00FF4109" w:rsidRDefault="00952E08" w:rsidP="00952E08">
      <w:pPr>
        <w:pStyle w:val="Nivel3"/>
        <w:rPr>
          <w:color w:val="auto"/>
        </w:rPr>
      </w:pPr>
      <w:r w:rsidRPr="00FF4109">
        <w:rPr>
          <w:color w:val="auto"/>
        </w:rPr>
        <w:t>Caso ocorra descumprimento das obrigações contratuais, o fiscal administrativo do contrato atuará tempestivamente na solução do problema, reportando ao gestor do contrato para que tome as providências cabíveis, quando ultrapassar a sua competência; (</w:t>
      </w:r>
      <w:hyperlink r:id="rId20" w:anchor="art23">
        <w:r w:rsidRPr="00FF4109">
          <w:rPr>
            <w:rStyle w:val="Hyperlink"/>
            <w:color w:val="auto"/>
          </w:rPr>
          <w:t>Decreto nº 11.246, de 2022, art. 23, IV</w:t>
        </w:r>
      </w:hyperlink>
      <w:r w:rsidRPr="00FF4109">
        <w:rPr>
          <w:color w:val="auto"/>
        </w:rPr>
        <w:t>).</w:t>
      </w:r>
    </w:p>
    <w:p w14:paraId="6ED439E4" w14:textId="77777777" w:rsidR="00952E08" w:rsidRPr="00FF4109" w:rsidRDefault="00952E08" w:rsidP="00952E08">
      <w:pPr>
        <w:pStyle w:val="Nvel2-Red"/>
        <w:rPr>
          <w:color w:val="auto"/>
        </w:rPr>
      </w:pPr>
      <w:r w:rsidRPr="00FF4109">
        <w:rPr>
          <w:color w:val="auto"/>
        </w:rPr>
        <w:t>Além do disposto acima, a fiscalização contratual obedecerá às seguintes rotinas:</w:t>
      </w:r>
    </w:p>
    <w:p w14:paraId="5EBDCE0C" w14:textId="77777777" w:rsidR="00952E08" w:rsidRPr="00FF4109" w:rsidRDefault="00952E08" w:rsidP="000B1356">
      <w:pPr>
        <w:pStyle w:val="Nvel3-R"/>
      </w:pPr>
      <w:r w:rsidRPr="00FF4109">
        <w:t>(...)</w:t>
      </w:r>
    </w:p>
    <w:p w14:paraId="329683B1" w14:textId="77777777" w:rsidR="00952E08" w:rsidRPr="00FF4109" w:rsidRDefault="00952E08" w:rsidP="000B1356">
      <w:pPr>
        <w:pStyle w:val="Nvel3-R"/>
      </w:pPr>
      <w:r w:rsidRPr="00FF4109">
        <w:t>(...)</w:t>
      </w:r>
    </w:p>
    <w:p w14:paraId="5346F544" w14:textId="77777777" w:rsidR="00952E08" w:rsidRPr="00FF4109" w:rsidRDefault="00952E08" w:rsidP="000B1356">
      <w:pPr>
        <w:pStyle w:val="Nvel3-R"/>
      </w:pPr>
      <w:r w:rsidRPr="00FF4109">
        <w:t>(...)</w:t>
      </w:r>
    </w:p>
    <w:p w14:paraId="643C14FB" w14:textId="77777777" w:rsidR="00952E08" w:rsidRPr="00FF4109" w:rsidRDefault="00952E08" w:rsidP="000B1356">
      <w:pPr>
        <w:pStyle w:val="Nvel3-R"/>
      </w:pPr>
      <w:r w:rsidRPr="00FF4109">
        <w:t>(...)</w:t>
      </w:r>
      <w:commentRangeStart w:id="25"/>
      <w:commentRangeEnd w:id="25"/>
      <w:r w:rsidRPr="00FF4109">
        <w:commentReference w:id="25"/>
      </w:r>
    </w:p>
    <w:p w14:paraId="6FFDD4DF" w14:textId="77777777" w:rsidR="00952E08" w:rsidRPr="00FF4109" w:rsidRDefault="00952E08" w:rsidP="00FF4109">
      <w:pPr>
        <w:pStyle w:val="Nvel1-SemNumPreto"/>
        <w:rPr>
          <w:i/>
          <w:iCs/>
        </w:rPr>
      </w:pPr>
      <w:r w:rsidRPr="00FF4109">
        <w:t>Gestor do Contrato</w:t>
      </w:r>
    </w:p>
    <w:p w14:paraId="77DC5A3B" w14:textId="77777777" w:rsidR="00952E08" w:rsidRPr="00FF4109" w:rsidRDefault="00952E08" w:rsidP="00952E08">
      <w:pPr>
        <w:pStyle w:val="Nivel2"/>
        <w:rPr>
          <w:color w:val="auto"/>
        </w:rPr>
      </w:pPr>
      <w:r w:rsidRPr="00FF4109">
        <w:rPr>
          <w:color w:val="auto"/>
        </w:rPr>
        <w:t>O gestor do contrato coordenará a atualização do processo de acompanhamento e fiscalização do contrato contendo todos os registros formais da execução no histórico de gerenciamento do contrato, a exemplo da ordem de serviço, do registro de ocorrências, das alterações e das prorrogações contratuais, elaborando relatório com vistas à verificação da necessidade de adequações do contrato para fins de atendimento da finalidade da administração. (Decreto nº 11.246, de 2022, art. 21, IV).</w:t>
      </w:r>
    </w:p>
    <w:p w14:paraId="5B7E86F0" w14:textId="77777777" w:rsidR="00952E08" w:rsidRPr="00FF4109" w:rsidRDefault="00952E08" w:rsidP="00952E08">
      <w:pPr>
        <w:pStyle w:val="Nivel2"/>
        <w:rPr>
          <w:color w:val="auto"/>
        </w:rPr>
      </w:pPr>
      <w:r w:rsidRPr="00FF4109">
        <w:rPr>
          <w:color w:val="auto"/>
        </w:rPr>
        <w:t xml:space="preserve">O gestor do contrato acompanhará os registros realizados pelos fiscais do contrato, de todas as ocorrências relacionadas à execução do contrato e as medidas adotadas, informando, se for o caso, à autoridade superior àquelas que ultrapassarem a sua competência. (Decreto nº 11.246, de 2022, art. 21, II). </w:t>
      </w:r>
    </w:p>
    <w:p w14:paraId="200B889F" w14:textId="77777777" w:rsidR="00952E08" w:rsidRPr="00FF4109" w:rsidRDefault="00952E08" w:rsidP="00952E08">
      <w:pPr>
        <w:pStyle w:val="Nivel2"/>
        <w:rPr>
          <w:color w:val="auto"/>
        </w:rPr>
      </w:pPr>
      <w:r w:rsidRPr="00FF4109">
        <w:rPr>
          <w:color w:val="auto"/>
        </w:rPr>
        <w:t xml:space="preserve">O gestor do contrato acompanhará a manutenção das condições de habilitação da contratada, para fins de empenho de despesa e pagamento, e anotará os problemas que obstem o fluxo normal da liquidação e do pagamento da despesa no relatório de riscos eventuais. (Decreto nº 11.246, de 2022, art. 21, III). </w:t>
      </w:r>
    </w:p>
    <w:p w14:paraId="7584F0A8" w14:textId="77777777" w:rsidR="00952E08" w:rsidRPr="00FF4109" w:rsidRDefault="00952E08" w:rsidP="00952E08">
      <w:pPr>
        <w:pStyle w:val="Nivel2"/>
        <w:rPr>
          <w:color w:val="auto"/>
        </w:rPr>
      </w:pPr>
      <w:r w:rsidRPr="00FF4109">
        <w:rPr>
          <w:color w:val="auto"/>
        </w:rPr>
        <w:t xml:space="preserve">O gestor do contrato emitirá documento comprobatório da avaliação realizada pelos fiscais técnico, administrativo e setorial quanto ao cumprimento de obrigações assumidas pelo contratado, com menção ao seu desempenho na execução contratual, baseado nos indicadores objetivamente definidos e aferidos, e a eventuais penalidades aplicadas, devendo constar do cadastro de atesto de cumprimento de obrigações. (Decreto nº 11.246, de 2022, art. 21, VIII). </w:t>
      </w:r>
    </w:p>
    <w:p w14:paraId="08116661" w14:textId="77777777" w:rsidR="00952E08" w:rsidRPr="00FF4109" w:rsidRDefault="00952E08" w:rsidP="00952E08">
      <w:pPr>
        <w:pStyle w:val="Nivel2"/>
        <w:rPr>
          <w:color w:val="auto"/>
        </w:rPr>
      </w:pPr>
      <w:r w:rsidRPr="00FF4109">
        <w:rPr>
          <w:color w:val="auto"/>
        </w:rPr>
        <w:t xml:space="preserve">O gestor do contrato tomará providências para a formalização de processo administrativo de responsabilização para fins de aplicação de sanções, a ser conduzido pela comissão de que trata o art. 158 da Lei nº 14.133, de 2021, ou pelo agente ou pelo setor com competência para tal, conforme o caso. (Decreto nº 11.246, de 2022, art. 21, X). </w:t>
      </w:r>
    </w:p>
    <w:p w14:paraId="1E9148C5" w14:textId="77777777" w:rsidR="00952E08" w:rsidRPr="00FF4109" w:rsidRDefault="00952E08" w:rsidP="00952E08">
      <w:pPr>
        <w:pStyle w:val="Nivel2"/>
        <w:rPr>
          <w:color w:val="auto"/>
        </w:rPr>
      </w:pPr>
      <w:r w:rsidRPr="00FF4109">
        <w:rPr>
          <w:color w:val="auto"/>
        </w:rPr>
        <w:t xml:space="preserve">O gestor do contrato deverá elaborar relatório final com informações sobre a consecução dos objetivos que tenham justificado a contratação e eventuais condutas a serem adotadas para o aprimoramento das atividades da Administração. (Decreto nº 11.246, de 2022, art. 21, VI). </w:t>
      </w:r>
    </w:p>
    <w:p w14:paraId="46A16384" w14:textId="77777777" w:rsidR="00952E08" w:rsidRPr="00FF4109" w:rsidRDefault="00952E08" w:rsidP="00952E08">
      <w:pPr>
        <w:pStyle w:val="Nivel2"/>
        <w:rPr>
          <w:color w:val="auto"/>
        </w:rPr>
      </w:pPr>
      <w:r w:rsidRPr="00FF4109">
        <w:rPr>
          <w:color w:val="auto"/>
        </w:rPr>
        <w:t>O gestor do contrato deverá enviar a documentação pertinente ao setor de contratos para a formalização dos procedimentos de liquidação e pagamento, no valor dimensionado pela fiscalização e gestão nos termos do contrato.</w:t>
      </w:r>
    </w:p>
    <w:p w14:paraId="38739067" w14:textId="77777777" w:rsidR="00952E08" w:rsidRPr="00FF4109" w:rsidRDefault="00952E08" w:rsidP="00952E08">
      <w:pPr>
        <w:pStyle w:val="Nivel01"/>
      </w:pPr>
      <w:r w:rsidRPr="00FF4109">
        <w:t>CRITÉRIOS DE MEDIÇÃO E DE PAGAMENTO</w:t>
      </w:r>
    </w:p>
    <w:p w14:paraId="447783E7" w14:textId="77777777" w:rsidR="00952E08" w:rsidRPr="00FF4109" w:rsidRDefault="00952E08" w:rsidP="00FF4109">
      <w:pPr>
        <w:pStyle w:val="Nvel1-SemNumPreto"/>
      </w:pPr>
      <w:r w:rsidRPr="00FF4109">
        <w:t>Recebimento</w:t>
      </w:r>
    </w:p>
    <w:p w14:paraId="380C0F82" w14:textId="77777777" w:rsidR="00952E08" w:rsidRPr="00FF4109" w:rsidRDefault="00952E08" w:rsidP="00952E08">
      <w:pPr>
        <w:pStyle w:val="Nivel2"/>
        <w:rPr>
          <w:color w:val="auto"/>
          <w:lang w:eastAsia="en-US"/>
        </w:rPr>
      </w:pPr>
      <w:commentRangeStart w:id="26"/>
      <w:r w:rsidRPr="00FF4109">
        <w:rPr>
          <w:color w:val="auto"/>
          <w:lang w:eastAsia="en-US"/>
        </w:rPr>
        <w:t>Os bens serão recebidos provisoriamente, de forma sumária</w:t>
      </w:r>
      <w:commentRangeEnd w:id="26"/>
      <w:r w:rsidRPr="00FF4109">
        <w:rPr>
          <w:color w:val="auto"/>
        </w:rPr>
        <w:commentReference w:id="26"/>
      </w:r>
      <w:r w:rsidRPr="00FF4109">
        <w:rPr>
          <w:color w:val="auto"/>
          <w:lang w:eastAsia="en-US"/>
        </w:rPr>
        <w:t xml:space="preserve">, no ato da entrega, juntamente com a </w:t>
      </w:r>
      <w:r w:rsidRPr="00FF4109">
        <w:rPr>
          <w:rFonts w:eastAsia="Calibri"/>
          <w:color w:val="auto"/>
          <w:lang w:eastAsia="en-US"/>
        </w:rPr>
        <w:t>nota</w:t>
      </w:r>
      <w:r w:rsidRPr="00FF4109">
        <w:rPr>
          <w:color w:val="auto"/>
          <w:lang w:eastAsia="en-US"/>
        </w:rPr>
        <w:t xml:space="preserve"> fiscal ou instrumento de cobrança equivalente, pelo(a) responsável pelo acompanhamento e fiscalização do </w:t>
      </w:r>
      <w:r w:rsidRPr="00FF4109">
        <w:rPr>
          <w:color w:val="auto"/>
          <w:lang w:eastAsia="en-US"/>
        </w:rPr>
        <w:lastRenderedPageBreak/>
        <w:t>contrato, para efeito de posterior verificação de sua conformidade com as especificações constantes no Termo de Referência e na proposta.</w:t>
      </w:r>
    </w:p>
    <w:p w14:paraId="41BBB8DB" w14:textId="77777777" w:rsidR="00952E08" w:rsidRPr="00FF4109" w:rsidRDefault="00952E08" w:rsidP="00952E08">
      <w:pPr>
        <w:pStyle w:val="Nivel2"/>
        <w:rPr>
          <w:color w:val="auto"/>
          <w:lang w:eastAsia="en-US"/>
        </w:rPr>
      </w:pPr>
      <w:r w:rsidRPr="00FF4109">
        <w:rPr>
          <w:color w:val="auto"/>
          <w:lang w:eastAsia="en-US"/>
        </w:rPr>
        <w:t>Os bens poderão ser rejeitados, no todo ou em parte, inclusive antes do recebimento provisório, quando em desacordo com as especificações constantes no Termo de Referência e na proposta, devendo ser substituídos no prazo de .... (...) dias, a contar da notificação da contratada, às suas custas, sem prejuízo da aplicação das penalidades.</w:t>
      </w:r>
    </w:p>
    <w:p w14:paraId="59AF8019" w14:textId="77777777" w:rsidR="00952E08" w:rsidRPr="00FF4109" w:rsidRDefault="00952E08" w:rsidP="00952E08">
      <w:pPr>
        <w:pStyle w:val="Nivel2"/>
        <w:rPr>
          <w:color w:val="auto"/>
          <w:lang w:eastAsia="en-US"/>
        </w:rPr>
      </w:pPr>
      <w:commentRangeStart w:id="27"/>
      <w:r w:rsidRPr="00FF4109">
        <w:rPr>
          <w:color w:val="auto"/>
          <w:lang w:eastAsia="en-US"/>
        </w:rPr>
        <w:t>O recebimento definitivo ocorrerá no prazo de XXXX(XXXX) dias úteis, a contar do recebimento da nota fiscal ou instrumento de cobrança equivalente pela Administração, após a verificação da qualidade e quantidade do material e consequente aceitação mediante termo detalhado.</w:t>
      </w:r>
      <w:commentRangeEnd w:id="27"/>
      <w:r w:rsidRPr="00FF4109">
        <w:rPr>
          <w:color w:val="auto"/>
        </w:rPr>
        <w:commentReference w:id="27"/>
      </w:r>
    </w:p>
    <w:p w14:paraId="3CD2376B" w14:textId="77777777" w:rsidR="00952E08" w:rsidRPr="00FF4109" w:rsidRDefault="00952E08" w:rsidP="00952E08">
      <w:pPr>
        <w:pStyle w:val="Nivel2"/>
        <w:rPr>
          <w:color w:val="auto"/>
          <w:lang w:eastAsia="en-US"/>
        </w:rPr>
      </w:pPr>
      <w:commentRangeStart w:id="28"/>
      <w:r w:rsidRPr="00FF4109">
        <w:rPr>
          <w:color w:val="auto"/>
          <w:lang w:eastAsia="en-US"/>
        </w:rPr>
        <w:t xml:space="preserve">Para as contratações decorrentes de despesas cujos valores não ultrapassem o limite de que trata o </w:t>
      </w:r>
      <w:hyperlink r:id="rId21" w:anchor="art75">
        <w:r w:rsidRPr="00FF4109">
          <w:rPr>
            <w:rStyle w:val="Hyperlink"/>
            <w:color w:val="auto"/>
            <w:lang w:eastAsia="en-US"/>
          </w:rPr>
          <w:t>inciso II do art. 75 da Lei nº 14.133, de 2021</w:t>
        </w:r>
      </w:hyperlink>
      <w:r w:rsidRPr="00FF4109">
        <w:rPr>
          <w:color w:val="auto"/>
          <w:lang w:eastAsia="en-US"/>
        </w:rPr>
        <w:t>, o prazo máximo para o recebimento definitivo será de até XXXXX (XXX) dias úteis.</w:t>
      </w:r>
      <w:commentRangeEnd w:id="28"/>
      <w:r w:rsidRPr="00FF4109">
        <w:rPr>
          <w:color w:val="auto"/>
        </w:rPr>
        <w:commentReference w:id="28"/>
      </w:r>
    </w:p>
    <w:p w14:paraId="67A4D2C5" w14:textId="77777777" w:rsidR="00952E08" w:rsidRPr="00FF4109" w:rsidRDefault="00952E08" w:rsidP="00952E08">
      <w:pPr>
        <w:pStyle w:val="Nivel2"/>
        <w:rPr>
          <w:color w:val="auto"/>
          <w:lang w:eastAsia="en-US"/>
        </w:rPr>
      </w:pPr>
      <w:r w:rsidRPr="00FF4109">
        <w:rPr>
          <w:color w:val="auto"/>
          <w:lang w:eastAsia="en-US"/>
        </w:rPr>
        <w:t>O prazo para recebimento definitivo poderá ser excepcionalmente prorrogado, de forma justificada, por igual período, quando houver necessidade de diligências para a aferição do atendimento das exigências contratuais.</w:t>
      </w:r>
    </w:p>
    <w:p w14:paraId="3936B3AC" w14:textId="77777777" w:rsidR="00952E08" w:rsidRPr="00FF4109" w:rsidRDefault="00952E08" w:rsidP="00952E08">
      <w:pPr>
        <w:pStyle w:val="Nivel2"/>
        <w:rPr>
          <w:color w:val="auto"/>
          <w:lang w:eastAsia="en-US"/>
        </w:rPr>
      </w:pPr>
      <w:r w:rsidRPr="00FF4109">
        <w:rPr>
          <w:color w:val="auto"/>
          <w:lang w:eastAsia="en-US"/>
        </w:rPr>
        <w:t xml:space="preserve">No caso de controvérsia sobre a execução do objeto, quanto à dimensão, qualidade e quantidade, deverá ser observado o teor do </w:t>
      </w:r>
      <w:hyperlink r:id="rId22" w:anchor="art143">
        <w:r w:rsidRPr="00FF4109">
          <w:rPr>
            <w:rStyle w:val="Hyperlink"/>
            <w:color w:val="auto"/>
            <w:lang w:eastAsia="en-US"/>
          </w:rPr>
          <w:t>art. 143 da Lei nº 14.133, de 2021</w:t>
        </w:r>
      </w:hyperlink>
      <w:r w:rsidRPr="00FF4109">
        <w:rPr>
          <w:color w:val="auto"/>
          <w:lang w:eastAsia="en-US"/>
        </w:rPr>
        <w:t xml:space="preserve">, comunicando-se à empresa para emissão de Nota Fiscal no que </w:t>
      </w:r>
      <w:proofErr w:type="spellStart"/>
      <w:r w:rsidRPr="00FF4109">
        <w:rPr>
          <w:color w:val="auto"/>
          <w:lang w:eastAsia="en-US"/>
        </w:rPr>
        <w:t>pertine</w:t>
      </w:r>
      <w:proofErr w:type="spellEnd"/>
      <w:r w:rsidRPr="00FF4109">
        <w:rPr>
          <w:color w:val="auto"/>
          <w:lang w:eastAsia="en-US"/>
        </w:rPr>
        <w:t xml:space="preserve"> à parcela incontroversa da execução do objeto, para efeito de liquidação e pagamento.</w:t>
      </w:r>
    </w:p>
    <w:p w14:paraId="02979ABD" w14:textId="77777777" w:rsidR="00952E08" w:rsidRPr="00FF4109" w:rsidRDefault="00952E08" w:rsidP="00952E08">
      <w:pPr>
        <w:pStyle w:val="Nivel2"/>
        <w:rPr>
          <w:color w:val="auto"/>
          <w:lang w:eastAsia="en-US"/>
        </w:rPr>
      </w:pPr>
      <w:r w:rsidRPr="00FF4109">
        <w:rPr>
          <w:color w:val="auto"/>
          <w:lang w:eastAsia="en-US"/>
        </w:rPr>
        <w:t>O prazo para a solução, pelo contratado, de inconsistências na execução do objeto ou de saneamento da nota fiscal ou de instrumento de cobrança equivalente, verificadas pela Administração durante a análise prévia à liquidação de despesa, não será computado para os fins do recebimento definitivo.</w:t>
      </w:r>
    </w:p>
    <w:p w14:paraId="0D18028E" w14:textId="77777777" w:rsidR="00952E08" w:rsidRPr="00FF4109" w:rsidRDefault="00952E08" w:rsidP="00952E08">
      <w:pPr>
        <w:pStyle w:val="Nivel2"/>
        <w:rPr>
          <w:color w:val="auto"/>
          <w:lang w:eastAsia="en-US"/>
        </w:rPr>
      </w:pPr>
      <w:r w:rsidRPr="00FF4109">
        <w:rPr>
          <w:color w:val="auto"/>
          <w:lang w:eastAsia="en-US"/>
        </w:rPr>
        <w:t>O recebimento provisório ou definitivo não excluirá a responsabilidade civil pela solidez e pela segurança dos bens nem a responsabilidade ético-profissional pela perfeita execução do contrato.</w:t>
      </w:r>
    </w:p>
    <w:p w14:paraId="6D26B669" w14:textId="77777777" w:rsidR="00952E08" w:rsidRPr="00FF4109" w:rsidRDefault="00952E08" w:rsidP="00FF4109">
      <w:pPr>
        <w:pStyle w:val="Nvel1-SemNumPreto"/>
      </w:pPr>
      <w:r w:rsidRPr="00FF4109">
        <w:t>Liquidação</w:t>
      </w:r>
    </w:p>
    <w:p w14:paraId="0130CD27" w14:textId="77777777" w:rsidR="00952E08" w:rsidRPr="00FF4109" w:rsidRDefault="00952E08" w:rsidP="00952E08">
      <w:pPr>
        <w:pStyle w:val="Nivel2"/>
        <w:rPr>
          <w:color w:val="auto"/>
          <w:lang w:eastAsia="en-US"/>
        </w:rPr>
      </w:pPr>
      <w:r w:rsidRPr="00FF4109">
        <w:rPr>
          <w:color w:val="auto"/>
          <w:lang w:eastAsia="en-US"/>
        </w:rPr>
        <w:t>Recebida a Nota Fiscal ou documento de cobrança equivalente, correrá o prazo de dez dias úteis para fins de liquidação, na forma desta seção, prorrogáveis por igual período, nos termos do art. 7º, §3</w:t>
      </w:r>
      <w:r w:rsidRPr="00FF4109">
        <w:rPr>
          <w:rStyle w:val="Hyperlink"/>
          <w:color w:val="auto"/>
          <w:lang w:eastAsia="en-US"/>
        </w:rPr>
        <w:t>º da Instrução Normativa SEGES/ME nº 77/2022</w:t>
      </w:r>
      <w:r w:rsidRPr="00FF4109">
        <w:rPr>
          <w:color w:val="auto"/>
          <w:lang w:eastAsia="en-US"/>
        </w:rPr>
        <w:t>.</w:t>
      </w:r>
    </w:p>
    <w:p w14:paraId="483B14D4" w14:textId="77777777" w:rsidR="00952E08" w:rsidRPr="00FF4109" w:rsidRDefault="00952E08" w:rsidP="00952E08">
      <w:pPr>
        <w:pStyle w:val="Nivel3"/>
        <w:rPr>
          <w:color w:val="auto"/>
        </w:rPr>
      </w:pPr>
      <w:r w:rsidRPr="00FF4109">
        <w:rPr>
          <w:color w:val="auto"/>
        </w:rPr>
        <w:t xml:space="preserve">O prazo de que trata o item anterior será reduzido à metade, mantendo-se a possibilidade de prorrogação, no caso de contratações decorrentes de despesas cujos valores não ultrapassem o limite de que trata o </w:t>
      </w:r>
      <w:hyperlink r:id="rId23" w:anchor="art75">
        <w:r w:rsidRPr="00FF4109">
          <w:rPr>
            <w:rStyle w:val="Hyperlink"/>
            <w:color w:val="auto"/>
          </w:rPr>
          <w:t>inciso II do art. 75 da Lei nº 14.133, de 2021</w:t>
        </w:r>
      </w:hyperlink>
      <w:r w:rsidRPr="00FF4109">
        <w:rPr>
          <w:color w:val="auto"/>
        </w:rPr>
        <w:t>.</w:t>
      </w:r>
    </w:p>
    <w:p w14:paraId="1D9AE3AF" w14:textId="77777777" w:rsidR="00952E08" w:rsidRPr="00FF4109" w:rsidRDefault="00952E08" w:rsidP="00952E08">
      <w:pPr>
        <w:pStyle w:val="Nivel2"/>
        <w:rPr>
          <w:color w:val="auto"/>
          <w:lang w:eastAsia="en-US"/>
        </w:rPr>
      </w:pPr>
      <w:r w:rsidRPr="00FF4109">
        <w:rPr>
          <w:color w:val="auto"/>
          <w:lang w:eastAsia="en-US"/>
        </w:rPr>
        <w:t xml:space="preserve">Para fins de liquidação, o setor competente deverá verificar se a nota fiscal ou instrumento de cobrança equivalente apresentado expressa os elementos necessários e essenciais do documento, tais como: </w:t>
      </w:r>
    </w:p>
    <w:p w14:paraId="5A1D6745" w14:textId="77777777" w:rsidR="00952E08" w:rsidRPr="00FF4109" w:rsidRDefault="00952E08" w:rsidP="00952E08">
      <w:pPr>
        <w:pStyle w:val="Nivel3"/>
        <w:rPr>
          <w:color w:val="auto"/>
          <w:lang w:eastAsia="en-US"/>
        </w:rPr>
      </w:pPr>
      <w:r w:rsidRPr="00FF4109">
        <w:rPr>
          <w:color w:val="auto"/>
          <w:lang w:eastAsia="en-US"/>
        </w:rPr>
        <w:t>o prazo de validade;</w:t>
      </w:r>
    </w:p>
    <w:p w14:paraId="350FB2D6" w14:textId="77777777" w:rsidR="00952E08" w:rsidRPr="00FF4109" w:rsidRDefault="00952E08" w:rsidP="00952E08">
      <w:pPr>
        <w:pStyle w:val="Nivel3"/>
        <w:rPr>
          <w:color w:val="auto"/>
          <w:lang w:eastAsia="en-US"/>
        </w:rPr>
      </w:pPr>
      <w:r w:rsidRPr="00FF4109">
        <w:rPr>
          <w:color w:val="auto"/>
          <w:lang w:eastAsia="en-US"/>
        </w:rPr>
        <w:t xml:space="preserve">a data da emissão; </w:t>
      </w:r>
    </w:p>
    <w:p w14:paraId="364C7D61" w14:textId="77777777" w:rsidR="00952E08" w:rsidRPr="00FF4109" w:rsidRDefault="00952E08" w:rsidP="00952E08">
      <w:pPr>
        <w:pStyle w:val="Nivel3"/>
        <w:rPr>
          <w:color w:val="auto"/>
          <w:lang w:eastAsia="en-US"/>
        </w:rPr>
      </w:pPr>
      <w:r w:rsidRPr="00FF4109">
        <w:rPr>
          <w:color w:val="auto"/>
          <w:lang w:eastAsia="en-US"/>
        </w:rPr>
        <w:t xml:space="preserve">os dados do contrato e do órgão contratante; </w:t>
      </w:r>
    </w:p>
    <w:p w14:paraId="2F72D093" w14:textId="77777777" w:rsidR="00952E08" w:rsidRPr="00FF4109" w:rsidRDefault="00952E08" w:rsidP="00952E08">
      <w:pPr>
        <w:pStyle w:val="Nivel3"/>
        <w:rPr>
          <w:color w:val="auto"/>
          <w:lang w:eastAsia="en-US"/>
        </w:rPr>
      </w:pPr>
      <w:r w:rsidRPr="00FF4109">
        <w:rPr>
          <w:color w:val="auto"/>
          <w:lang w:eastAsia="en-US"/>
        </w:rPr>
        <w:t xml:space="preserve">o período respectivo de execução do contrato; </w:t>
      </w:r>
    </w:p>
    <w:p w14:paraId="62B8652D" w14:textId="77777777" w:rsidR="00952E08" w:rsidRPr="00FF4109" w:rsidRDefault="00952E08" w:rsidP="00952E08">
      <w:pPr>
        <w:pStyle w:val="Nivel3"/>
        <w:rPr>
          <w:color w:val="auto"/>
          <w:lang w:eastAsia="en-US"/>
        </w:rPr>
      </w:pPr>
      <w:r w:rsidRPr="00FF4109">
        <w:rPr>
          <w:color w:val="auto"/>
          <w:lang w:eastAsia="en-US"/>
        </w:rPr>
        <w:t xml:space="preserve">o valor a pagar; e </w:t>
      </w:r>
    </w:p>
    <w:p w14:paraId="570E5E04" w14:textId="77777777" w:rsidR="00952E08" w:rsidRPr="00FF4109" w:rsidRDefault="00952E08" w:rsidP="00952E08">
      <w:pPr>
        <w:pStyle w:val="Nivel3"/>
        <w:rPr>
          <w:color w:val="auto"/>
          <w:lang w:eastAsia="en-US"/>
        </w:rPr>
      </w:pPr>
      <w:r w:rsidRPr="00FF4109">
        <w:rPr>
          <w:color w:val="auto"/>
          <w:lang w:eastAsia="en-US"/>
        </w:rPr>
        <w:t>eventual destaque do valor de retenções tributárias cabíveis.</w:t>
      </w:r>
    </w:p>
    <w:p w14:paraId="5D39A428" w14:textId="77777777" w:rsidR="00952E08" w:rsidRPr="00FF4109" w:rsidRDefault="00952E08" w:rsidP="00952E08">
      <w:pPr>
        <w:pStyle w:val="Nivel2"/>
        <w:rPr>
          <w:color w:val="auto"/>
          <w:lang w:eastAsia="en-US"/>
        </w:rPr>
      </w:pPr>
      <w:r w:rsidRPr="00FF4109">
        <w:rPr>
          <w:rFonts w:eastAsia="Calibri"/>
          <w:color w:val="auto"/>
          <w:lang w:eastAsia="en-US"/>
        </w:rPr>
        <w:t xml:space="preserve"> Havendo erro na apresentação da nota fiscal ou instrumento de cobrança equivalente, ou circunstância que impeça a </w:t>
      </w:r>
      <w:r w:rsidRPr="00FF4109">
        <w:rPr>
          <w:color w:val="auto"/>
          <w:lang w:eastAsia="en-US"/>
        </w:rPr>
        <w:t>liquidação da despesa, esta ficará sobrestada até que o contratado providencie as medidas saneadoras, reiniciando-se o prazo após a comprovação da regularização da situação, sem ônus ao contratante;</w:t>
      </w:r>
    </w:p>
    <w:p w14:paraId="075B712B" w14:textId="77777777" w:rsidR="00952E08" w:rsidRPr="00FF4109" w:rsidRDefault="00952E08" w:rsidP="00952E08">
      <w:pPr>
        <w:pStyle w:val="Nivel2"/>
        <w:rPr>
          <w:color w:val="auto"/>
          <w:lang w:eastAsia="en-US"/>
        </w:rPr>
      </w:pPr>
      <w:r w:rsidRPr="00FF4109">
        <w:rPr>
          <w:color w:val="auto"/>
          <w:lang w:eastAsia="en-US"/>
        </w:rPr>
        <w:t xml:space="preserve"> A nota fiscal ou instrumento de cobrança equivalente deverá ser obrigatoriamente acompanhado da comprovação da regularidade fiscal, constatada por meio de consulta </w:t>
      </w:r>
      <w:r w:rsidRPr="00FF4109">
        <w:rPr>
          <w:i/>
          <w:iCs/>
          <w:color w:val="auto"/>
          <w:lang w:eastAsia="en-US"/>
        </w:rPr>
        <w:t>on-line</w:t>
      </w:r>
      <w:r w:rsidRPr="00FF4109">
        <w:rPr>
          <w:color w:val="auto"/>
          <w:lang w:eastAsia="en-US"/>
        </w:rPr>
        <w:t xml:space="preserve"> ao SICAF ou, na impossibilidade </w:t>
      </w:r>
      <w:r w:rsidRPr="00FF4109">
        <w:rPr>
          <w:color w:val="auto"/>
          <w:lang w:eastAsia="en-US"/>
        </w:rPr>
        <w:lastRenderedPageBreak/>
        <w:t xml:space="preserve">de acesso ao referido Sistema, mediante consulta aos sítios eletrônicos oficiais ou à documentação mencionada no </w:t>
      </w:r>
      <w:hyperlink r:id="rId24" w:anchor="art68">
        <w:r w:rsidRPr="00FF4109">
          <w:rPr>
            <w:rStyle w:val="Hyperlink"/>
            <w:color w:val="auto"/>
            <w:lang w:eastAsia="en-US"/>
          </w:rPr>
          <w:t xml:space="preserve">art. 68 da Lei nº 14.133, de 2021.  </w:t>
        </w:r>
      </w:hyperlink>
      <w:r w:rsidRPr="00FF4109">
        <w:rPr>
          <w:color w:val="auto"/>
          <w:lang w:eastAsia="en-US"/>
        </w:rPr>
        <w:t xml:space="preserve"> </w:t>
      </w:r>
    </w:p>
    <w:p w14:paraId="5A1141E8" w14:textId="77777777" w:rsidR="00952E08" w:rsidRPr="00FF4109" w:rsidRDefault="00952E08" w:rsidP="00952E08">
      <w:pPr>
        <w:pStyle w:val="Nivel2"/>
        <w:rPr>
          <w:color w:val="auto"/>
        </w:rPr>
      </w:pPr>
      <w:r w:rsidRPr="00FF4109">
        <w:rPr>
          <w:color w:val="auto"/>
        </w:rPr>
        <w:t xml:space="preserve">A Administração deverá realizar consulta ao SICAF para: a) verificar a manutenção das condições de habilitação exigidas; b) </w:t>
      </w:r>
      <w:r w:rsidRPr="00FF4109">
        <w:rPr>
          <w:color w:val="auto"/>
          <w:highlight w:val="green"/>
        </w:rPr>
        <w:t>identificar possível razão que impeça a contratação no âmbito do órgão ou entidade, tais como a proibição de contratar com a Administração ou com o Poder Público</w:t>
      </w:r>
      <w:r w:rsidRPr="00FF4109">
        <w:rPr>
          <w:color w:val="auto"/>
        </w:rPr>
        <w:t>, bem como ocorrências impeditivas indiretas (INSTRUÇÃO NORMATIVA Nº 3, DE 26 DE ABRIL DE 2018).</w:t>
      </w:r>
    </w:p>
    <w:p w14:paraId="631A3F77" w14:textId="77777777" w:rsidR="00952E08" w:rsidRPr="00FF4109" w:rsidRDefault="00952E08" w:rsidP="00952E08">
      <w:pPr>
        <w:pStyle w:val="Nivel2"/>
        <w:rPr>
          <w:color w:val="auto"/>
          <w:lang w:eastAsia="en-US"/>
        </w:rPr>
      </w:pPr>
      <w:r w:rsidRPr="00FF4109">
        <w:rPr>
          <w:color w:val="auto"/>
          <w:lang w:eastAsia="en-US"/>
        </w:rPr>
        <w:t>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p>
    <w:p w14:paraId="01019E70" w14:textId="77777777" w:rsidR="00952E08" w:rsidRPr="00FF4109" w:rsidRDefault="00952E08" w:rsidP="00952E08">
      <w:pPr>
        <w:pStyle w:val="Nivel2"/>
        <w:rPr>
          <w:color w:val="auto"/>
          <w:lang w:eastAsia="en-US"/>
        </w:rPr>
      </w:pPr>
      <w:r w:rsidRPr="00FF4109">
        <w:rPr>
          <w:color w:val="auto"/>
          <w:lang w:eastAsia="en-US"/>
        </w:rPr>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14:paraId="3627D8E0" w14:textId="77777777" w:rsidR="00952E08" w:rsidRPr="00FF4109" w:rsidRDefault="00952E08" w:rsidP="00952E08">
      <w:pPr>
        <w:pStyle w:val="Nivel2"/>
        <w:rPr>
          <w:color w:val="auto"/>
          <w:lang w:eastAsia="en-US"/>
        </w:rPr>
      </w:pPr>
      <w:r w:rsidRPr="00FF4109">
        <w:rPr>
          <w:color w:val="auto"/>
          <w:lang w:eastAsia="en-US"/>
        </w:rPr>
        <w:t xml:space="preserve">Persistindo a irregularidade, o contratante deverá adotar as medidas necessárias à rescisão contratual nos autos do processo administrativo correspondente, assegurada ao contratado a ampla defesa. </w:t>
      </w:r>
    </w:p>
    <w:p w14:paraId="31B7C6F8" w14:textId="77777777" w:rsidR="00952E08" w:rsidRPr="00FF4109" w:rsidRDefault="00952E08" w:rsidP="00952E08">
      <w:pPr>
        <w:pStyle w:val="Nivel2"/>
        <w:rPr>
          <w:color w:val="auto"/>
          <w:lang w:eastAsia="en-US"/>
        </w:rPr>
      </w:pPr>
      <w:r w:rsidRPr="00FF4109">
        <w:rPr>
          <w:color w:val="auto"/>
          <w:lang w:eastAsia="en-US"/>
        </w:rPr>
        <w:t xml:space="preserve">Havendo a efetiva execução do objeto, os pagamentos serão realizados normalmente, até que se decida pela rescisão do contrato, caso o contratado não regularize sua situação junto ao SICAF.  </w:t>
      </w:r>
    </w:p>
    <w:p w14:paraId="7258E2DF" w14:textId="77777777" w:rsidR="00952E08" w:rsidRPr="00FF4109" w:rsidRDefault="00952E08" w:rsidP="00FF4109">
      <w:pPr>
        <w:pStyle w:val="Nvel1-SemNumPreto"/>
      </w:pPr>
      <w:r w:rsidRPr="00FF4109">
        <w:t>Prazo de pagamento</w:t>
      </w:r>
    </w:p>
    <w:p w14:paraId="5704697D" w14:textId="77777777" w:rsidR="00952E08" w:rsidRPr="00FF4109" w:rsidRDefault="00952E08" w:rsidP="00952E08">
      <w:pPr>
        <w:pStyle w:val="Nivel2"/>
        <w:rPr>
          <w:color w:val="auto"/>
        </w:rPr>
      </w:pPr>
      <w:r w:rsidRPr="00FF4109">
        <w:rPr>
          <w:color w:val="auto"/>
        </w:rPr>
        <w:t xml:space="preserve">O pagamento será efetuado no prazo de até 10 (dez) dias úteis contados da finalização da liquidação da despesa, conforme seção anterior, nos termos da </w:t>
      </w:r>
      <w:hyperlink r:id="rId25">
        <w:r w:rsidRPr="00FF4109">
          <w:rPr>
            <w:rStyle w:val="Hyperlink"/>
            <w:color w:val="auto"/>
          </w:rPr>
          <w:t>Instrução Normativa SEGES/ME nº 77, de 2022</w:t>
        </w:r>
      </w:hyperlink>
      <w:r w:rsidRPr="00FF4109">
        <w:rPr>
          <w:color w:val="auto"/>
        </w:rPr>
        <w:t>.</w:t>
      </w:r>
    </w:p>
    <w:p w14:paraId="5F4FD094" w14:textId="77777777" w:rsidR="00952E08" w:rsidRPr="00FF4109" w:rsidRDefault="00952E08" w:rsidP="00952E08">
      <w:pPr>
        <w:pStyle w:val="Nivel2"/>
        <w:rPr>
          <w:color w:val="auto"/>
          <w:lang w:eastAsia="en-US"/>
        </w:rPr>
      </w:pPr>
      <w:commentRangeStart w:id="29"/>
      <w:r w:rsidRPr="00FF4109">
        <w:rPr>
          <w:color w:val="auto"/>
          <w:lang w:eastAsia="en-US"/>
        </w:rPr>
        <w:t xml:space="preserve">No caso de atraso pelo Contratante, os valores devidos ao contratado serão atualizados monetariamente entre o termo final do prazo de pagamento até a data de sua efetiva realização, mediante aplicação do índice </w:t>
      </w:r>
      <w:r w:rsidRPr="00FF4109">
        <w:rPr>
          <w:i/>
          <w:iCs/>
          <w:color w:val="auto"/>
          <w:lang w:eastAsia="en-US"/>
        </w:rPr>
        <w:t>XXXX</w:t>
      </w:r>
      <w:r w:rsidRPr="00FF4109">
        <w:rPr>
          <w:color w:val="auto"/>
          <w:lang w:eastAsia="en-US"/>
        </w:rPr>
        <w:t xml:space="preserve"> de correção monetária.</w:t>
      </w:r>
      <w:commentRangeEnd w:id="29"/>
      <w:r w:rsidRPr="00FF4109">
        <w:rPr>
          <w:color w:val="auto"/>
        </w:rPr>
        <w:commentReference w:id="29"/>
      </w:r>
    </w:p>
    <w:p w14:paraId="14019463" w14:textId="77777777" w:rsidR="00952E08" w:rsidRPr="00FF4109" w:rsidRDefault="00952E08" w:rsidP="00FF4109">
      <w:pPr>
        <w:pStyle w:val="Nvel1-SemNumPreto"/>
      </w:pPr>
      <w:r w:rsidRPr="00FF4109">
        <w:t>Forma de pagamento</w:t>
      </w:r>
    </w:p>
    <w:p w14:paraId="1BA64C8B" w14:textId="77777777" w:rsidR="00952E08" w:rsidRPr="00FF4109" w:rsidRDefault="00952E08" w:rsidP="00952E08">
      <w:pPr>
        <w:pStyle w:val="Nivel2"/>
        <w:rPr>
          <w:color w:val="auto"/>
          <w:lang w:eastAsia="en-US"/>
        </w:rPr>
      </w:pPr>
      <w:r w:rsidRPr="00FF4109">
        <w:rPr>
          <w:color w:val="auto"/>
          <w:lang w:eastAsia="en-US"/>
        </w:rPr>
        <w:t>O pagamento será realizado por meio de ordem bancária, para crédito em banco, agência e conta corrente indicados pelo contratado.</w:t>
      </w:r>
    </w:p>
    <w:p w14:paraId="55D33B46" w14:textId="77777777" w:rsidR="00952E08" w:rsidRPr="00FF4109" w:rsidRDefault="00952E08" w:rsidP="00952E08">
      <w:pPr>
        <w:pStyle w:val="Nivel2"/>
        <w:rPr>
          <w:color w:val="auto"/>
          <w:lang w:eastAsia="en-US"/>
        </w:rPr>
      </w:pPr>
      <w:r w:rsidRPr="00FF4109">
        <w:rPr>
          <w:color w:val="auto"/>
          <w:lang w:eastAsia="en-US"/>
        </w:rPr>
        <w:t>Será considerada data do pagamento o dia em que constar como emitida a ordem bancária para pagamento.</w:t>
      </w:r>
    </w:p>
    <w:p w14:paraId="2395D0E9" w14:textId="77777777" w:rsidR="00952E08" w:rsidRPr="00FF4109" w:rsidRDefault="00952E08" w:rsidP="00952E08">
      <w:pPr>
        <w:pStyle w:val="Nivel2"/>
        <w:rPr>
          <w:color w:val="auto"/>
          <w:lang w:eastAsia="en-US"/>
        </w:rPr>
      </w:pPr>
      <w:r w:rsidRPr="00FF4109">
        <w:rPr>
          <w:color w:val="auto"/>
          <w:lang w:eastAsia="en-US"/>
        </w:rPr>
        <w:t>Quando do pagamento, será efetuada a retenção tributária prevista na legislação aplicável.</w:t>
      </w:r>
    </w:p>
    <w:p w14:paraId="457C4460" w14:textId="77777777" w:rsidR="00952E08" w:rsidRPr="00FF4109" w:rsidRDefault="00952E08" w:rsidP="00952E08">
      <w:pPr>
        <w:pStyle w:val="Nivel3"/>
        <w:rPr>
          <w:color w:val="auto"/>
          <w:lang w:eastAsia="en-US"/>
        </w:rPr>
      </w:pPr>
      <w:commentRangeStart w:id="30"/>
      <w:r w:rsidRPr="00FF4109">
        <w:rPr>
          <w:color w:val="auto"/>
          <w:lang w:eastAsia="en-US"/>
        </w:rPr>
        <w:t>Independentemente do percentual de tributo inserido na planilha, quando houver, serão retidos na fonte, quando da realização do pagamento, os percentuais estabelecidos na legislação vigente.</w:t>
      </w:r>
      <w:commentRangeEnd w:id="30"/>
      <w:r w:rsidRPr="00FF4109">
        <w:rPr>
          <w:color w:val="auto"/>
        </w:rPr>
        <w:commentReference w:id="30"/>
      </w:r>
    </w:p>
    <w:p w14:paraId="4B57E686" w14:textId="77777777" w:rsidR="00952E08" w:rsidRPr="00FF4109" w:rsidRDefault="00952E08" w:rsidP="00952E08">
      <w:pPr>
        <w:pStyle w:val="Nivel2"/>
        <w:rPr>
          <w:color w:val="auto"/>
          <w:lang w:eastAsia="en-US"/>
        </w:rPr>
      </w:pPr>
      <w:r w:rsidRPr="00FF4109">
        <w:rPr>
          <w:color w:val="auto"/>
          <w:lang w:eastAsia="en-US"/>
        </w:rPr>
        <w:t xml:space="preserve">O contratado regularmente optante pelo Simples Nacional, nos termos da </w:t>
      </w:r>
      <w:hyperlink r:id="rId26">
        <w:r w:rsidRPr="00FF4109">
          <w:rPr>
            <w:rStyle w:val="Hyperlink"/>
            <w:color w:val="auto"/>
            <w:lang w:eastAsia="en-US"/>
          </w:rPr>
          <w:t>Lei Complementar nº 123, de 2006</w:t>
        </w:r>
      </w:hyperlink>
      <w:r w:rsidRPr="00FF4109">
        <w:rPr>
          <w:color w:val="auto"/>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06337FBF" w14:textId="77777777" w:rsidR="00952E08" w:rsidRPr="00FF4109" w:rsidRDefault="00952E08" w:rsidP="00FF4109">
      <w:pPr>
        <w:pStyle w:val="Nvel1-SemNum"/>
      </w:pPr>
      <w:commentRangeStart w:id="31"/>
      <w:r w:rsidRPr="00FF4109">
        <w:t>Antecipação de pagamento</w:t>
      </w:r>
      <w:commentRangeEnd w:id="31"/>
      <w:r w:rsidRPr="00FF4109">
        <w:rPr>
          <w:rStyle w:val="Refdecomentrio"/>
          <w:rFonts w:eastAsiaTheme="minorEastAsia"/>
        </w:rPr>
        <w:commentReference w:id="31"/>
      </w:r>
    </w:p>
    <w:p w14:paraId="00B8666E" w14:textId="77777777" w:rsidR="00952E08" w:rsidRPr="00FF4109" w:rsidRDefault="00952E08" w:rsidP="00952E08">
      <w:pPr>
        <w:pStyle w:val="Nvel2-Red"/>
        <w:rPr>
          <w:color w:val="auto"/>
          <w:lang w:eastAsia="en-US"/>
        </w:rPr>
      </w:pPr>
      <w:commentRangeStart w:id="32"/>
      <w:r w:rsidRPr="00FF4109">
        <w:rPr>
          <w:color w:val="auto"/>
          <w:lang w:eastAsia="en-US"/>
        </w:rPr>
        <w:t>A presente contratação permite a antecipação de pagamento ......... (parcial/total), conforme as regras previstas no presente tópico.</w:t>
      </w:r>
      <w:r w:rsidRPr="00FF4109">
        <w:rPr>
          <w:color w:val="auto"/>
        </w:rPr>
        <w:tab/>
      </w:r>
    </w:p>
    <w:p w14:paraId="3D3E4B99" w14:textId="77777777" w:rsidR="00952E08" w:rsidRPr="00FF4109" w:rsidRDefault="00952E08" w:rsidP="00952E08">
      <w:pPr>
        <w:pStyle w:val="Nvel2-Red"/>
        <w:rPr>
          <w:color w:val="auto"/>
          <w:lang w:eastAsia="en-US"/>
        </w:rPr>
      </w:pPr>
      <w:r w:rsidRPr="00FF4109">
        <w:rPr>
          <w:color w:val="auto"/>
          <w:lang w:eastAsia="en-US"/>
        </w:rPr>
        <w:t xml:space="preserve">O contratado emitirá recibo/nota fiscal/fatura/documento idôneo/... correspondente ao valor da antecipação de pagamento de R$ ...... (valor por extenso), tão logo ... (incluir condicionante – </w:t>
      </w:r>
      <w:proofErr w:type="spellStart"/>
      <w:r w:rsidRPr="00FF4109">
        <w:rPr>
          <w:color w:val="auto"/>
          <w:lang w:eastAsia="en-US"/>
        </w:rPr>
        <w:t>ex</w:t>
      </w:r>
      <w:proofErr w:type="spellEnd"/>
      <w:r w:rsidRPr="00FF4109">
        <w:rPr>
          <w:color w:val="auto"/>
          <w:lang w:eastAsia="en-US"/>
        </w:rPr>
        <w:t>: seja assinado o termo de contrato, ou seja, prestada a garantia etc.), para que o contratante efetue o pagamento antecipado.</w:t>
      </w:r>
    </w:p>
    <w:p w14:paraId="19E70AEC" w14:textId="77777777" w:rsidR="00952E08" w:rsidRPr="00FF4109" w:rsidRDefault="00952E08" w:rsidP="00952E08">
      <w:pPr>
        <w:pStyle w:val="Nvel2-Red"/>
        <w:rPr>
          <w:color w:val="auto"/>
          <w:lang w:eastAsia="en-US"/>
        </w:rPr>
      </w:pPr>
      <w:r w:rsidRPr="00FF4109">
        <w:rPr>
          <w:color w:val="auto"/>
          <w:lang w:eastAsia="en-US"/>
        </w:rPr>
        <w:t>Para as etapas seguintes do contrato, a antecipação do pagamento ocorrerá da seguinte forma:</w:t>
      </w:r>
    </w:p>
    <w:p w14:paraId="4F9AB29C" w14:textId="77777777" w:rsidR="00952E08" w:rsidRPr="00FF4109" w:rsidRDefault="00952E08" w:rsidP="000B1356">
      <w:pPr>
        <w:pStyle w:val="Nvel3-R"/>
      </w:pPr>
      <w:r w:rsidRPr="00FF4109">
        <w:t>R$</w:t>
      </w:r>
      <w:proofErr w:type="gramStart"/>
      <w:r w:rsidRPr="00FF4109">
        <w:t>.....</w:t>
      </w:r>
      <w:proofErr w:type="gramEnd"/>
      <w:r w:rsidRPr="00FF4109">
        <w:t xml:space="preserve"> (valor em extenso) quando do início da segunda etapa.</w:t>
      </w:r>
    </w:p>
    <w:p w14:paraId="7CC2F152" w14:textId="77777777" w:rsidR="00952E08" w:rsidRPr="00FF4109" w:rsidRDefault="00952E08" w:rsidP="000B1356">
      <w:pPr>
        <w:pStyle w:val="Nvel3-R"/>
      </w:pPr>
      <w:r w:rsidRPr="00FF4109">
        <w:lastRenderedPageBreak/>
        <w:t>(...)</w:t>
      </w:r>
      <w:commentRangeEnd w:id="32"/>
      <w:r w:rsidRPr="00FF4109">
        <w:commentReference w:id="32"/>
      </w:r>
    </w:p>
    <w:p w14:paraId="5DB0D125" w14:textId="77777777" w:rsidR="00952E08" w:rsidRPr="00FF4109" w:rsidRDefault="00952E08" w:rsidP="00952E08">
      <w:pPr>
        <w:pStyle w:val="Nvel2-Red"/>
        <w:rPr>
          <w:bCs/>
          <w:color w:val="auto"/>
          <w:lang w:eastAsia="en-US"/>
        </w:rPr>
      </w:pPr>
      <w:commentRangeStart w:id="33"/>
      <w:r w:rsidRPr="00FF4109">
        <w:rPr>
          <w:color w:val="auto"/>
          <w:lang w:eastAsia="en-US"/>
        </w:rPr>
        <w:t>Fica o contratado obrigado a devolver, com correção monetária, a integralidade do valor antecipado na hipótese de inexecução do objeto.</w:t>
      </w:r>
    </w:p>
    <w:p w14:paraId="63546A1B" w14:textId="77777777" w:rsidR="00952E08" w:rsidRPr="00FF4109" w:rsidRDefault="00952E08" w:rsidP="000B1356">
      <w:pPr>
        <w:pStyle w:val="Nvel3-R"/>
        <w:rPr>
          <w:bCs/>
        </w:rPr>
      </w:pPr>
      <w:r w:rsidRPr="00FF4109">
        <w:t>No caso de inexecução parcial, deverá haver a devolução do valor relativo à parcela não-executada do contrato.</w:t>
      </w:r>
    </w:p>
    <w:p w14:paraId="38777CB4" w14:textId="77777777" w:rsidR="00952E08" w:rsidRPr="00FF4109" w:rsidRDefault="00952E08" w:rsidP="000B1356">
      <w:pPr>
        <w:pStyle w:val="Nvel3-R"/>
        <w:rPr>
          <w:bCs/>
        </w:rPr>
      </w:pPr>
      <w:r w:rsidRPr="00FF4109">
        <w:t xml:space="preserve"> O valor relativo à parcela antecipada e não executada do contrato será atualizado monetariamente pela variação acumulada do   ........ (especificar o índice de correção monetária a ser adotado), ou outro índice que venha a substituí-lo, desde a data do pagamento da antecipação até a data da devolução.</w:t>
      </w:r>
      <w:commentRangeEnd w:id="33"/>
      <w:r w:rsidRPr="00FF4109">
        <w:commentReference w:id="33"/>
      </w:r>
    </w:p>
    <w:p w14:paraId="5AF7D8A2" w14:textId="77777777" w:rsidR="00952E08" w:rsidRPr="00FF4109" w:rsidRDefault="00952E08" w:rsidP="00952E08">
      <w:pPr>
        <w:pStyle w:val="Nvel2-Red"/>
        <w:rPr>
          <w:color w:val="auto"/>
          <w:lang w:eastAsia="en-US"/>
        </w:rPr>
      </w:pPr>
      <w:r w:rsidRPr="00FF4109">
        <w:rPr>
          <w:color w:val="auto"/>
          <w:lang w:eastAsia="en-US"/>
        </w:rPr>
        <w:t>A liquidação ocorrerá de acordo com as regras do tópico respectivo deste instrumento.</w:t>
      </w:r>
    </w:p>
    <w:p w14:paraId="713EB77C" w14:textId="77777777" w:rsidR="00952E08" w:rsidRPr="00FF4109" w:rsidRDefault="00952E08" w:rsidP="00952E08">
      <w:pPr>
        <w:pStyle w:val="Nvel2-Red"/>
        <w:rPr>
          <w:color w:val="auto"/>
          <w:lang w:eastAsia="en-US"/>
        </w:rPr>
      </w:pPr>
      <w:r w:rsidRPr="00FF4109">
        <w:rPr>
          <w:color w:val="auto"/>
          <w:lang w:eastAsia="en-US"/>
        </w:rPr>
        <w:t xml:space="preserve">O pagamento antecipado será efetuado no prazo máximo de até </w:t>
      </w:r>
      <w:proofErr w:type="gramStart"/>
      <w:r w:rsidRPr="00FF4109">
        <w:rPr>
          <w:color w:val="auto"/>
          <w:lang w:eastAsia="en-US"/>
        </w:rPr>
        <w:t>.....</w:t>
      </w:r>
      <w:proofErr w:type="gramEnd"/>
      <w:r w:rsidRPr="00FF4109">
        <w:rPr>
          <w:color w:val="auto"/>
          <w:lang w:eastAsia="en-US"/>
        </w:rPr>
        <w:t xml:space="preserve"> (....) dias, contados do recebimento do ...... (recibo OU nota fiscal OU fatura OU documento idôneo).</w:t>
      </w:r>
    </w:p>
    <w:p w14:paraId="0E11FAD3" w14:textId="77777777" w:rsidR="00952E08" w:rsidRPr="00FF4109" w:rsidRDefault="00952E08" w:rsidP="00952E08">
      <w:pPr>
        <w:pStyle w:val="Nvel2-Red"/>
        <w:rPr>
          <w:color w:val="auto"/>
          <w:lang w:eastAsia="en-US"/>
        </w:rPr>
      </w:pPr>
      <w:r w:rsidRPr="00FF4109">
        <w:rPr>
          <w:color w:val="auto"/>
          <w:lang w:eastAsia="en-US"/>
        </w:rPr>
        <w:t>A antecipação de pagamento dispensa o ateste ou recebimento prévios do objeto, os quais deverão ocorrer após a regular execução da parcela contratual a que se refere o valor antecipado.</w:t>
      </w:r>
    </w:p>
    <w:p w14:paraId="62D01DFB" w14:textId="77777777" w:rsidR="00952E08" w:rsidRPr="00FF4109" w:rsidRDefault="00952E08" w:rsidP="00952E08">
      <w:pPr>
        <w:pStyle w:val="Nvel2-Red"/>
        <w:rPr>
          <w:color w:val="auto"/>
          <w:lang w:eastAsia="en-US"/>
        </w:rPr>
      </w:pPr>
      <w:commentRangeStart w:id="34"/>
      <w:r w:rsidRPr="00FF4109">
        <w:rPr>
          <w:color w:val="auto"/>
          <w:lang w:eastAsia="en-US"/>
        </w:rPr>
        <w:t>O pagamento de que trata este item está condicionado à tomada das seguintes providências pelo contratado:</w:t>
      </w:r>
      <w:commentRangeEnd w:id="34"/>
      <w:r w:rsidRPr="00FF4109">
        <w:rPr>
          <w:color w:val="auto"/>
        </w:rPr>
        <w:commentReference w:id="34"/>
      </w:r>
    </w:p>
    <w:p w14:paraId="651B2243" w14:textId="77777777" w:rsidR="00952E08" w:rsidRPr="00FF4109" w:rsidRDefault="00952E08" w:rsidP="000B1356">
      <w:pPr>
        <w:pStyle w:val="Nvel3-R"/>
      </w:pPr>
      <w:commentRangeStart w:id="35"/>
      <w:r w:rsidRPr="00FF4109">
        <w:t>comprovação da execução da etapa imediatamente anterior do objeto pelo contratado, para a antecipação do valor remanescente;</w:t>
      </w:r>
      <w:commentRangeEnd w:id="35"/>
      <w:r w:rsidRPr="00FF4109">
        <w:commentReference w:id="35"/>
      </w:r>
    </w:p>
    <w:p w14:paraId="5CFE5CC0" w14:textId="77777777" w:rsidR="00952E08" w:rsidRPr="00FF4109" w:rsidRDefault="00952E08" w:rsidP="000B1356">
      <w:pPr>
        <w:pStyle w:val="Nvel3-R"/>
      </w:pPr>
      <w:commentRangeStart w:id="36"/>
      <w:r w:rsidRPr="00FF4109">
        <w:t>prestação da garantia adicional nas modalidades de que trata o art. 96 da Lei nº 14.133, de 2021, no percentual de ...%.</w:t>
      </w:r>
      <w:commentRangeEnd w:id="36"/>
      <w:r w:rsidRPr="00FF4109">
        <w:commentReference w:id="36"/>
      </w:r>
    </w:p>
    <w:p w14:paraId="2539079F" w14:textId="77777777" w:rsidR="00952E08" w:rsidRPr="00FF4109" w:rsidRDefault="00952E08" w:rsidP="00952E08">
      <w:pPr>
        <w:pStyle w:val="Nvel2-Red"/>
        <w:rPr>
          <w:color w:val="auto"/>
          <w:lang w:eastAsia="en-US"/>
        </w:rPr>
      </w:pPr>
      <w:r w:rsidRPr="00FF4109">
        <w:rPr>
          <w:color w:val="auto"/>
          <w:lang w:eastAsia="en-US"/>
        </w:rPr>
        <w:t>O pagamento do valor a ser antecipado ocorrerá respeitando eventuais retenções tributárias incidentes.</w:t>
      </w:r>
    </w:p>
    <w:p w14:paraId="17E61862" w14:textId="77777777" w:rsidR="00952E08" w:rsidRPr="00FF4109" w:rsidRDefault="00952E08" w:rsidP="00FF4109">
      <w:pPr>
        <w:pStyle w:val="Nvel1-SemNumPreto"/>
      </w:pPr>
      <w:commentRangeStart w:id="37"/>
      <w:r w:rsidRPr="00FF4109">
        <w:t>Cessão de crédito</w:t>
      </w:r>
      <w:commentRangeEnd w:id="37"/>
      <w:r w:rsidRPr="00FF4109">
        <w:rPr>
          <w:rStyle w:val="Refdecomentrio"/>
          <w:rFonts w:eastAsiaTheme="minorEastAsia"/>
        </w:rPr>
        <w:commentReference w:id="37"/>
      </w:r>
    </w:p>
    <w:p w14:paraId="71423539" w14:textId="77777777" w:rsidR="00952E08" w:rsidRPr="00FF4109" w:rsidRDefault="00952E08" w:rsidP="00952E08">
      <w:pPr>
        <w:pStyle w:val="Nivel2"/>
        <w:rPr>
          <w:color w:val="auto"/>
          <w:lang w:eastAsia="en-US"/>
        </w:rPr>
      </w:pPr>
      <w:bookmarkStart w:id="38" w:name="_Ref154079397"/>
      <w:r w:rsidRPr="00FF4109">
        <w:rPr>
          <w:color w:val="auto"/>
          <w:lang w:eastAsia="en-US"/>
        </w:rPr>
        <w:t xml:space="preserve">É admitida a cessão fiduciária de direitos creditícios com instituição financeira, nos termos e de acordo com os procedimentos previstos na </w:t>
      </w:r>
      <w:hyperlink r:id="rId27">
        <w:r w:rsidRPr="00FF4109">
          <w:rPr>
            <w:rStyle w:val="Hyperlink"/>
            <w:color w:val="auto"/>
            <w:lang w:eastAsia="en-US"/>
          </w:rPr>
          <w:t>Instrução Normativa SEGES/ME nº 53, de 8 de Julho de 2020</w:t>
        </w:r>
      </w:hyperlink>
      <w:r w:rsidRPr="00FF4109">
        <w:rPr>
          <w:color w:val="auto"/>
          <w:lang w:eastAsia="en-US"/>
        </w:rPr>
        <w:t>, conforme as regras deste presente tópico.</w:t>
      </w:r>
      <w:bookmarkEnd w:id="38"/>
    </w:p>
    <w:p w14:paraId="1400D2CE" w14:textId="77777777" w:rsidR="00952E08" w:rsidRPr="00FF4109" w:rsidRDefault="00952E08" w:rsidP="000B1356">
      <w:pPr>
        <w:pStyle w:val="Nvel3-R"/>
      </w:pPr>
      <w:bookmarkStart w:id="39" w:name="_Ref118216946"/>
      <w:commentRangeStart w:id="40"/>
      <w:r w:rsidRPr="00FF4109">
        <w:t xml:space="preserve">As cessões de crédito </w:t>
      </w:r>
      <w:r w:rsidRPr="00FF4109">
        <w:rPr>
          <w:rStyle w:val="normaltextrun"/>
          <w:i w:val="0"/>
          <w:iCs w:val="0"/>
          <w:color w:val="auto"/>
        </w:rPr>
        <w:t xml:space="preserve">não abrangidas pela Instrução Normativa SEGES/ME nº 53, de 8 de julho de 2020, </w:t>
      </w:r>
      <w:r w:rsidRPr="00FF4109">
        <w:t>dependerão de prévia aprovação do contratante.</w:t>
      </w:r>
      <w:bookmarkEnd w:id="39"/>
      <w:commentRangeEnd w:id="40"/>
      <w:r w:rsidRPr="00FF4109">
        <w:commentReference w:id="40"/>
      </w:r>
    </w:p>
    <w:p w14:paraId="7EA3EF7D" w14:textId="77777777" w:rsidR="00952E08" w:rsidRPr="00FF4109" w:rsidRDefault="00952E08" w:rsidP="00952E08">
      <w:pPr>
        <w:pStyle w:val="Nivel2"/>
        <w:rPr>
          <w:color w:val="auto"/>
          <w:lang w:eastAsia="en-US"/>
        </w:rPr>
      </w:pPr>
      <w:commentRangeStart w:id="41"/>
      <w:r w:rsidRPr="00FF4109">
        <w:rPr>
          <w:color w:val="auto"/>
          <w:lang w:eastAsia="en-US"/>
        </w:rPr>
        <w:t>A eficácia da cessão de crédito</w:t>
      </w:r>
      <w:commentRangeEnd w:id="41"/>
      <w:r w:rsidRPr="00FF4109">
        <w:rPr>
          <w:rStyle w:val="Refdecomentrio"/>
          <w:rFonts w:ascii="Ecofont_Spranq_eco_Sans" w:eastAsiaTheme="minorEastAsia" w:hAnsi="Ecofont_Spranq_eco_Sans" w:cs="Tahoma"/>
          <w:color w:val="auto"/>
        </w:rPr>
        <w:commentReference w:id="41"/>
      </w:r>
      <w:r w:rsidRPr="00FF4109">
        <w:rPr>
          <w:rStyle w:val="Ttulo2Char"/>
          <w:i/>
          <w:iCs/>
          <w:color w:val="auto"/>
        </w:rPr>
        <w:t xml:space="preserve"> </w:t>
      </w:r>
      <w:r w:rsidRPr="00FF4109">
        <w:rPr>
          <w:rStyle w:val="normaltextrun"/>
          <w:i/>
          <w:iCs/>
          <w:color w:val="auto"/>
        </w:rPr>
        <w:t>não abrangida pela Instrução Normativa SEGES/ME nº 53, de 8 de julho de 2020,</w:t>
      </w:r>
      <w:r w:rsidRPr="00FF4109">
        <w:rPr>
          <w:color w:val="auto"/>
          <w:lang w:eastAsia="en-US"/>
        </w:rPr>
        <w:t xml:space="preserve"> em relação à Administração, está condicionada à celebração de termo aditivo ao contrato administrativo.</w:t>
      </w:r>
    </w:p>
    <w:p w14:paraId="722799A0" w14:textId="77777777" w:rsidR="00952E08" w:rsidRPr="00FF4109" w:rsidRDefault="00952E08" w:rsidP="00952E08">
      <w:pPr>
        <w:pStyle w:val="Nivel2"/>
        <w:rPr>
          <w:color w:val="auto"/>
          <w:lang w:eastAsia="en-US"/>
        </w:rPr>
      </w:pPr>
      <w:r w:rsidRPr="00FF4109">
        <w:rPr>
          <w:color w:val="auto"/>
          <w:lang w:eastAsia="en-US"/>
        </w:rPr>
        <w:t xml:space="preserve">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creditícios, direta ou indiretamente, conforme </w:t>
      </w:r>
      <w:hyperlink r:id="rId28" w:anchor=":~:text=LEI%20N%C2%BA%208.429%2C%20DE%202%20DE%20JUNHO%20DE%201992&amp;text=Disp%C3%B5e%20sobre%20as%20san%C3%A7%C3%B5es%20aplic%C3%A1veis,fundacional%20e%20d%C3%A1%20outras%20provid%C3%AAncias.">
        <w:r w:rsidRPr="00FF4109">
          <w:rPr>
            <w:rStyle w:val="Hyperlink"/>
            <w:color w:val="auto"/>
            <w:lang w:eastAsia="en-US"/>
          </w:rPr>
          <w:t>o art. 12 da Lei nº 8.429, de 1992</w:t>
        </w:r>
      </w:hyperlink>
      <w:r w:rsidRPr="00FF4109">
        <w:rPr>
          <w:color w:val="auto"/>
          <w:lang w:eastAsia="en-US"/>
        </w:rPr>
        <w:t xml:space="preserve">, nos termos do </w:t>
      </w:r>
      <w:hyperlink r:id="rId29">
        <w:r w:rsidRPr="00FF4109">
          <w:rPr>
            <w:rStyle w:val="Hyperlink"/>
            <w:color w:val="auto"/>
            <w:lang w:eastAsia="en-US"/>
          </w:rPr>
          <w:t>Parecer JL-01, de 18 de maio de 2020.</w:t>
        </w:r>
      </w:hyperlink>
      <w:bookmarkStart w:id="42" w:name="_Hlk114498447"/>
      <w:bookmarkEnd w:id="42"/>
    </w:p>
    <w:p w14:paraId="743D7BD8" w14:textId="77777777" w:rsidR="00952E08" w:rsidRPr="00FF4109" w:rsidRDefault="00952E08" w:rsidP="00952E08">
      <w:pPr>
        <w:pStyle w:val="Nivel2"/>
        <w:rPr>
          <w:color w:val="auto"/>
        </w:rPr>
      </w:pPr>
      <w:r w:rsidRPr="00FF4109">
        <w:rPr>
          <w:color w:val="auto"/>
        </w:rPr>
        <w:t>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multas, glosas e prejuízos causados à Administração.</w:t>
      </w:r>
      <w:r w:rsidRPr="00FF4109">
        <w:rPr>
          <w:color w:val="auto"/>
          <w:sz w:val="19"/>
          <w:szCs w:val="19"/>
        </w:rPr>
        <w:t xml:space="preserve"> </w:t>
      </w:r>
      <w:commentRangeStart w:id="43"/>
      <w:r w:rsidRPr="00FF4109">
        <w:rPr>
          <w:color w:val="auto"/>
          <w:sz w:val="19"/>
          <w:szCs w:val="19"/>
        </w:rPr>
        <w:t>(INSTRUÇÃO NORMATIVA Nº 53, DE 8 DE JULHO DE 2020 e Anexos)</w:t>
      </w:r>
      <w:commentRangeEnd w:id="43"/>
      <w:r w:rsidRPr="00FF4109">
        <w:rPr>
          <w:color w:val="auto"/>
        </w:rPr>
        <w:commentReference w:id="43"/>
      </w:r>
    </w:p>
    <w:p w14:paraId="75C4FCE2" w14:textId="77777777" w:rsidR="00952E08" w:rsidRPr="00FF4109" w:rsidRDefault="00952E08" w:rsidP="00952E08">
      <w:pPr>
        <w:pStyle w:val="Nivel2"/>
        <w:rPr>
          <w:color w:val="auto"/>
          <w:lang w:eastAsia="en-US"/>
        </w:rPr>
      </w:pPr>
      <w:commentRangeStart w:id="44"/>
      <w:r w:rsidRPr="00FF4109">
        <w:rPr>
          <w:color w:val="auto"/>
          <w:lang w:eastAsia="en-US"/>
        </w:rPr>
        <w:t>A cessão de crédito não afetará a execução do objeto contratado, que continuará sob a integral responsabilidade do contratado.</w:t>
      </w:r>
      <w:commentRangeEnd w:id="44"/>
      <w:r w:rsidRPr="00FF4109">
        <w:rPr>
          <w:color w:val="auto"/>
        </w:rPr>
        <w:commentReference w:id="44"/>
      </w:r>
    </w:p>
    <w:p w14:paraId="21266E34" w14:textId="77777777" w:rsidR="00952E08" w:rsidRPr="00FF4109" w:rsidRDefault="00952E08" w:rsidP="00952E08">
      <w:pPr>
        <w:pStyle w:val="Nivel2"/>
        <w:numPr>
          <w:ilvl w:val="1"/>
          <w:numId w:val="0"/>
        </w:numPr>
        <w:rPr>
          <w:color w:val="auto"/>
          <w:lang w:eastAsia="en-US"/>
        </w:rPr>
      </w:pPr>
    </w:p>
    <w:p w14:paraId="5A5E7D5B" w14:textId="77777777" w:rsidR="00952E08" w:rsidRPr="00FF4109" w:rsidRDefault="00952E08" w:rsidP="00952E08">
      <w:pPr>
        <w:pStyle w:val="Nivel01"/>
        <w:rPr>
          <w:highlight w:val="green"/>
        </w:rPr>
      </w:pPr>
      <w:r w:rsidRPr="00FF4109">
        <w:rPr>
          <w:highlight w:val="green"/>
        </w:rPr>
        <w:lastRenderedPageBreak/>
        <w:t>FORMA E CRITÉRIOS DE SELEÇÃO DO FORNECEDOR E FORMA DE FORNECIMENTO</w:t>
      </w:r>
    </w:p>
    <w:p w14:paraId="75FBFC4C" w14:textId="77777777" w:rsidR="00952E08" w:rsidRPr="00FF4109" w:rsidRDefault="00952E08" w:rsidP="00952E08">
      <w:pPr>
        <w:pStyle w:val="Nivel2"/>
        <w:rPr>
          <w:color w:val="auto"/>
        </w:rPr>
      </w:pPr>
      <w:r w:rsidRPr="00FF4109">
        <w:rPr>
          <w:i/>
          <w:iCs/>
          <w:color w:val="auto"/>
        </w:rPr>
        <w:t xml:space="preserve">O fornecedor será selecionado por meio da realização de procedimento de dispensa de licitação, na forma eletrônica, com fundamento na hipótese do art. 75, inciso ......... da Lei n.º 14.133/2021 (indicar um dos incisos do art. 75, da Lei n.º 14.133/2021, conforme o caso concreto), que culminará com a seleção da proposta de ...............(MENOR PREÇO POR GRUPO/ITEM/GLOBAL </w:t>
      </w:r>
      <w:r w:rsidRPr="00FF4109">
        <w:rPr>
          <w:b/>
          <w:bCs/>
          <w:i/>
          <w:iCs/>
          <w:color w:val="auto"/>
          <w:u w:val="single"/>
        </w:rPr>
        <w:t>OU</w:t>
      </w:r>
      <w:r w:rsidRPr="00FF4109">
        <w:rPr>
          <w:b/>
          <w:bCs/>
          <w:i/>
          <w:iCs/>
          <w:color w:val="auto"/>
        </w:rPr>
        <w:t xml:space="preserve"> </w:t>
      </w:r>
      <w:r w:rsidRPr="00FF4109">
        <w:rPr>
          <w:i/>
          <w:iCs/>
          <w:color w:val="auto"/>
        </w:rPr>
        <w:t>MAIOR DESCONTO).</w:t>
      </w:r>
    </w:p>
    <w:p w14:paraId="5F0AF38E" w14:textId="77777777" w:rsidR="00952E08" w:rsidRPr="00FF4109" w:rsidRDefault="00952E08" w:rsidP="00952E08">
      <w:pPr>
        <w:pStyle w:val="Nivel2"/>
        <w:numPr>
          <w:ilvl w:val="0"/>
          <w:numId w:val="0"/>
        </w:numPr>
        <w:rPr>
          <w:i/>
          <w:iCs/>
          <w:color w:val="auto"/>
        </w:rPr>
      </w:pPr>
    </w:p>
    <w:p w14:paraId="422E89D8" w14:textId="77777777" w:rsidR="00952E08" w:rsidRPr="00FF4109" w:rsidRDefault="00952E08" w:rsidP="00952E08">
      <w:pPr>
        <w:pStyle w:val="Nivel2"/>
        <w:numPr>
          <w:ilvl w:val="0"/>
          <w:numId w:val="0"/>
        </w:numPr>
        <w:rPr>
          <w:i/>
          <w:iCs/>
          <w:color w:val="auto"/>
          <w:u w:val="single"/>
        </w:rPr>
      </w:pPr>
      <w:r w:rsidRPr="00FF4109">
        <w:rPr>
          <w:i/>
          <w:iCs/>
          <w:color w:val="auto"/>
          <w:u w:val="single"/>
        </w:rPr>
        <w:t>OU</w:t>
      </w:r>
    </w:p>
    <w:p w14:paraId="0E6AF598" w14:textId="77777777" w:rsidR="00952E08" w:rsidRPr="00FF4109" w:rsidRDefault="00952E08" w:rsidP="00952E08">
      <w:pPr>
        <w:pStyle w:val="Nivel2"/>
        <w:numPr>
          <w:ilvl w:val="0"/>
          <w:numId w:val="0"/>
        </w:numPr>
        <w:rPr>
          <w:color w:val="auto"/>
        </w:rPr>
      </w:pPr>
    </w:p>
    <w:p w14:paraId="385C7EB1" w14:textId="77777777" w:rsidR="00952E08" w:rsidRPr="00FF4109" w:rsidRDefault="00952E08" w:rsidP="00952E08">
      <w:pPr>
        <w:pStyle w:val="Nivel2"/>
        <w:rPr>
          <w:rFonts w:ascii="Ecofont_Spranq_eco_Sans" w:eastAsia="MS Mincho" w:hAnsi="Ecofont_Spranq_eco_Sans" w:cs="Tahoma"/>
          <w:i/>
          <w:iCs/>
          <w:color w:val="auto"/>
          <w:sz w:val="24"/>
          <w:szCs w:val="24"/>
        </w:rPr>
      </w:pPr>
      <w:r w:rsidRPr="00FF4109">
        <w:rPr>
          <w:rFonts w:ascii="Ecofont_Spranq_eco_Sans" w:eastAsia="Ecofont_Spranq_eco_Sans" w:hAnsi="Ecofont_Spranq_eco_Sans" w:cs="Ecofont_Spranq_eco_Sans"/>
          <w:i/>
          <w:iCs/>
          <w:color w:val="auto"/>
        </w:rPr>
        <w:t xml:space="preserve">O fornecedor será selecionado por meio da realização de procedimento de dispensa de licitação, com fundamento na hipótese do art. 75, inciso ........., da Lei nº 14.133/2021 (indicar um dos incisos do art. 75, da Lei nº 14.133/2021, conforme o caso concreto). </w:t>
      </w:r>
    </w:p>
    <w:p w14:paraId="4F75282A" w14:textId="77777777" w:rsidR="00952E08" w:rsidRPr="00FF4109" w:rsidRDefault="00952E08" w:rsidP="00952E08">
      <w:pPr>
        <w:pStyle w:val="Nivel2"/>
        <w:numPr>
          <w:ilvl w:val="0"/>
          <w:numId w:val="0"/>
        </w:numPr>
        <w:rPr>
          <w:color w:val="auto"/>
        </w:rPr>
      </w:pPr>
    </w:p>
    <w:p w14:paraId="5C92A142" w14:textId="77777777" w:rsidR="00952E08" w:rsidRPr="00FF4109" w:rsidRDefault="00952E08" w:rsidP="00952E08">
      <w:pPr>
        <w:pStyle w:val="Nivel2"/>
        <w:numPr>
          <w:ilvl w:val="0"/>
          <w:numId w:val="0"/>
        </w:numPr>
        <w:rPr>
          <w:i/>
          <w:color w:val="auto"/>
        </w:rPr>
      </w:pPr>
      <w:r w:rsidRPr="00FF4109">
        <w:rPr>
          <w:i/>
          <w:color w:val="auto"/>
        </w:rPr>
        <w:t>OU</w:t>
      </w:r>
    </w:p>
    <w:p w14:paraId="00413E31" w14:textId="77777777" w:rsidR="00952E08" w:rsidRPr="00FF4109" w:rsidRDefault="00952E08" w:rsidP="00952E08">
      <w:pPr>
        <w:pStyle w:val="Nivel2"/>
        <w:ind w:hanging="432"/>
        <w:rPr>
          <w:i/>
          <w:iCs/>
          <w:color w:val="auto"/>
        </w:rPr>
      </w:pPr>
      <w:r w:rsidRPr="00FF4109">
        <w:rPr>
          <w:rFonts w:ascii="Ecofont_Spranq_eco_Sans" w:eastAsia="Ecofont_Spranq_eco_Sans" w:hAnsi="Ecofont_Spranq_eco_Sans" w:cs="Ecofont_Spranq_eco_Sans"/>
          <w:i/>
          <w:iCs/>
          <w:color w:val="auto"/>
        </w:rPr>
        <w:t xml:space="preserve">O fornecedor será selecionado por meio da realização de procedimento de inexigibilidade de licitação, com fundamento na hipótese do art. 74, ........., da Lei nº 14.133/2021 (indicar o caput ou um dos incisos do art. 74, da Lei nº 14.133/2021, conforme o caso concreto). </w:t>
      </w:r>
    </w:p>
    <w:p w14:paraId="61FB8FC7" w14:textId="77777777" w:rsidR="00952E08" w:rsidRPr="00FF4109" w:rsidRDefault="00952E08" w:rsidP="00FF4109">
      <w:pPr>
        <w:pStyle w:val="Nvel1-SemNumPreto"/>
      </w:pPr>
    </w:p>
    <w:p w14:paraId="0AC7A50E" w14:textId="77777777" w:rsidR="00952E08" w:rsidRPr="00FF4109" w:rsidRDefault="00952E08" w:rsidP="00FF4109">
      <w:pPr>
        <w:pStyle w:val="Nvel1-SemNumPreto"/>
      </w:pPr>
      <w:r w:rsidRPr="00FF4109">
        <w:t>Forma de fornecimento</w:t>
      </w:r>
    </w:p>
    <w:p w14:paraId="2813D132" w14:textId="77777777" w:rsidR="00952E08" w:rsidRPr="00FF4109" w:rsidRDefault="00952E08" w:rsidP="00952E08">
      <w:pPr>
        <w:pStyle w:val="Nivel2"/>
        <w:rPr>
          <w:color w:val="auto"/>
        </w:rPr>
      </w:pPr>
      <w:r w:rsidRPr="00FF4109">
        <w:rPr>
          <w:rStyle w:val="normaltextrun"/>
          <w:color w:val="auto"/>
          <w:shd w:val="clear" w:color="auto" w:fill="FFFFFF"/>
        </w:rPr>
        <w:t xml:space="preserve">O </w:t>
      </w:r>
      <w:r w:rsidRPr="00FF4109">
        <w:rPr>
          <w:rStyle w:val="findhit"/>
          <w:color w:val="auto"/>
          <w:shd w:val="clear" w:color="auto" w:fill="FFFFFF"/>
        </w:rPr>
        <w:t xml:space="preserve">fornecimento do objeto será </w:t>
      </w:r>
      <w:r w:rsidRPr="00FF4109">
        <w:rPr>
          <w:color w:val="auto"/>
        </w:rPr>
        <w:t>[integral/parcelado/continuado]</w:t>
      </w:r>
      <w:r w:rsidRPr="00FF4109">
        <w:rPr>
          <w:color w:val="auto"/>
          <w:shd w:val="clear" w:color="auto" w:fill="FFFFFF"/>
        </w:rPr>
        <w:t>.</w:t>
      </w:r>
    </w:p>
    <w:p w14:paraId="1B4D2D1B" w14:textId="77777777" w:rsidR="00952E08" w:rsidRPr="00FF4109" w:rsidRDefault="00952E08" w:rsidP="00FF4109">
      <w:pPr>
        <w:pStyle w:val="Nvel1-SemNumPreto"/>
      </w:pPr>
    </w:p>
    <w:p w14:paraId="7AC81249" w14:textId="77777777" w:rsidR="00952E08" w:rsidRPr="00FF4109" w:rsidRDefault="00952E08" w:rsidP="00FF4109">
      <w:pPr>
        <w:pStyle w:val="Nvel1-SemNumPreto"/>
      </w:pPr>
      <w:commentRangeStart w:id="45"/>
      <w:r w:rsidRPr="00FF4109">
        <w:t>Exigências de habilitação</w:t>
      </w:r>
      <w:commentRangeEnd w:id="45"/>
      <w:r w:rsidRPr="00FF4109">
        <w:rPr>
          <w:rStyle w:val="Refdecomentrio"/>
          <w:rFonts w:eastAsiaTheme="minorEastAsia"/>
        </w:rPr>
        <w:commentReference w:id="45"/>
      </w:r>
    </w:p>
    <w:p w14:paraId="68728489" w14:textId="77777777" w:rsidR="00952E08" w:rsidRPr="00FF4109" w:rsidRDefault="00952E08" w:rsidP="00952E08">
      <w:pPr>
        <w:pStyle w:val="Nivel2"/>
        <w:ind w:hanging="432"/>
        <w:rPr>
          <w:i/>
          <w:iCs/>
          <w:color w:val="auto"/>
        </w:rPr>
      </w:pPr>
      <w:commentRangeStart w:id="46"/>
      <w:r w:rsidRPr="00FF4109">
        <w:rPr>
          <w:rFonts w:ascii="Ecofont_Spranq_eco_Sans" w:eastAsia="Ecofont_Spranq_eco_Sans" w:hAnsi="Ecofont_Spranq_eco_Sans" w:cs="Ecofont_Spranq_eco_Sans"/>
          <w:i/>
          <w:iCs/>
          <w:color w:val="auto"/>
        </w:rPr>
        <w:t>Previamente à celebração do contrato, a Administração verificará o eventual descumprimento das condições para contratação, especialmente quanto à existência de sanção que a impeça, mediante a consulta a cadastros informativos oficiais, tais como:</w:t>
      </w:r>
      <w:commentRangeEnd w:id="46"/>
      <w:r w:rsidRPr="00FF4109">
        <w:rPr>
          <w:color w:val="auto"/>
        </w:rPr>
        <w:commentReference w:id="46"/>
      </w:r>
      <w:r w:rsidRPr="00FF4109">
        <w:rPr>
          <w:rFonts w:ascii="Ecofont_Spranq_eco_Sans" w:eastAsia="Ecofont_Spranq_eco_Sans" w:hAnsi="Ecofont_Spranq_eco_Sans" w:cs="Ecofont_Spranq_eco_Sans"/>
          <w:i/>
          <w:iCs/>
          <w:color w:val="auto"/>
        </w:rPr>
        <w:t xml:space="preserve">  </w:t>
      </w:r>
    </w:p>
    <w:p w14:paraId="0C536C17" w14:textId="77777777" w:rsidR="00952E08" w:rsidRPr="00FF4109" w:rsidRDefault="00952E08" w:rsidP="00952E08">
      <w:pPr>
        <w:spacing w:before="120" w:after="120" w:line="276" w:lineRule="auto"/>
        <w:ind w:left="810"/>
        <w:jc w:val="both"/>
      </w:pPr>
      <w:r w:rsidRPr="00FF4109">
        <w:rPr>
          <w:i/>
          <w:iCs/>
          <w:sz w:val="20"/>
          <w:szCs w:val="20"/>
        </w:rPr>
        <w:t xml:space="preserve">a) SICAF;  </w:t>
      </w:r>
    </w:p>
    <w:p w14:paraId="77666C8B" w14:textId="77777777" w:rsidR="00952E08" w:rsidRPr="00FF4109" w:rsidRDefault="00952E08" w:rsidP="00952E08">
      <w:pPr>
        <w:spacing w:before="120" w:after="120" w:line="276" w:lineRule="auto"/>
        <w:ind w:left="810"/>
        <w:jc w:val="both"/>
        <w:rPr>
          <w:i/>
          <w:iCs/>
          <w:sz w:val="20"/>
          <w:szCs w:val="20"/>
        </w:rPr>
      </w:pPr>
      <w:r w:rsidRPr="00FF4109">
        <w:rPr>
          <w:i/>
          <w:iCs/>
          <w:sz w:val="20"/>
          <w:szCs w:val="20"/>
        </w:rPr>
        <w:t>b) Cadastro Nacional de Empresas Inidôneas e Suspensas - CEIS, mantido pela Controladoria-Geral da União (</w:t>
      </w:r>
      <w:r w:rsidRPr="00FF4109">
        <w:fldChar w:fldCharType="begin"/>
      </w:r>
      <w:r w:rsidRPr="00FF4109">
        <w:instrText>HYPERLINK "http://www.portaldatransparencia.gov.br/ceis" \h</w:instrText>
      </w:r>
      <w:r w:rsidRPr="00FF4109">
        <w:fldChar w:fldCharType="separate"/>
      </w:r>
      <w:r w:rsidRPr="00FF4109">
        <w:rPr>
          <w:rStyle w:val="Hyperlink"/>
          <w:i/>
          <w:iCs/>
          <w:color w:val="auto"/>
          <w:sz w:val="20"/>
          <w:szCs w:val="20"/>
        </w:rPr>
        <w:t>www.portaldatransparencia.gov.br/ceis</w:t>
      </w:r>
      <w:r w:rsidRPr="00FF4109">
        <w:fldChar w:fldCharType="end"/>
      </w:r>
      <w:r w:rsidRPr="00FF4109">
        <w:rPr>
          <w:i/>
          <w:iCs/>
          <w:sz w:val="20"/>
          <w:szCs w:val="20"/>
        </w:rPr>
        <w:t xml:space="preserve">);  </w:t>
      </w:r>
    </w:p>
    <w:p w14:paraId="2F5F078F" w14:textId="77777777" w:rsidR="00952E08" w:rsidRPr="00FF4109" w:rsidRDefault="00952E08" w:rsidP="00952E08">
      <w:pPr>
        <w:spacing w:before="120" w:after="120" w:line="276" w:lineRule="auto"/>
        <w:ind w:left="810"/>
        <w:jc w:val="both"/>
        <w:rPr>
          <w:i/>
          <w:iCs/>
          <w:sz w:val="20"/>
          <w:szCs w:val="20"/>
        </w:rPr>
      </w:pPr>
      <w:r w:rsidRPr="00FF4109">
        <w:rPr>
          <w:i/>
          <w:iCs/>
          <w:sz w:val="20"/>
          <w:szCs w:val="20"/>
        </w:rPr>
        <w:t>c) Cadastro Nacional de Empresas Punidas – CNEP, mantido pela Controladoria-Geral da União (</w:t>
      </w:r>
      <w:r w:rsidRPr="00FF4109">
        <w:fldChar w:fldCharType="begin"/>
      </w:r>
      <w:r w:rsidRPr="00FF4109">
        <w:instrText>HYPERLINK "https://www.portaltransparencia.gov.br/sancoes/cnep" \h</w:instrText>
      </w:r>
      <w:r w:rsidRPr="00FF4109">
        <w:fldChar w:fldCharType="separate"/>
      </w:r>
      <w:r w:rsidRPr="00FF4109">
        <w:rPr>
          <w:rStyle w:val="Hyperlink"/>
          <w:i/>
          <w:iCs/>
          <w:color w:val="auto"/>
          <w:sz w:val="20"/>
          <w:szCs w:val="20"/>
        </w:rPr>
        <w:t>https://www.portaltransparencia.gov.br/sancoes/cnep</w:t>
      </w:r>
      <w:r w:rsidRPr="00FF4109">
        <w:fldChar w:fldCharType="end"/>
      </w:r>
      <w:r w:rsidRPr="00FF4109">
        <w:rPr>
          <w:i/>
          <w:iCs/>
          <w:sz w:val="20"/>
          <w:szCs w:val="20"/>
        </w:rPr>
        <w:t>)</w:t>
      </w:r>
    </w:p>
    <w:p w14:paraId="6BB1C48D" w14:textId="77777777" w:rsidR="00952E08" w:rsidRPr="00FF4109" w:rsidRDefault="00952E08" w:rsidP="00952E08">
      <w:pPr>
        <w:pStyle w:val="Nivel2"/>
        <w:ind w:hanging="432"/>
        <w:rPr>
          <w:i/>
          <w:iCs/>
          <w:color w:val="auto"/>
        </w:rPr>
      </w:pPr>
      <w:r w:rsidRPr="00FF4109">
        <w:rPr>
          <w:i/>
          <w:iCs/>
          <w:color w:val="auto"/>
        </w:rPr>
        <w:t>A consulta aos cadastros será realizada em nome da empresa interessada e de seu sócio majoritário, por força do artigo 12 da Lei n° 8.429, de 1992, que prevê, dentre as sanções impostas ao responsável pela prática de ato de improbidade administrativa, a proibição de contratar com o Poder Público, inclusive por intermédio de pessoa jurídica da qual seja sócio majoritário.</w:t>
      </w:r>
    </w:p>
    <w:p w14:paraId="1DCE39A1" w14:textId="77777777" w:rsidR="00952E08" w:rsidRPr="00FF4109" w:rsidRDefault="00952E08" w:rsidP="00952E08">
      <w:pPr>
        <w:pStyle w:val="Nivel2"/>
        <w:ind w:hanging="432"/>
        <w:rPr>
          <w:i/>
          <w:iCs/>
          <w:color w:val="auto"/>
        </w:rPr>
      </w:pPr>
      <w:r w:rsidRPr="00FF4109">
        <w:rPr>
          <w:i/>
          <w:iCs/>
          <w:color w:val="auto"/>
        </w:rPr>
        <w:t>Caso conste na Consulta de Situação do interessado a existência de Ocorrências Impeditivas Indiretas, o gestor diligenciará para verificar se houve fraude por parte das empresas apontadas no Relatório de Ocorrências Impeditivas Indiretas.</w:t>
      </w:r>
    </w:p>
    <w:p w14:paraId="0B859841" w14:textId="77777777" w:rsidR="00952E08" w:rsidRPr="00FF4109" w:rsidRDefault="00952E08" w:rsidP="00952E08">
      <w:pPr>
        <w:pStyle w:val="Nivel2"/>
        <w:ind w:hanging="432"/>
        <w:rPr>
          <w:i/>
          <w:iCs/>
          <w:color w:val="auto"/>
        </w:rPr>
      </w:pPr>
      <w:r w:rsidRPr="00FF4109">
        <w:rPr>
          <w:i/>
          <w:iCs/>
          <w:color w:val="auto"/>
        </w:rPr>
        <w:t>A tentativa de burla será verificada por meio dos vínculos societários, linhas de fornecimento similares, dentre outros.</w:t>
      </w:r>
    </w:p>
    <w:p w14:paraId="1F2EA306" w14:textId="77777777" w:rsidR="00952E08" w:rsidRPr="00FF4109" w:rsidRDefault="00952E08" w:rsidP="00952E08">
      <w:pPr>
        <w:pStyle w:val="Nivel2"/>
        <w:ind w:hanging="432"/>
        <w:rPr>
          <w:i/>
          <w:iCs/>
          <w:color w:val="auto"/>
        </w:rPr>
      </w:pPr>
      <w:r w:rsidRPr="00FF4109">
        <w:rPr>
          <w:i/>
          <w:iCs/>
          <w:color w:val="auto"/>
        </w:rPr>
        <w:t>O interessado será convocado para manifestação previamente a uma eventual negativa de contratação.</w:t>
      </w:r>
    </w:p>
    <w:p w14:paraId="5B30D380" w14:textId="77777777" w:rsidR="00952E08" w:rsidRPr="00FF4109" w:rsidRDefault="00952E08" w:rsidP="00952E08">
      <w:pPr>
        <w:pStyle w:val="Nivel2"/>
        <w:ind w:hanging="432"/>
        <w:rPr>
          <w:i/>
          <w:iCs/>
          <w:color w:val="auto"/>
        </w:rPr>
      </w:pPr>
      <w:r w:rsidRPr="00FF4109">
        <w:rPr>
          <w:i/>
          <w:iCs/>
          <w:color w:val="auto"/>
        </w:rPr>
        <w:lastRenderedPageBreak/>
        <w:t>Caso atendidas as condições para contratação, a habilitação do interessado será verificada por meio do SICAF, nos documentos por ele abrangidos.</w:t>
      </w:r>
    </w:p>
    <w:p w14:paraId="7B2EC9C9" w14:textId="77777777" w:rsidR="00952E08" w:rsidRPr="00FF4109" w:rsidRDefault="00952E08" w:rsidP="00952E08">
      <w:pPr>
        <w:pStyle w:val="Nivel2"/>
        <w:ind w:hanging="432"/>
        <w:rPr>
          <w:i/>
          <w:iCs/>
          <w:color w:val="auto"/>
        </w:rPr>
      </w:pPr>
      <w:r w:rsidRPr="00FF4109">
        <w:rPr>
          <w:i/>
          <w:iCs/>
          <w:color w:val="auto"/>
        </w:rPr>
        <w:t>É dever do interessado manter atualizada a respectiva documentação constante do SICAF, ou encaminhar, quando solicitado pela Administração, a respectiva documentação atualizada.</w:t>
      </w:r>
    </w:p>
    <w:p w14:paraId="4D0020A0" w14:textId="77777777" w:rsidR="00952E08" w:rsidRPr="00FF4109" w:rsidRDefault="00952E08" w:rsidP="00952E08">
      <w:pPr>
        <w:pStyle w:val="Nivel2"/>
        <w:ind w:hanging="432"/>
        <w:rPr>
          <w:i/>
          <w:iCs/>
          <w:color w:val="auto"/>
        </w:rPr>
      </w:pPr>
      <w:r w:rsidRPr="00FF4109">
        <w:rPr>
          <w:i/>
          <w:iCs/>
          <w:color w:val="auto"/>
        </w:rPr>
        <w:t>Não serão aceitos documentos de habilitação com indicação de CNPJ/CPF diferentes, salvo aqueles legalmente permitidos.</w:t>
      </w:r>
    </w:p>
    <w:p w14:paraId="18F076AA" w14:textId="77777777" w:rsidR="00952E08" w:rsidRPr="00FF4109" w:rsidRDefault="00952E08" w:rsidP="00952E08">
      <w:pPr>
        <w:pStyle w:val="Nivel2"/>
        <w:ind w:hanging="432"/>
        <w:rPr>
          <w:i/>
          <w:iCs/>
          <w:color w:val="auto"/>
        </w:rPr>
      </w:pPr>
      <w:r w:rsidRPr="00FF4109">
        <w:rPr>
          <w:i/>
          <w:iCs/>
          <w:color w:val="auto"/>
        </w:rPr>
        <w:t>Se o interessado for a matriz, todos os documentos deverão estar em nome da matriz, e se o fornecedor for a filial, todos os documentos deverão estar em nome da filial, exceto para atestados de capacidade técnica, caso exigidos, e no caso daqueles documentos que, pela própria natureza, comprovadamente, forem emitidos somente em nome da matriz.</w:t>
      </w:r>
    </w:p>
    <w:p w14:paraId="5C0517BF" w14:textId="77777777" w:rsidR="00952E08" w:rsidRPr="00FF4109" w:rsidRDefault="00952E08" w:rsidP="00952E08">
      <w:pPr>
        <w:pStyle w:val="Nivel2"/>
        <w:ind w:hanging="432"/>
        <w:rPr>
          <w:i/>
          <w:iCs/>
          <w:color w:val="auto"/>
        </w:rPr>
      </w:pPr>
      <w:r w:rsidRPr="00FF4109">
        <w:rPr>
          <w:i/>
          <w:iCs/>
          <w:color w:val="auto"/>
        </w:rPr>
        <w:t>Serão aceitos registros de CNPJ de fornecedor matriz e filial com diferenças de números de documentos pertinentes ao CND e ao CRF/FGTS, quando for comprovada a centralização do recolhimento dessas contribuições.</w:t>
      </w:r>
    </w:p>
    <w:p w14:paraId="4A6CD8DF" w14:textId="77777777" w:rsidR="00952E08" w:rsidRPr="00FF4109" w:rsidRDefault="00952E08" w:rsidP="00952E08">
      <w:pPr>
        <w:pStyle w:val="Nivel2"/>
        <w:rPr>
          <w:color w:val="auto"/>
        </w:rPr>
      </w:pPr>
      <w:r w:rsidRPr="00FF4109">
        <w:rPr>
          <w:color w:val="auto"/>
        </w:rPr>
        <w:t xml:space="preserve">Para fins de habilitação, deverá o </w:t>
      </w:r>
      <w:r w:rsidRPr="00FF4109">
        <w:rPr>
          <w:color w:val="auto"/>
          <w:highlight w:val="cyan"/>
        </w:rPr>
        <w:t>i</w:t>
      </w:r>
      <w:r w:rsidRPr="00FF4109">
        <w:rPr>
          <w:color w:val="auto"/>
          <w:highlight w:val="green"/>
        </w:rPr>
        <w:t>nteressado</w:t>
      </w:r>
      <w:r w:rsidRPr="00FF4109">
        <w:rPr>
          <w:color w:val="auto"/>
        </w:rPr>
        <w:t xml:space="preserve"> comprovar os seguintes requisitos</w:t>
      </w:r>
      <w:r w:rsidRPr="00FF4109">
        <w:rPr>
          <w:color w:val="auto"/>
          <w:highlight w:val="green"/>
        </w:rPr>
        <w:t>, que serão exigidos conforme sua natureza jurídica</w:t>
      </w:r>
      <w:r w:rsidRPr="00FF4109">
        <w:rPr>
          <w:color w:val="auto"/>
        </w:rPr>
        <w:t>:</w:t>
      </w:r>
    </w:p>
    <w:p w14:paraId="4CC8BEB9" w14:textId="77777777" w:rsidR="00952E08" w:rsidRPr="00FF4109" w:rsidRDefault="00952E08" w:rsidP="00FF4109">
      <w:pPr>
        <w:pStyle w:val="Nvel1-SemNumPreto"/>
      </w:pPr>
      <w:commentRangeStart w:id="47"/>
      <w:r w:rsidRPr="00FF4109">
        <w:t>Habilitação jurídica</w:t>
      </w:r>
      <w:commentRangeEnd w:id="47"/>
      <w:r w:rsidRPr="00FF4109">
        <w:commentReference w:id="47"/>
      </w:r>
    </w:p>
    <w:p w14:paraId="4C49A5A2" w14:textId="77777777" w:rsidR="00952E08" w:rsidRPr="00FF4109" w:rsidRDefault="00952E08" w:rsidP="00952E08">
      <w:pPr>
        <w:pStyle w:val="Nivel2"/>
        <w:rPr>
          <w:color w:val="auto"/>
        </w:rPr>
      </w:pPr>
      <w:bookmarkStart w:id="48" w:name="_Ref115800561"/>
      <w:commentRangeStart w:id="49"/>
      <w:r w:rsidRPr="00FF4109">
        <w:rPr>
          <w:b/>
          <w:bCs/>
          <w:color w:val="auto"/>
        </w:rPr>
        <w:t>Pessoa física:</w:t>
      </w:r>
      <w:r w:rsidRPr="00FF4109">
        <w:rPr>
          <w:color w:val="auto"/>
        </w:rPr>
        <w:t xml:space="preserve"> cédula de identidade (RG) ou documento equivalente que, por força de lei, tenha validade para fins de identificação em todo o território nacional;</w:t>
      </w:r>
      <w:bookmarkEnd w:id="48"/>
      <w:commentRangeEnd w:id="49"/>
      <w:r w:rsidRPr="00FF4109">
        <w:rPr>
          <w:color w:val="auto"/>
        </w:rPr>
        <w:commentReference w:id="49"/>
      </w:r>
    </w:p>
    <w:p w14:paraId="40641D4E" w14:textId="77777777" w:rsidR="00952E08" w:rsidRPr="00FF4109" w:rsidRDefault="00952E08" w:rsidP="00952E08">
      <w:pPr>
        <w:pStyle w:val="Nivel2"/>
        <w:rPr>
          <w:color w:val="auto"/>
        </w:rPr>
      </w:pPr>
      <w:r w:rsidRPr="00FF4109">
        <w:rPr>
          <w:b/>
          <w:bCs/>
          <w:color w:val="auto"/>
        </w:rPr>
        <w:t>Empresário individual:</w:t>
      </w:r>
      <w:r w:rsidRPr="00FF4109">
        <w:rPr>
          <w:color w:val="auto"/>
        </w:rPr>
        <w:t xml:space="preserve"> inscrição no Registro Público de Empresas Mercantis, a cargo da Junta Comercial da respectiva sede; </w:t>
      </w:r>
    </w:p>
    <w:p w14:paraId="5BC510ED" w14:textId="77777777" w:rsidR="00952E08" w:rsidRPr="00FF4109" w:rsidRDefault="00952E08" w:rsidP="00952E08">
      <w:pPr>
        <w:pStyle w:val="Nivel2"/>
        <w:rPr>
          <w:color w:val="auto"/>
        </w:rPr>
      </w:pPr>
      <w:r w:rsidRPr="00FF4109">
        <w:rPr>
          <w:b/>
          <w:bCs/>
          <w:color w:val="auto"/>
        </w:rPr>
        <w:t>Microempreendedor Individual - MEI:</w:t>
      </w:r>
      <w:r w:rsidRPr="00FF4109">
        <w:rPr>
          <w:color w:val="auto"/>
        </w:rPr>
        <w:t xml:space="preserve"> Certificado da Condição de Microempreendedor Individual - CCMEI, cuja aceitação ficará condicionada à verificação da autenticidade no sítio </w:t>
      </w:r>
      <w:hyperlink r:id="rId30">
        <w:r w:rsidRPr="00FF4109">
          <w:rPr>
            <w:rStyle w:val="Hyperlink"/>
            <w:color w:val="auto"/>
          </w:rPr>
          <w:t>https://www.gov.br/empresas-e-negocios/pt-br/empreendedor</w:t>
        </w:r>
      </w:hyperlink>
      <w:r w:rsidRPr="00FF4109">
        <w:rPr>
          <w:color w:val="auto"/>
        </w:rPr>
        <w:t xml:space="preserve">; </w:t>
      </w:r>
    </w:p>
    <w:p w14:paraId="32273AE7" w14:textId="77777777" w:rsidR="00952E08" w:rsidRPr="00FF4109" w:rsidRDefault="00952E08" w:rsidP="00952E08">
      <w:pPr>
        <w:pStyle w:val="Nivel2"/>
        <w:rPr>
          <w:color w:val="auto"/>
        </w:rPr>
      </w:pPr>
      <w:commentRangeStart w:id="50"/>
      <w:r w:rsidRPr="00FF4109">
        <w:rPr>
          <w:b/>
          <w:bCs/>
          <w:color w:val="auto"/>
        </w:rPr>
        <w:t>Sociedade empresária, sociedade limitada unipessoal – SLU ou sociedade identificada como empresa individual de responsabilidade limitada - EIRELI</w:t>
      </w:r>
      <w:r w:rsidRPr="00FF4109">
        <w:rPr>
          <w:color w:val="auto"/>
        </w:rPr>
        <w:t>: inscrição do ato constitutivo, estatuto ou contrato social no Registro Público de Empresas Mercantis, a cargo da Junta Comercial da respectiva sede, acompanhada de documento comprobatório de seus administradores;</w:t>
      </w:r>
      <w:commentRangeEnd w:id="50"/>
      <w:r w:rsidRPr="00FF4109">
        <w:rPr>
          <w:color w:val="auto"/>
        </w:rPr>
        <w:commentReference w:id="50"/>
      </w:r>
    </w:p>
    <w:p w14:paraId="260B6B7D" w14:textId="77777777" w:rsidR="00952E08" w:rsidRPr="00FF4109" w:rsidRDefault="00952E08" w:rsidP="00952E08">
      <w:pPr>
        <w:pStyle w:val="Nivel2"/>
        <w:rPr>
          <w:color w:val="auto"/>
        </w:rPr>
      </w:pPr>
      <w:r w:rsidRPr="00FF4109">
        <w:rPr>
          <w:b/>
          <w:bCs/>
          <w:color w:val="auto"/>
        </w:rPr>
        <w:t>Sociedade empresária estrangeira:</w:t>
      </w:r>
      <w:r w:rsidRPr="00FF4109">
        <w:rPr>
          <w:color w:val="auto"/>
        </w:rPr>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31">
        <w:r w:rsidRPr="00FF4109">
          <w:rPr>
            <w:rStyle w:val="Hyperlink"/>
            <w:color w:val="auto"/>
          </w:rPr>
          <w:t>Normativa DREI/ME n.º 77, de 18 de março de 2020</w:t>
        </w:r>
      </w:hyperlink>
      <w:r w:rsidRPr="00FF4109">
        <w:rPr>
          <w:color w:val="auto"/>
        </w:rPr>
        <w:t>.</w:t>
      </w:r>
    </w:p>
    <w:p w14:paraId="1F275D66" w14:textId="77777777" w:rsidR="00952E08" w:rsidRPr="00FF4109" w:rsidRDefault="00952E08" w:rsidP="00952E08">
      <w:pPr>
        <w:pStyle w:val="Nivel2"/>
        <w:rPr>
          <w:color w:val="auto"/>
        </w:rPr>
      </w:pPr>
      <w:r w:rsidRPr="00FF4109">
        <w:rPr>
          <w:b/>
          <w:bCs/>
          <w:color w:val="auto"/>
        </w:rPr>
        <w:t xml:space="preserve">Sociedade simples: </w:t>
      </w:r>
      <w:r w:rsidRPr="00FF4109">
        <w:rPr>
          <w:color w:val="auto"/>
        </w:rPr>
        <w:t>inscrição do ato constitutivo no Registro Civil de Pessoas Jurídicas do local de sua sede, acompanhada de documento comprobatório de seus administradores;</w:t>
      </w:r>
    </w:p>
    <w:p w14:paraId="4436D45E" w14:textId="77777777" w:rsidR="00952E08" w:rsidRPr="00FF4109" w:rsidRDefault="00952E08" w:rsidP="00952E08">
      <w:pPr>
        <w:pStyle w:val="Nivel2"/>
        <w:rPr>
          <w:color w:val="auto"/>
        </w:rPr>
      </w:pPr>
      <w:r w:rsidRPr="00FF4109">
        <w:rPr>
          <w:b/>
          <w:bCs/>
          <w:color w:val="auto"/>
        </w:rPr>
        <w:t>Filial, sucursal ou agência de sociedade simples ou empresária:</w:t>
      </w:r>
      <w:r w:rsidRPr="00FF4109">
        <w:rPr>
          <w:color w:val="auto"/>
        </w:rPr>
        <w:t xml:space="preserve"> inscrição do ato constitutivo da filial, sucursal ou agência da sociedade simples ou empresária, respectivamente, no Registro Civil das Pessoas Jurídicas ou no Registro Público de Empresas </w:t>
      </w:r>
      <w:bookmarkStart w:id="51" w:name="_Int_ySfCXwr4"/>
      <w:r w:rsidRPr="00FF4109">
        <w:rPr>
          <w:color w:val="auto"/>
        </w:rPr>
        <w:t>Mercantis onde</w:t>
      </w:r>
      <w:bookmarkEnd w:id="51"/>
      <w:r w:rsidRPr="00FF4109">
        <w:rPr>
          <w:color w:val="auto"/>
        </w:rPr>
        <w:t xml:space="preserve"> opera, com averbação no Registro onde tem sede a matriz</w:t>
      </w:r>
    </w:p>
    <w:p w14:paraId="067DEA7A" w14:textId="77777777" w:rsidR="00952E08" w:rsidRPr="00FF4109" w:rsidRDefault="00952E08" w:rsidP="00952E08">
      <w:pPr>
        <w:pStyle w:val="Nivel2"/>
        <w:rPr>
          <w:color w:val="auto"/>
        </w:rPr>
      </w:pPr>
      <w:r w:rsidRPr="00FF4109">
        <w:rPr>
          <w:b/>
          <w:bCs/>
          <w:color w:val="auto"/>
        </w:rPr>
        <w:t>Sociedade cooperativa:</w:t>
      </w:r>
      <w:r w:rsidRPr="00FF4109">
        <w:rPr>
          <w:color w:val="auto"/>
        </w:rPr>
        <w:t xml:space="preserve"> ata de fundação e estatuto social, com a ata da assembleia que o aprovou, devidamente arquivado na Junta Comercial ou inscrito no Registro Civil das Pessoas Jurídicas da respectiva sede, além do registro de que trata o </w:t>
      </w:r>
      <w:hyperlink r:id="rId32" w:anchor="art107">
        <w:r w:rsidRPr="00FF4109">
          <w:rPr>
            <w:rStyle w:val="Hyperlink"/>
            <w:color w:val="auto"/>
          </w:rPr>
          <w:t>art. 107 da Lei nº 5.764, de 16 de dezembro 1971</w:t>
        </w:r>
      </w:hyperlink>
      <w:r w:rsidRPr="00FF4109">
        <w:rPr>
          <w:color w:val="auto"/>
        </w:rPr>
        <w:t>.</w:t>
      </w:r>
    </w:p>
    <w:p w14:paraId="2798F302" w14:textId="77777777" w:rsidR="00952E08" w:rsidRPr="00FF4109" w:rsidRDefault="00952E08" w:rsidP="00952E08">
      <w:pPr>
        <w:pStyle w:val="Nivel2"/>
        <w:rPr>
          <w:color w:val="auto"/>
        </w:rPr>
      </w:pPr>
      <w:r w:rsidRPr="00FF4109">
        <w:rPr>
          <w:b/>
          <w:bCs/>
          <w:color w:val="auto"/>
        </w:rPr>
        <w:t>Agricultor familiar:</w:t>
      </w:r>
      <w:r w:rsidRPr="00FF4109">
        <w:rPr>
          <w:color w:val="auto"/>
        </w:rPr>
        <w:t xml:space="preserve"> Declaração de Aptidão ao Pronaf – DAP ou DAP-P válida, ou, ainda, outros documentos definidos pela Secretaria Especial de Agricultura Familiar e do Desenvolvimento Agrário, nos termos do</w:t>
      </w:r>
      <w:hyperlink r:id="rId33" w:anchor="art4§2">
        <w:r w:rsidRPr="00FF4109">
          <w:rPr>
            <w:rStyle w:val="Hyperlink"/>
            <w:color w:val="auto"/>
          </w:rPr>
          <w:t xml:space="preserve"> art. 4º, §2º do Decreto nº 10.880, de 2 de dezembro de 2021</w:t>
        </w:r>
      </w:hyperlink>
      <w:r w:rsidRPr="00FF4109">
        <w:rPr>
          <w:color w:val="auto"/>
        </w:rPr>
        <w:t>.</w:t>
      </w:r>
    </w:p>
    <w:p w14:paraId="31AF5F68" w14:textId="77777777" w:rsidR="00952E08" w:rsidRPr="00FF4109" w:rsidRDefault="00952E08" w:rsidP="00952E08">
      <w:pPr>
        <w:pStyle w:val="Nivel2"/>
        <w:rPr>
          <w:color w:val="auto"/>
        </w:rPr>
      </w:pPr>
      <w:r w:rsidRPr="00FF4109">
        <w:rPr>
          <w:b/>
          <w:bCs/>
          <w:color w:val="auto"/>
        </w:rPr>
        <w:lastRenderedPageBreak/>
        <w:t>Produtor Rural:</w:t>
      </w:r>
      <w:r w:rsidRPr="00FF4109">
        <w:rPr>
          <w:color w:val="auto"/>
        </w:rPr>
        <w:t xml:space="preserve"> matrícula no Cadastro Específico do INSS – CEI, que comprove a qualificação como produtor rural pessoa física, nos termos da </w:t>
      </w:r>
      <w:hyperlink r:id="rId34">
        <w:r w:rsidRPr="00FF4109">
          <w:rPr>
            <w:rStyle w:val="Hyperlink"/>
            <w:color w:val="auto"/>
          </w:rPr>
          <w:t>Instrução Normativa RFB n. 971, de 13 de novembro de 2009</w:t>
        </w:r>
      </w:hyperlink>
      <w:r w:rsidRPr="00FF4109">
        <w:rPr>
          <w:color w:val="auto"/>
        </w:rPr>
        <w:t xml:space="preserve"> (</w:t>
      </w:r>
      <w:proofErr w:type="spellStart"/>
      <w:r w:rsidRPr="00FF4109">
        <w:rPr>
          <w:color w:val="auto"/>
        </w:rPr>
        <w:t>arts</w:t>
      </w:r>
      <w:proofErr w:type="spellEnd"/>
      <w:r w:rsidRPr="00FF4109">
        <w:rPr>
          <w:color w:val="auto"/>
        </w:rPr>
        <w:t>. 17 a 19 e 165).</w:t>
      </w:r>
    </w:p>
    <w:p w14:paraId="2FEBDDCB" w14:textId="77777777" w:rsidR="00952E08" w:rsidRPr="00FF4109" w:rsidRDefault="00952E08" w:rsidP="00952E08">
      <w:pPr>
        <w:pStyle w:val="Nvel2-Red"/>
        <w:rPr>
          <w:color w:val="auto"/>
        </w:rPr>
      </w:pPr>
      <w:commentRangeStart w:id="52"/>
      <w:r w:rsidRPr="00FF4109">
        <w:rPr>
          <w:b/>
          <w:bCs/>
          <w:color w:val="auto"/>
        </w:rPr>
        <w:t>Ato de autorização</w:t>
      </w:r>
      <w:r w:rsidRPr="00FF4109">
        <w:rPr>
          <w:color w:val="auto"/>
        </w:rPr>
        <w:t xml:space="preserve"> para o exercício da atividade de ............ (especificar a atividade contratada sujeita à autorização), expedido por ....... (especificar o órgão competente) nos termos do art. </w:t>
      </w:r>
      <w:proofErr w:type="gramStart"/>
      <w:r w:rsidRPr="00FF4109">
        <w:rPr>
          <w:color w:val="auto"/>
        </w:rPr>
        <w:t>.....</w:t>
      </w:r>
      <w:proofErr w:type="gramEnd"/>
      <w:r w:rsidRPr="00FF4109">
        <w:rPr>
          <w:color w:val="auto"/>
        </w:rPr>
        <w:t xml:space="preserve"> da (Lei/Decreto) n° ........</w:t>
      </w:r>
      <w:commentRangeEnd w:id="52"/>
      <w:r w:rsidRPr="00FF4109">
        <w:rPr>
          <w:color w:val="auto"/>
        </w:rPr>
        <w:commentReference w:id="52"/>
      </w:r>
    </w:p>
    <w:p w14:paraId="06A87364" w14:textId="77777777" w:rsidR="00952E08" w:rsidRPr="00FF4109" w:rsidRDefault="00952E08" w:rsidP="00952E08">
      <w:pPr>
        <w:pStyle w:val="Nivel2"/>
        <w:rPr>
          <w:color w:val="auto"/>
        </w:rPr>
      </w:pPr>
      <w:r w:rsidRPr="00FF4109">
        <w:rPr>
          <w:color w:val="auto"/>
        </w:rPr>
        <w:t>Os documentos apresentados deverão estar acompanhados de todas as alterações ou da consolidação respectiva.</w:t>
      </w:r>
    </w:p>
    <w:p w14:paraId="075F711D" w14:textId="77777777" w:rsidR="00952E08" w:rsidRPr="00FF4109" w:rsidRDefault="00952E08" w:rsidP="00FF4109">
      <w:pPr>
        <w:pStyle w:val="Nvel1-SemNumPreto"/>
      </w:pPr>
      <w:r w:rsidRPr="00FF4109">
        <w:t>Habilitação fiscal, social e trabalhista</w:t>
      </w:r>
    </w:p>
    <w:p w14:paraId="73831855" w14:textId="77777777" w:rsidR="00952E08" w:rsidRPr="00FF4109" w:rsidRDefault="00952E08" w:rsidP="00952E08">
      <w:pPr>
        <w:pStyle w:val="Nivel2"/>
        <w:rPr>
          <w:color w:val="auto"/>
        </w:rPr>
      </w:pPr>
      <w:commentRangeStart w:id="53"/>
      <w:r w:rsidRPr="00FF4109">
        <w:rPr>
          <w:color w:val="auto"/>
        </w:rPr>
        <w:t>Prova de inscrição no Cadastro Nacional de Pessoas Jurídicas ou no Cadastro de Pessoas Físicas, conforme o caso;</w:t>
      </w:r>
    </w:p>
    <w:p w14:paraId="07497AEE" w14:textId="77777777" w:rsidR="00952E08" w:rsidRPr="00FF4109" w:rsidRDefault="00952E08" w:rsidP="00952E08">
      <w:pPr>
        <w:pStyle w:val="Nivel2"/>
        <w:rPr>
          <w:color w:val="auto"/>
        </w:rPr>
      </w:pPr>
      <w:r w:rsidRPr="00FF4109">
        <w:rPr>
          <w:color w:val="auto"/>
        </w:rPr>
        <w:t>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Fazenda Nacional.</w:t>
      </w:r>
    </w:p>
    <w:p w14:paraId="28FDAE4A" w14:textId="77777777" w:rsidR="00952E08" w:rsidRPr="00FF4109" w:rsidRDefault="00952E08" w:rsidP="00952E08">
      <w:pPr>
        <w:pStyle w:val="Nivel2"/>
        <w:rPr>
          <w:color w:val="auto"/>
        </w:rPr>
      </w:pPr>
      <w:r w:rsidRPr="00FF4109">
        <w:rPr>
          <w:color w:val="auto"/>
        </w:rPr>
        <w:t>Prova de regularidade com o Fundo de Garantia do Tempo de Serviço (FGTS);</w:t>
      </w:r>
    </w:p>
    <w:p w14:paraId="27141EB5" w14:textId="77777777" w:rsidR="00952E08" w:rsidRPr="00FF4109" w:rsidRDefault="00952E08" w:rsidP="00952E08">
      <w:pPr>
        <w:pStyle w:val="Nivel2"/>
        <w:ind w:hanging="432"/>
        <w:rPr>
          <w:color w:val="auto"/>
        </w:rPr>
      </w:pPr>
      <w:r w:rsidRPr="00FF4109">
        <w:rPr>
          <w:color w:val="auto"/>
        </w:rPr>
        <w:t>declaração de que não emprega menor de 18 anos em trabalho noturno, perigoso ou insalubre e não emprega menor de 16 anos, salvo menor, a partir de 14 anos, na condição de aprendiz, nos termos do artigo 7°, XXXIII, da Constituição;</w:t>
      </w:r>
    </w:p>
    <w:p w14:paraId="49EAC6B7" w14:textId="77777777" w:rsidR="00952E08" w:rsidRPr="00FF4109" w:rsidRDefault="00952E08" w:rsidP="00952E08">
      <w:pPr>
        <w:pStyle w:val="Nivel2"/>
        <w:rPr>
          <w:color w:val="auto"/>
        </w:rPr>
      </w:pPr>
      <w:r w:rsidRPr="00FF4109">
        <w:rPr>
          <w:color w:val="auto"/>
        </w:rPr>
        <w:t>Prova de inexistência de débitos inadimplidos perante a Justiça do Trabalho, mediante a apresentação de certidão negativa ou positiva com efeito de negativa, nos termos do Título VII-A da Consolidação das Leis do Trabalho, aprovada pelo Decreto-Lei nº 5.452, de 1º de maio de 1943;</w:t>
      </w:r>
    </w:p>
    <w:p w14:paraId="4ED646D4" w14:textId="77777777" w:rsidR="00952E08" w:rsidRPr="00FF4109" w:rsidRDefault="00952E08" w:rsidP="00952E08">
      <w:pPr>
        <w:pStyle w:val="Nivel2"/>
        <w:rPr>
          <w:color w:val="auto"/>
        </w:rPr>
      </w:pPr>
      <w:r w:rsidRPr="00FF4109">
        <w:rPr>
          <w:color w:val="auto"/>
        </w:rPr>
        <w:t xml:space="preserve">Prova de inscrição no cadastro de contribuintes </w:t>
      </w:r>
      <w:r w:rsidRPr="00FF4109">
        <w:rPr>
          <w:i/>
          <w:iCs/>
          <w:color w:val="auto"/>
        </w:rPr>
        <w:t>[Estadual/Distrital]</w:t>
      </w:r>
      <w:r w:rsidRPr="00FF4109">
        <w:rPr>
          <w:color w:val="auto"/>
        </w:rPr>
        <w:t xml:space="preserve"> ou </w:t>
      </w:r>
      <w:r w:rsidRPr="00FF4109">
        <w:rPr>
          <w:i/>
          <w:iCs/>
          <w:color w:val="auto"/>
        </w:rPr>
        <w:t>[Municipal/Distrital]</w:t>
      </w:r>
      <w:r w:rsidRPr="00FF4109">
        <w:rPr>
          <w:color w:val="auto"/>
        </w:rPr>
        <w:t xml:space="preserve"> relativo ao domicílio ou sede do fornecedor, pertinente ao seu ramo de atividade e compatível com o objeto contratual; </w:t>
      </w:r>
    </w:p>
    <w:p w14:paraId="0D67FF85" w14:textId="77777777" w:rsidR="00952E08" w:rsidRPr="00FF4109" w:rsidRDefault="00952E08" w:rsidP="00952E08">
      <w:pPr>
        <w:pStyle w:val="Nivel2"/>
        <w:rPr>
          <w:color w:val="auto"/>
        </w:rPr>
      </w:pPr>
      <w:r w:rsidRPr="00FF4109">
        <w:rPr>
          <w:color w:val="auto"/>
        </w:rPr>
        <w:t xml:space="preserve">Prova de regularidade com a Fazenda </w:t>
      </w:r>
      <w:r w:rsidRPr="00FF4109">
        <w:rPr>
          <w:i/>
          <w:iCs/>
          <w:color w:val="auto"/>
        </w:rPr>
        <w:t>[Estadual/Distrital] ou [Municipal/Distrital]</w:t>
      </w:r>
      <w:r w:rsidRPr="00FF4109">
        <w:rPr>
          <w:color w:val="auto"/>
        </w:rPr>
        <w:t xml:space="preserve"> do domicílio ou sede do fornecedor, relativa à atividade em cujo exercício contrata ou concorre;</w:t>
      </w:r>
      <w:commentRangeEnd w:id="53"/>
      <w:r w:rsidRPr="00FF4109">
        <w:rPr>
          <w:color w:val="auto"/>
        </w:rPr>
        <w:commentReference w:id="53"/>
      </w:r>
    </w:p>
    <w:p w14:paraId="69C25640" w14:textId="77777777" w:rsidR="00952E08" w:rsidRPr="00FF4109" w:rsidRDefault="00952E08" w:rsidP="00952E08">
      <w:pPr>
        <w:pStyle w:val="Nivel2"/>
        <w:rPr>
          <w:color w:val="auto"/>
        </w:rPr>
      </w:pPr>
      <w:r w:rsidRPr="00FF4109">
        <w:rPr>
          <w:color w:val="auto"/>
        </w:rPr>
        <w:t xml:space="preserve">Caso o fornecedor seja considerado isento dos tributos </w:t>
      </w:r>
      <w:r w:rsidRPr="00FF4109">
        <w:rPr>
          <w:i/>
          <w:iCs/>
          <w:color w:val="auto"/>
        </w:rPr>
        <w:t>[Estadual/Distrital] ou [Municipal/Distrital]</w:t>
      </w:r>
      <w:r w:rsidRPr="00FF4109">
        <w:rPr>
          <w:color w:val="auto"/>
        </w:rPr>
        <w:t xml:space="preserve"> relacionados ao objeto contratual, deverá comprovar tal condição mediante a apresentação de declaração da Fazenda respectiva do seu domicílio ou sede, ou outra equivalente, na forma da lei.</w:t>
      </w:r>
    </w:p>
    <w:p w14:paraId="5F73B349" w14:textId="77777777" w:rsidR="00952E08" w:rsidRPr="00FF4109" w:rsidRDefault="00952E08" w:rsidP="00952E08">
      <w:pPr>
        <w:pStyle w:val="Nivel2"/>
        <w:rPr>
          <w:color w:val="auto"/>
        </w:rPr>
      </w:pPr>
      <w:commentRangeStart w:id="54"/>
      <w:r w:rsidRPr="00FF4109">
        <w:rPr>
          <w:color w:val="auto"/>
        </w:rPr>
        <w:t>O fornecedor enquadrado como microempreendedor individual que pretenda auferir os benefícios do tratamento diferenciado previstos na Lei Complementar n. 123, de 2006, estará dispensado da prova de inscrição nos cadastros de contribuintes estadual e municipal.</w:t>
      </w:r>
      <w:commentRangeEnd w:id="54"/>
      <w:r w:rsidRPr="00FF4109">
        <w:rPr>
          <w:color w:val="auto"/>
        </w:rPr>
        <w:commentReference w:id="54"/>
      </w:r>
    </w:p>
    <w:p w14:paraId="74B1CFC8" w14:textId="77777777" w:rsidR="00952E08" w:rsidRPr="00FF4109" w:rsidRDefault="00952E08" w:rsidP="00FF4109">
      <w:pPr>
        <w:pStyle w:val="Nvel1-SemNumPreto"/>
      </w:pPr>
    </w:p>
    <w:p w14:paraId="647D2ACF" w14:textId="77777777" w:rsidR="00952E08" w:rsidRPr="00FF4109" w:rsidRDefault="00952E08" w:rsidP="00FF4109">
      <w:pPr>
        <w:pStyle w:val="Nvel1-SemNumPreto"/>
      </w:pPr>
      <w:commentRangeStart w:id="55"/>
      <w:r w:rsidRPr="00FF4109">
        <w:t>Qualificação Econômico-Financeira</w:t>
      </w:r>
      <w:commentRangeEnd w:id="55"/>
      <w:r w:rsidRPr="00FF4109">
        <w:rPr>
          <w:rStyle w:val="Refdecomentrio"/>
          <w:rFonts w:eastAsiaTheme="minorEastAsia"/>
        </w:rPr>
        <w:commentReference w:id="55"/>
      </w:r>
    </w:p>
    <w:p w14:paraId="30E02A7B" w14:textId="77777777" w:rsidR="00952E08" w:rsidRPr="00FF4109" w:rsidRDefault="00952E08" w:rsidP="00952E08">
      <w:pPr>
        <w:pStyle w:val="Nivel2"/>
        <w:rPr>
          <w:color w:val="auto"/>
        </w:rPr>
      </w:pPr>
      <w:r w:rsidRPr="00FF4109">
        <w:rPr>
          <w:color w:val="auto"/>
        </w:rPr>
        <w:t xml:space="preserve">Certidão negativa de insolvência civil expedida pelo distribuidor do domicílio ou sede do interessado, caso se trate de pessoa física, desde que admitida a sua </w:t>
      </w:r>
      <w:r w:rsidRPr="00FF4109">
        <w:rPr>
          <w:color w:val="auto"/>
          <w:highlight w:val="green"/>
        </w:rPr>
        <w:t>contratação</w:t>
      </w:r>
      <w:r w:rsidRPr="00FF4109">
        <w:rPr>
          <w:color w:val="auto"/>
        </w:rPr>
        <w:t xml:space="preserve"> (</w:t>
      </w:r>
      <w:hyperlink r:id="rId35" w:anchor="art5">
        <w:r w:rsidRPr="00FF4109">
          <w:rPr>
            <w:rStyle w:val="Hyperlink"/>
            <w:color w:val="auto"/>
          </w:rPr>
          <w:t>art. 5º, inciso II, alínea “c”, da Instrução Normativa Seges/ME nº 116, de 2021</w:t>
        </w:r>
      </w:hyperlink>
      <w:r w:rsidRPr="00FF4109">
        <w:rPr>
          <w:color w:val="auto"/>
        </w:rPr>
        <w:t xml:space="preserve">), ou de sociedade simples; </w:t>
      </w:r>
    </w:p>
    <w:p w14:paraId="22CA7E03" w14:textId="77777777" w:rsidR="00952E08" w:rsidRPr="00FF4109" w:rsidRDefault="00952E08" w:rsidP="00952E08">
      <w:pPr>
        <w:pStyle w:val="Nivel2"/>
        <w:rPr>
          <w:color w:val="auto"/>
        </w:rPr>
      </w:pPr>
      <w:r w:rsidRPr="00FF4109">
        <w:rPr>
          <w:color w:val="auto"/>
        </w:rPr>
        <w:t xml:space="preserve">Certidão negativa de falência expedida pelo distribuidor da sede do fornecedor - </w:t>
      </w:r>
      <w:hyperlink r:id="rId36" w:anchor="art69">
        <w:r w:rsidRPr="00FF4109">
          <w:rPr>
            <w:rStyle w:val="Hyperlink"/>
            <w:color w:val="auto"/>
          </w:rPr>
          <w:t>Lei nº 14.133, de 2021, art. 69, caput, inciso II</w:t>
        </w:r>
      </w:hyperlink>
      <w:r w:rsidRPr="00FF4109">
        <w:rPr>
          <w:color w:val="auto"/>
        </w:rPr>
        <w:t>);</w:t>
      </w:r>
    </w:p>
    <w:p w14:paraId="4D50FDF3" w14:textId="77777777" w:rsidR="00952E08" w:rsidRPr="00FF4109" w:rsidRDefault="00952E08" w:rsidP="00952E08">
      <w:pPr>
        <w:pStyle w:val="Nivel2"/>
        <w:rPr>
          <w:color w:val="auto"/>
        </w:rPr>
      </w:pPr>
      <w:r w:rsidRPr="00FF4109">
        <w:rPr>
          <w:color w:val="auto"/>
        </w:rPr>
        <w:t>Balanço patrimonial, demonstração de resultado de exercício e demais demonstrações contábeis dos 2 (dois) últimos exercícios sociais, comprovando;</w:t>
      </w:r>
    </w:p>
    <w:p w14:paraId="372B2A58" w14:textId="77777777" w:rsidR="00952E08" w:rsidRPr="00FF4109" w:rsidRDefault="00952E08" w:rsidP="00952E08">
      <w:pPr>
        <w:pStyle w:val="Nivel3"/>
        <w:rPr>
          <w:color w:val="auto"/>
        </w:rPr>
      </w:pPr>
      <w:r w:rsidRPr="00FF4109">
        <w:rPr>
          <w:color w:val="auto"/>
        </w:rPr>
        <w:lastRenderedPageBreak/>
        <w:t>índices de Liquidez Geral (LG), Liquidez Corrente (LC), e Solvência Geral (SG) superiores a 1 (um);</w:t>
      </w:r>
    </w:p>
    <w:p w14:paraId="0E044E5C" w14:textId="77777777" w:rsidR="00952E08" w:rsidRPr="00FF4109" w:rsidRDefault="00952E08" w:rsidP="00952E08">
      <w:pPr>
        <w:pStyle w:val="Nivel3"/>
        <w:rPr>
          <w:color w:val="auto"/>
        </w:rPr>
      </w:pPr>
      <w:r w:rsidRPr="00FF4109">
        <w:rPr>
          <w:color w:val="auto"/>
        </w:rPr>
        <w:t xml:space="preserve">As empresas criadas no exercício financeiro da </w:t>
      </w:r>
      <w:r w:rsidRPr="00FF4109">
        <w:rPr>
          <w:color w:val="auto"/>
          <w:highlight w:val="green"/>
        </w:rPr>
        <w:t>contratação direta</w:t>
      </w:r>
      <w:r w:rsidRPr="00FF4109">
        <w:rPr>
          <w:color w:val="auto"/>
        </w:rPr>
        <w:t xml:space="preserve"> deverão atender a todas as exigências da habilitação e poderão substituir os demonstrativos contábeis pelo balanço de abertura.</w:t>
      </w:r>
    </w:p>
    <w:p w14:paraId="563ED179" w14:textId="77777777" w:rsidR="00952E08" w:rsidRPr="00FF4109" w:rsidRDefault="00952E08" w:rsidP="00952E08">
      <w:pPr>
        <w:pStyle w:val="Nivel3"/>
        <w:rPr>
          <w:color w:val="auto"/>
        </w:rPr>
      </w:pPr>
      <w:r w:rsidRPr="00FF4109">
        <w:rPr>
          <w:color w:val="auto"/>
        </w:rPr>
        <w:t>Os documentos referidos acima limitar-se-ão ao último exercício no caso de a pessoa jurídica ter sido constituída há menos de 2 (dois) anos;</w:t>
      </w:r>
    </w:p>
    <w:p w14:paraId="42F6F5AF" w14:textId="77777777" w:rsidR="00952E08" w:rsidRPr="00FF4109" w:rsidRDefault="00952E08" w:rsidP="00952E08">
      <w:pPr>
        <w:pStyle w:val="Nivel3"/>
        <w:rPr>
          <w:color w:val="auto"/>
        </w:rPr>
      </w:pPr>
      <w:commentRangeStart w:id="56"/>
      <w:r w:rsidRPr="00FF4109">
        <w:rPr>
          <w:color w:val="auto"/>
        </w:rPr>
        <w:t xml:space="preserve">Os documentos referidos </w:t>
      </w:r>
      <w:commentRangeEnd w:id="56"/>
      <w:r w:rsidRPr="00FF4109">
        <w:rPr>
          <w:color w:val="auto"/>
        </w:rPr>
        <w:commentReference w:id="56"/>
      </w:r>
      <w:r w:rsidRPr="00FF4109">
        <w:rPr>
          <w:color w:val="auto"/>
        </w:rPr>
        <w:t xml:space="preserve">acima deverão ser exigidos com base no limite definido pela Receita Federal do Brasil para transmissão da Escrituração Contábil Digital - ECD ao </w:t>
      </w:r>
      <w:proofErr w:type="spellStart"/>
      <w:r w:rsidRPr="00FF4109">
        <w:rPr>
          <w:color w:val="auto"/>
        </w:rPr>
        <w:t>Sped</w:t>
      </w:r>
      <w:proofErr w:type="spellEnd"/>
      <w:r w:rsidRPr="00FF4109">
        <w:rPr>
          <w:color w:val="auto"/>
        </w:rPr>
        <w:t>.</w:t>
      </w:r>
    </w:p>
    <w:p w14:paraId="173C158A" w14:textId="77777777" w:rsidR="00952E08" w:rsidRPr="00FF4109" w:rsidRDefault="00952E08" w:rsidP="00952E08">
      <w:pPr>
        <w:pStyle w:val="Nivel2"/>
        <w:rPr>
          <w:color w:val="auto"/>
        </w:rPr>
      </w:pPr>
      <w:commentRangeStart w:id="57"/>
      <w:r w:rsidRPr="00FF4109">
        <w:rPr>
          <w:color w:val="auto"/>
        </w:rPr>
        <w:t xml:space="preserve">Caso a empresa interessada apresente resultado inferior ou igual a 1 (um) em qualquer dos índices de Liquidez Geral (LG), Solvência Geral (SG) e Liquidez Corrente (LC), será exigido para fins de habilitação [capital mínimo] </w:t>
      </w:r>
      <w:r w:rsidRPr="00FF4109">
        <w:rPr>
          <w:color w:val="auto"/>
          <w:u w:val="single"/>
        </w:rPr>
        <w:t>OU</w:t>
      </w:r>
      <w:r w:rsidRPr="00FF4109">
        <w:rPr>
          <w:color w:val="auto"/>
        </w:rPr>
        <w:t xml:space="preserve"> [patrimônio líquido mínimo] de ......% [até 10%] do [valor total estimado da contratação] </w:t>
      </w:r>
      <w:r w:rsidRPr="00FF4109">
        <w:rPr>
          <w:color w:val="auto"/>
          <w:u w:val="single"/>
        </w:rPr>
        <w:t>OU</w:t>
      </w:r>
      <w:r w:rsidRPr="00FF4109">
        <w:rPr>
          <w:color w:val="auto"/>
        </w:rPr>
        <w:t xml:space="preserve"> [valor total estimado da parcela pertinente].</w:t>
      </w:r>
      <w:commentRangeEnd w:id="57"/>
      <w:r w:rsidRPr="00FF4109">
        <w:rPr>
          <w:color w:val="auto"/>
        </w:rPr>
        <w:commentReference w:id="57"/>
      </w:r>
    </w:p>
    <w:p w14:paraId="7713163D" w14:textId="77777777" w:rsidR="00952E08" w:rsidRPr="00FF4109" w:rsidRDefault="00952E08" w:rsidP="00952E08">
      <w:pPr>
        <w:pStyle w:val="Nivel2"/>
        <w:rPr>
          <w:color w:val="auto"/>
        </w:rPr>
      </w:pPr>
      <w:r w:rsidRPr="00FF4109">
        <w:rPr>
          <w:color w:val="auto"/>
        </w:rPr>
        <w:t xml:space="preserve">As empresas criadas no exercício financeiro da </w:t>
      </w:r>
      <w:r w:rsidRPr="00FF4109">
        <w:rPr>
          <w:color w:val="auto"/>
          <w:highlight w:val="green"/>
        </w:rPr>
        <w:t>contratação direta</w:t>
      </w:r>
      <w:r w:rsidRPr="00FF4109">
        <w:rPr>
          <w:color w:val="auto"/>
        </w:rPr>
        <w:t xml:space="preserve"> deverão atender a todas as exigências da habilitação e poderão substituir os demonstrativos contábeis pelo balanço de abertura. (Lei nº 14.133, de 2021, art. 65, §1º).</w:t>
      </w:r>
    </w:p>
    <w:p w14:paraId="32490A76" w14:textId="77777777" w:rsidR="00952E08" w:rsidRPr="00FF4109" w:rsidRDefault="00952E08" w:rsidP="00952E08">
      <w:pPr>
        <w:pStyle w:val="Nvel2-Red"/>
        <w:rPr>
          <w:color w:val="auto"/>
        </w:rPr>
      </w:pPr>
      <w:commentRangeStart w:id="58"/>
      <w:r w:rsidRPr="00FF4109">
        <w:rPr>
          <w:color w:val="auto"/>
        </w:rPr>
        <w:t>O atendimento dos índices econômicos previstos neste item deverá ser atestado mediante declaração assinada por profissional habilitado da área contábil, apresentada pelo fornecedor.</w:t>
      </w:r>
      <w:commentRangeEnd w:id="58"/>
      <w:r w:rsidRPr="00FF4109">
        <w:rPr>
          <w:color w:val="auto"/>
        </w:rPr>
        <w:commentReference w:id="58"/>
      </w:r>
    </w:p>
    <w:p w14:paraId="372324B6" w14:textId="77777777" w:rsidR="00952E08" w:rsidRPr="00FF4109" w:rsidRDefault="00952E08" w:rsidP="00FF4109">
      <w:pPr>
        <w:pStyle w:val="Nvel1-SemNumPreto"/>
      </w:pPr>
      <w:commentRangeStart w:id="59"/>
      <w:r w:rsidRPr="00FF4109">
        <w:t>Qualificação Técnica</w:t>
      </w:r>
      <w:commentRangeEnd w:id="59"/>
      <w:r w:rsidRPr="00FF4109">
        <w:commentReference w:id="59"/>
      </w:r>
    </w:p>
    <w:p w14:paraId="5A443DC5" w14:textId="77777777" w:rsidR="00952E08" w:rsidRPr="00FF4109" w:rsidRDefault="00952E08" w:rsidP="00952E08">
      <w:pPr>
        <w:pStyle w:val="Nvel2-Red"/>
        <w:rPr>
          <w:rFonts w:ascii="Ecofont_Spranq_eco_Sans" w:eastAsia="MS Mincho" w:hAnsi="Ecofont_Spranq_eco_Sans" w:cs="Tahoma"/>
          <w:i w:val="0"/>
          <w:iCs w:val="0"/>
          <w:color w:val="auto"/>
          <w:sz w:val="24"/>
          <w:szCs w:val="24"/>
        </w:rPr>
      </w:pPr>
      <w:r w:rsidRPr="00FF4109">
        <w:rPr>
          <w:i w:val="0"/>
          <w:iCs w:val="0"/>
          <w:color w:val="auto"/>
        </w:rPr>
        <w:t xml:space="preserve">Declaração de que o </w:t>
      </w:r>
      <w:r w:rsidRPr="00FF4109">
        <w:rPr>
          <w:i w:val="0"/>
          <w:iCs w:val="0"/>
          <w:color w:val="auto"/>
          <w:highlight w:val="green"/>
        </w:rPr>
        <w:t>interessado</w:t>
      </w:r>
      <w:r w:rsidRPr="00FF4109">
        <w:rPr>
          <w:i w:val="0"/>
          <w:iCs w:val="0"/>
          <w:color w:val="auto"/>
        </w:rPr>
        <w:t xml:space="preserve"> tomou conhecimento de todas as informações e das condições locais para o cumprimento das obrigações objeto da </w:t>
      </w:r>
      <w:r w:rsidRPr="00FF4109">
        <w:rPr>
          <w:i w:val="0"/>
          <w:iCs w:val="0"/>
          <w:color w:val="auto"/>
          <w:highlight w:val="green"/>
        </w:rPr>
        <w:t>contratação</w:t>
      </w:r>
      <w:r w:rsidRPr="00FF4109">
        <w:rPr>
          <w:i w:val="0"/>
          <w:iCs w:val="0"/>
          <w:color w:val="auto"/>
        </w:rPr>
        <w:t xml:space="preserve">; </w:t>
      </w:r>
    </w:p>
    <w:p w14:paraId="07029EBD" w14:textId="77777777" w:rsidR="00952E08" w:rsidRPr="00FF4109" w:rsidRDefault="00952E08" w:rsidP="00952E08">
      <w:pPr>
        <w:pStyle w:val="Nvel2-Red"/>
        <w:rPr>
          <w:rFonts w:ascii="Ecofont_Spranq_eco_Sans" w:eastAsia="MS Mincho" w:hAnsi="Ecofont_Spranq_eco_Sans" w:cs="Tahoma"/>
          <w:i w:val="0"/>
          <w:iCs w:val="0"/>
          <w:color w:val="auto"/>
          <w:sz w:val="24"/>
          <w:szCs w:val="24"/>
        </w:rPr>
      </w:pPr>
      <w:r w:rsidRPr="00FF4109">
        <w:rPr>
          <w:i w:val="0"/>
          <w:iCs w:val="0"/>
          <w:color w:val="auto"/>
        </w:rPr>
        <w:t xml:space="preserve">A declaração acima poderá ser substituída por declaração formal assinada pelo responsável técnico do </w:t>
      </w:r>
      <w:r w:rsidRPr="00FF4109">
        <w:rPr>
          <w:i w:val="0"/>
          <w:iCs w:val="0"/>
          <w:color w:val="auto"/>
          <w:highlight w:val="green"/>
        </w:rPr>
        <w:t>interessado</w:t>
      </w:r>
      <w:r w:rsidRPr="00FF4109">
        <w:rPr>
          <w:i w:val="0"/>
          <w:iCs w:val="0"/>
          <w:color w:val="auto"/>
        </w:rPr>
        <w:t xml:space="preserve"> acerca do conhecimento pleno das condições e peculiaridades da contratação.</w:t>
      </w:r>
    </w:p>
    <w:p w14:paraId="0A9068EB" w14:textId="77777777" w:rsidR="00952E08" w:rsidRPr="00FF4109" w:rsidRDefault="00952E08" w:rsidP="00952E08">
      <w:pPr>
        <w:pStyle w:val="Nvel2-Red"/>
        <w:rPr>
          <w:color w:val="auto"/>
          <w:lang w:eastAsia="zh-CN" w:bidi="hi-IN"/>
        </w:rPr>
      </w:pPr>
      <w:commentRangeStart w:id="60"/>
      <w:r w:rsidRPr="00FF4109">
        <w:rPr>
          <w:color w:val="auto"/>
          <w:lang w:eastAsia="zh-CN" w:bidi="hi-IN"/>
        </w:rPr>
        <w:t>Registro ou inscrição da empresa na entidade profissional .........(escrever por extenso, se o caso), em plena validade;</w:t>
      </w:r>
      <w:commentRangeEnd w:id="60"/>
      <w:r w:rsidRPr="00FF4109">
        <w:rPr>
          <w:color w:val="auto"/>
        </w:rPr>
        <w:commentReference w:id="60"/>
      </w:r>
    </w:p>
    <w:p w14:paraId="6115B1F2" w14:textId="77777777" w:rsidR="00952E08" w:rsidRPr="00FF4109" w:rsidRDefault="00952E08" w:rsidP="00952E08">
      <w:pPr>
        <w:pStyle w:val="Nvel2-Red"/>
        <w:rPr>
          <w:color w:val="auto"/>
          <w:lang w:eastAsia="zh-CN" w:bidi="hi-IN"/>
        </w:rPr>
      </w:pPr>
      <w:r w:rsidRPr="00FF4109">
        <w:rPr>
          <w:color w:val="auto"/>
          <w:sz w:val="24"/>
          <w:szCs w:val="24"/>
        </w:rPr>
        <w:t>Sociedades empresárias estrangeiras atenderão à exigência por meio da apresentação, no momento da assinatura do contrato, da solicitação de registro perante a entidade profissional competente no Brasil.</w:t>
      </w:r>
    </w:p>
    <w:p w14:paraId="1858820F" w14:textId="77777777" w:rsidR="00952E08" w:rsidRPr="00FF4109" w:rsidRDefault="00952E08" w:rsidP="00952E08">
      <w:pPr>
        <w:pStyle w:val="Nvel2-Red"/>
        <w:rPr>
          <w:color w:val="auto"/>
        </w:rPr>
      </w:pPr>
      <w:commentRangeStart w:id="61"/>
      <w:r w:rsidRPr="00FF4109">
        <w:rPr>
          <w:color w:val="auto"/>
        </w:rPr>
        <w:t>Comprovação de aptidão para o fornecimento de bens similares de complexidade tecnológica e operacional equivalente ou superior com o objeto desta contratação, ou com o item pertinente, por meio da apresentação de certidões ou atestados, por pessoas jurídicas de direito público ou privado, ou regularmente emitido(s) pelo conselho profissional competente, quando for o caso.</w:t>
      </w:r>
    </w:p>
    <w:p w14:paraId="16823791" w14:textId="77777777" w:rsidR="00952E08" w:rsidRPr="00FF4109" w:rsidRDefault="00952E08" w:rsidP="000B1356">
      <w:pPr>
        <w:pStyle w:val="Nvel3-R"/>
      </w:pPr>
      <w:r w:rsidRPr="00FF4109">
        <w:t xml:space="preserve">Para fins da comprovação de que trata este subitem, os atestados deverão dizer respeito a contratos executados com as seguintes características mínimas: </w:t>
      </w:r>
    </w:p>
    <w:p w14:paraId="1C9A7F68" w14:textId="77777777" w:rsidR="00952E08" w:rsidRPr="00FF4109" w:rsidRDefault="00952E08" w:rsidP="00952E08">
      <w:pPr>
        <w:pStyle w:val="Nvel4-R"/>
        <w:rPr>
          <w:color w:val="auto"/>
        </w:rPr>
      </w:pPr>
      <w:r w:rsidRPr="00FF4109">
        <w:rPr>
          <w:color w:val="auto"/>
        </w:rPr>
        <w:t>....</w:t>
      </w:r>
    </w:p>
    <w:p w14:paraId="6E16886D" w14:textId="77777777" w:rsidR="00952E08" w:rsidRPr="00FF4109" w:rsidRDefault="00952E08" w:rsidP="00952E08">
      <w:pPr>
        <w:pStyle w:val="Nvel4-R"/>
        <w:rPr>
          <w:color w:val="auto"/>
        </w:rPr>
      </w:pPr>
      <w:r w:rsidRPr="00FF4109">
        <w:rPr>
          <w:color w:val="auto"/>
        </w:rPr>
        <w:t>....</w:t>
      </w:r>
    </w:p>
    <w:p w14:paraId="717CC105" w14:textId="77777777" w:rsidR="00952E08" w:rsidRPr="00FF4109" w:rsidRDefault="00952E08" w:rsidP="00952E08">
      <w:pPr>
        <w:pStyle w:val="Nvel4-R"/>
        <w:rPr>
          <w:color w:val="auto"/>
        </w:rPr>
      </w:pPr>
      <w:r w:rsidRPr="00FF4109">
        <w:rPr>
          <w:color w:val="auto"/>
        </w:rPr>
        <w:t>....</w:t>
      </w:r>
    </w:p>
    <w:p w14:paraId="5A05CDBB" w14:textId="77777777" w:rsidR="00952E08" w:rsidRPr="00FF4109" w:rsidRDefault="00952E08" w:rsidP="000B1356">
      <w:pPr>
        <w:pStyle w:val="Nvel3-R"/>
      </w:pPr>
      <w:r w:rsidRPr="00FF4109">
        <w:t>Será admitida, para fins de comprovação de quantitativo mínimo, a apresentação e o somatório de diferentes atestados executados de forma concomitante.</w:t>
      </w:r>
      <w:commentRangeEnd w:id="61"/>
      <w:r w:rsidRPr="00FF4109">
        <w:commentReference w:id="61"/>
      </w:r>
    </w:p>
    <w:p w14:paraId="2BB274F2" w14:textId="77777777" w:rsidR="00952E08" w:rsidRPr="00FF4109" w:rsidRDefault="00952E08" w:rsidP="000B1356">
      <w:pPr>
        <w:pStyle w:val="Nvel3-R"/>
        <w:rPr>
          <w:shd w:val="clear" w:color="auto" w:fill="FFFF00"/>
        </w:rPr>
      </w:pPr>
      <w:commentRangeStart w:id="62"/>
      <w:r w:rsidRPr="00FF4109">
        <w:t>Os atestados de capacidade técnica poderão ser apresentados em nome da matriz ou da filial do fornecedor.</w:t>
      </w:r>
      <w:commentRangeEnd w:id="62"/>
      <w:r w:rsidRPr="00FF4109">
        <w:commentReference w:id="62"/>
      </w:r>
    </w:p>
    <w:p w14:paraId="783D44F9" w14:textId="77777777" w:rsidR="00952E08" w:rsidRPr="00FF4109" w:rsidRDefault="00952E08" w:rsidP="000B1356">
      <w:pPr>
        <w:pStyle w:val="Nvel3-R"/>
      </w:pPr>
      <w:r w:rsidRPr="00FF4109">
        <w:t>O fornecedor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p w14:paraId="618BF539" w14:textId="77777777" w:rsidR="00952E08" w:rsidRPr="00FF4109" w:rsidRDefault="00952E08" w:rsidP="000B1356">
      <w:pPr>
        <w:pStyle w:val="Nvel3-R"/>
      </w:pPr>
      <w:commentRangeStart w:id="63"/>
      <w:r w:rsidRPr="00FF4109">
        <w:t xml:space="preserve">Prova de atendimento aos requisitos ........, previstos na lei ............: </w:t>
      </w:r>
      <w:commentRangeEnd w:id="63"/>
      <w:r w:rsidRPr="00FF4109">
        <w:commentReference w:id="63"/>
      </w:r>
    </w:p>
    <w:p w14:paraId="514B73C8" w14:textId="77777777" w:rsidR="00952E08" w:rsidRPr="00FF4109" w:rsidRDefault="00952E08" w:rsidP="00952E08">
      <w:pPr>
        <w:pStyle w:val="Nivel2"/>
        <w:rPr>
          <w:color w:val="auto"/>
        </w:rPr>
      </w:pPr>
      <w:r w:rsidRPr="00FF4109">
        <w:rPr>
          <w:color w:val="auto"/>
        </w:rPr>
        <w:lastRenderedPageBreak/>
        <w:t>Caso admitida a participação de cooperativas, será exigida a seguinte documentação complementar:</w:t>
      </w:r>
    </w:p>
    <w:p w14:paraId="56A5A4F5" w14:textId="77777777" w:rsidR="00952E08" w:rsidRPr="00FF4109" w:rsidRDefault="00952E08" w:rsidP="00952E08">
      <w:pPr>
        <w:pStyle w:val="Nivel3"/>
        <w:rPr>
          <w:color w:val="auto"/>
        </w:rPr>
      </w:pPr>
      <w:r w:rsidRPr="00FF4109">
        <w:rPr>
          <w:color w:val="auto"/>
        </w:rPr>
        <w:t xml:space="preserve">A relação dos cooperados que atendem aos requisitos técnicos exigidos para a contratação e que executarão o contrato, com as respectivas atas de inscrição e a comprovação de que estão domiciliados na localidade da sede da cooperativa, respeitado o disposto nos </w:t>
      </w:r>
      <w:hyperlink r:id="rId37" w:anchor="art4">
        <w:proofErr w:type="spellStart"/>
        <w:r w:rsidRPr="00FF4109">
          <w:rPr>
            <w:rStyle w:val="Hyperlink"/>
            <w:color w:val="auto"/>
          </w:rPr>
          <w:t>arts</w:t>
        </w:r>
        <w:proofErr w:type="spellEnd"/>
        <w:r w:rsidRPr="00FF4109">
          <w:rPr>
            <w:rStyle w:val="Hyperlink"/>
            <w:color w:val="auto"/>
          </w:rPr>
          <w:t>. 4º, inciso XI, 21, inciso I</w:t>
        </w:r>
      </w:hyperlink>
      <w:r w:rsidRPr="00FF4109">
        <w:rPr>
          <w:color w:val="auto"/>
        </w:rPr>
        <w:t xml:space="preserve"> e </w:t>
      </w:r>
      <w:hyperlink r:id="rId38" w:anchor="art42">
        <w:r w:rsidRPr="00FF4109">
          <w:rPr>
            <w:rStyle w:val="Hyperlink"/>
            <w:color w:val="auto"/>
          </w:rPr>
          <w:t>42, §§2º a 6º da Lei n. 5.764, de 1971</w:t>
        </w:r>
      </w:hyperlink>
      <w:r w:rsidRPr="00FF4109">
        <w:rPr>
          <w:color w:val="auto"/>
        </w:rPr>
        <w:t>;</w:t>
      </w:r>
    </w:p>
    <w:p w14:paraId="2BB63B06" w14:textId="77777777" w:rsidR="00952E08" w:rsidRPr="00FF4109" w:rsidRDefault="00952E08" w:rsidP="00952E08">
      <w:pPr>
        <w:pStyle w:val="Nivel3"/>
        <w:rPr>
          <w:color w:val="auto"/>
        </w:rPr>
      </w:pPr>
      <w:r w:rsidRPr="00FF4109">
        <w:rPr>
          <w:color w:val="auto"/>
        </w:rPr>
        <w:t>A declaração de regularidade de situação do contribuinte individual – DRSCI, para cada um dos cooperados indicados;</w:t>
      </w:r>
    </w:p>
    <w:p w14:paraId="09031DDD" w14:textId="77777777" w:rsidR="00952E08" w:rsidRPr="00FF4109" w:rsidRDefault="00952E08" w:rsidP="00952E08">
      <w:pPr>
        <w:pStyle w:val="Nivel3"/>
        <w:rPr>
          <w:color w:val="auto"/>
        </w:rPr>
      </w:pPr>
      <w:r w:rsidRPr="00FF4109">
        <w:rPr>
          <w:color w:val="auto"/>
        </w:rPr>
        <w:t xml:space="preserve">A comprovação do capital social proporcional ao número de cooperados necessários à execução contratual; </w:t>
      </w:r>
    </w:p>
    <w:p w14:paraId="579D621A" w14:textId="77777777" w:rsidR="00952E08" w:rsidRPr="00FF4109" w:rsidRDefault="00952E08" w:rsidP="00952E08">
      <w:pPr>
        <w:pStyle w:val="Nivel3"/>
        <w:rPr>
          <w:color w:val="auto"/>
        </w:rPr>
      </w:pPr>
      <w:r w:rsidRPr="00FF4109">
        <w:rPr>
          <w:color w:val="auto"/>
        </w:rPr>
        <w:t xml:space="preserve">O registro previsto na </w:t>
      </w:r>
      <w:hyperlink r:id="rId39" w:anchor="art107">
        <w:r w:rsidRPr="00FF4109">
          <w:rPr>
            <w:rStyle w:val="Hyperlink"/>
            <w:color w:val="auto"/>
          </w:rPr>
          <w:t>Lei n. 5.764, de 1971, art. 107</w:t>
        </w:r>
      </w:hyperlink>
      <w:r w:rsidRPr="00FF4109">
        <w:rPr>
          <w:color w:val="auto"/>
        </w:rPr>
        <w:t>;</w:t>
      </w:r>
    </w:p>
    <w:p w14:paraId="4BC96FD6" w14:textId="77777777" w:rsidR="00952E08" w:rsidRPr="00FF4109" w:rsidRDefault="00952E08" w:rsidP="00952E08">
      <w:pPr>
        <w:pStyle w:val="Nivel3"/>
        <w:rPr>
          <w:color w:val="auto"/>
        </w:rPr>
      </w:pPr>
      <w:r w:rsidRPr="00FF4109">
        <w:rPr>
          <w:color w:val="auto"/>
        </w:rPr>
        <w:t xml:space="preserve"> A comprovação de integração das respectivas quotas-partes por parte dos cooperados que executarão o contrato; e</w:t>
      </w:r>
    </w:p>
    <w:p w14:paraId="09D45045" w14:textId="77777777" w:rsidR="00952E08" w:rsidRPr="00FF4109" w:rsidRDefault="00952E08" w:rsidP="00952E08">
      <w:pPr>
        <w:pStyle w:val="Nivel3"/>
        <w:rPr>
          <w:color w:val="auto"/>
        </w:rPr>
      </w:pPr>
      <w:r w:rsidRPr="00FF4109">
        <w:rPr>
          <w:color w:val="auto"/>
        </w:rPr>
        <w:t xml:space="preserve"> 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dos cooperados que executarão o contrato em assembleias gerais ou nas reuniões seccionais; e f) ata da sessão que os cooperados autorizaram a cooperativa a contratar o objeto da </w:t>
      </w:r>
      <w:r w:rsidRPr="00FF4109">
        <w:rPr>
          <w:color w:val="auto"/>
          <w:highlight w:val="green"/>
        </w:rPr>
        <w:t>contratação</w:t>
      </w:r>
      <w:r w:rsidRPr="00FF4109">
        <w:rPr>
          <w:color w:val="auto"/>
        </w:rPr>
        <w:t xml:space="preserve"> </w:t>
      </w:r>
      <w:r w:rsidRPr="00FF4109">
        <w:rPr>
          <w:color w:val="auto"/>
          <w:highlight w:val="green"/>
        </w:rPr>
        <w:t>direta</w:t>
      </w:r>
      <w:r w:rsidRPr="00FF4109">
        <w:rPr>
          <w:color w:val="auto"/>
        </w:rPr>
        <w:t>;</w:t>
      </w:r>
    </w:p>
    <w:p w14:paraId="31180D48" w14:textId="77777777" w:rsidR="00952E08" w:rsidRPr="00FF4109" w:rsidRDefault="00952E08" w:rsidP="00952E08">
      <w:pPr>
        <w:pStyle w:val="Nivel3"/>
        <w:rPr>
          <w:color w:val="auto"/>
        </w:rPr>
      </w:pPr>
      <w:r w:rsidRPr="00FF4109">
        <w:rPr>
          <w:color w:val="auto"/>
        </w:rPr>
        <w:t xml:space="preserve">A última auditoria contábil-financeira da cooperativa, conforme dispõe o </w:t>
      </w:r>
      <w:hyperlink r:id="rId40" w:anchor="art112">
        <w:r w:rsidRPr="00FF4109">
          <w:rPr>
            <w:rStyle w:val="Hyperlink"/>
            <w:color w:val="auto"/>
          </w:rPr>
          <w:t>art. 112 da Lei n. 5.764, de 1971</w:t>
        </w:r>
      </w:hyperlink>
      <w:r w:rsidRPr="00FF4109">
        <w:rPr>
          <w:color w:val="auto"/>
        </w:rPr>
        <w:t>, ou uma declaração, sob as penas da lei, de que tal auditoria não foi exigida pelo órgão fiscalizador.</w:t>
      </w:r>
    </w:p>
    <w:p w14:paraId="02C24F10" w14:textId="77777777" w:rsidR="00952E08" w:rsidRPr="00FF4109" w:rsidRDefault="00952E08" w:rsidP="00952E08">
      <w:pPr>
        <w:pStyle w:val="Nivel01"/>
        <w:rPr>
          <w:highlight w:val="green"/>
        </w:rPr>
      </w:pPr>
      <w:commentRangeStart w:id="64"/>
      <w:r w:rsidRPr="00FF4109">
        <w:rPr>
          <w:highlight w:val="green"/>
        </w:rPr>
        <w:t>ESTIMATIVAS DO VALOR DA CONTRATAÇÃO</w:t>
      </w:r>
      <w:commentRangeEnd w:id="64"/>
      <w:r w:rsidRPr="00FF4109">
        <w:rPr>
          <w:highlight w:val="green"/>
        </w:rPr>
        <w:commentReference w:id="64"/>
      </w:r>
    </w:p>
    <w:p w14:paraId="735FCC5C" w14:textId="77777777" w:rsidR="00952E08" w:rsidRPr="00FF4109" w:rsidRDefault="00952E08" w:rsidP="00952E08">
      <w:pPr>
        <w:pStyle w:val="Nvel2-Red"/>
        <w:rPr>
          <w:b/>
          <w:bCs/>
          <w:color w:val="auto"/>
          <w:highlight w:val="green"/>
        </w:rPr>
      </w:pPr>
      <w:r w:rsidRPr="00FF4109">
        <w:rPr>
          <w:color w:val="auto"/>
          <w:highlight w:val="green"/>
        </w:rPr>
        <w:t xml:space="preserve">O custo estimado total da contratação é de R$... (por extenso), conforme custos unitários apostos na [tabela acima] </w:t>
      </w:r>
      <w:r w:rsidRPr="00FF4109">
        <w:rPr>
          <w:b/>
          <w:bCs/>
          <w:color w:val="auto"/>
          <w:highlight w:val="green"/>
        </w:rPr>
        <w:t>OU</w:t>
      </w:r>
      <w:r w:rsidRPr="00FF4109">
        <w:rPr>
          <w:color w:val="auto"/>
          <w:highlight w:val="green"/>
        </w:rPr>
        <w:t xml:space="preserve"> [em anexo].</w:t>
      </w:r>
    </w:p>
    <w:p w14:paraId="3D2FE46E" w14:textId="77777777" w:rsidR="00952E08" w:rsidRPr="00FF4109" w:rsidRDefault="00952E08" w:rsidP="00952E08">
      <w:pPr>
        <w:pStyle w:val="ou"/>
        <w:rPr>
          <w:color w:val="auto"/>
          <w:highlight w:val="green"/>
        </w:rPr>
      </w:pPr>
      <w:r w:rsidRPr="00FF4109">
        <w:rPr>
          <w:color w:val="auto"/>
          <w:highlight w:val="green"/>
        </w:rPr>
        <w:t>OU</w:t>
      </w:r>
    </w:p>
    <w:p w14:paraId="715B15DE" w14:textId="77777777" w:rsidR="00952E08" w:rsidRPr="00FF4109" w:rsidRDefault="00952E08" w:rsidP="00952E08">
      <w:pPr>
        <w:pStyle w:val="Nvel2-Red"/>
        <w:rPr>
          <w:color w:val="auto"/>
          <w:highlight w:val="green"/>
        </w:rPr>
      </w:pPr>
      <w:commentRangeStart w:id="65"/>
      <w:r w:rsidRPr="00FF4109">
        <w:rPr>
          <w:color w:val="auto"/>
          <w:highlight w:val="green"/>
        </w:rPr>
        <w:t>O valor de referência para aplicação do maior desconto corresponde a R$</w:t>
      </w:r>
      <w:proofErr w:type="gramStart"/>
      <w:r w:rsidRPr="00FF4109">
        <w:rPr>
          <w:color w:val="auto"/>
          <w:highlight w:val="green"/>
        </w:rPr>
        <w:t>.....</w:t>
      </w:r>
      <w:commentRangeEnd w:id="65"/>
      <w:proofErr w:type="gramEnd"/>
      <w:r w:rsidRPr="00FF4109">
        <w:rPr>
          <w:color w:val="auto"/>
          <w:highlight w:val="green"/>
        </w:rPr>
        <w:commentReference w:id="65"/>
      </w:r>
    </w:p>
    <w:p w14:paraId="4E62D18B" w14:textId="77777777" w:rsidR="00952E08" w:rsidRPr="00FF4109" w:rsidRDefault="00952E08" w:rsidP="00952E08">
      <w:pPr>
        <w:pStyle w:val="ou"/>
        <w:rPr>
          <w:color w:val="auto"/>
          <w:highlight w:val="green"/>
        </w:rPr>
      </w:pPr>
      <w:r w:rsidRPr="00FF4109">
        <w:rPr>
          <w:color w:val="auto"/>
          <w:highlight w:val="green"/>
        </w:rPr>
        <w:t xml:space="preserve">OU </w:t>
      </w:r>
    </w:p>
    <w:p w14:paraId="400DB0EA" w14:textId="77777777" w:rsidR="00952E08" w:rsidRPr="00FF4109" w:rsidRDefault="00952E08" w:rsidP="00952E08">
      <w:pPr>
        <w:pStyle w:val="Nvel2-Red"/>
        <w:rPr>
          <w:color w:val="auto"/>
          <w:highlight w:val="green"/>
        </w:rPr>
      </w:pPr>
      <w:commentRangeStart w:id="66"/>
      <w:r w:rsidRPr="00FF4109">
        <w:rPr>
          <w:color w:val="auto"/>
          <w:highlight w:val="green"/>
        </w:rPr>
        <w:t xml:space="preserve">O custo estimado da contratação possui caráter sigiloso e será tornado público apenas e imediatamente após o julgamento das propostas. </w:t>
      </w:r>
      <w:commentRangeEnd w:id="66"/>
      <w:r w:rsidRPr="00FF4109">
        <w:rPr>
          <w:color w:val="auto"/>
          <w:highlight w:val="green"/>
        </w:rPr>
        <w:commentReference w:id="66"/>
      </w:r>
    </w:p>
    <w:p w14:paraId="6848DEAB" w14:textId="77777777" w:rsidR="00952E08" w:rsidRPr="00FF4109" w:rsidRDefault="00952E08" w:rsidP="00952E08">
      <w:pPr>
        <w:pStyle w:val="Nvel2-Red"/>
        <w:rPr>
          <w:color w:val="auto"/>
          <w:highlight w:val="green"/>
        </w:rPr>
      </w:pPr>
      <w:commentRangeStart w:id="67"/>
      <w:r w:rsidRPr="00FF4109">
        <w:rPr>
          <w:color w:val="auto"/>
          <w:highlight w:val="green"/>
        </w:rPr>
        <w:t>A estimativa de custo levou em consideração o risco envolvido na contratação e sua alocação entre contratante e contratado, conforme especificado na matriz de risco constante do Contrato.</w:t>
      </w:r>
      <w:commentRangeEnd w:id="67"/>
      <w:r w:rsidRPr="00FF4109">
        <w:rPr>
          <w:color w:val="auto"/>
          <w:highlight w:val="green"/>
        </w:rPr>
        <w:commentReference w:id="67"/>
      </w:r>
    </w:p>
    <w:p w14:paraId="4E9321E8" w14:textId="77777777" w:rsidR="00952E08" w:rsidRPr="00FF4109" w:rsidRDefault="00952E08" w:rsidP="00952E08">
      <w:pPr>
        <w:pStyle w:val="Nvel2-Red"/>
        <w:rPr>
          <w:color w:val="auto"/>
          <w:highlight w:val="cyan"/>
        </w:rPr>
      </w:pPr>
      <w:r w:rsidRPr="00FF4109">
        <w:rPr>
          <w:rFonts w:eastAsia="MS Mincho"/>
          <w:color w:val="auto"/>
          <w:highlight w:val="cyan"/>
        </w:rPr>
        <w:t xml:space="preserve">Em caso de Registro de Preços, os preços </w:t>
      </w:r>
      <w:r w:rsidRPr="00FF4109">
        <w:rPr>
          <w:color w:val="auto"/>
          <w:highlight w:val="cyan"/>
        </w:rPr>
        <w:t>registrados poderão ser alterados ou atualizados em decorrência de eventual redução dos preços praticados no mercado ou de fato que eleve o custo dos bens, das obras ou dos serviços registrados, nas seguintes situações (art. 25 do Decreto nº 11.462/2023):</w:t>
      </w:r>
    </w:p>
    <w:p w14:paraId="7D88AEAC" w14:textId="77777777" w:rsidR="00952E08" w:rsidRPr="00FF4109" w:rsidRDefault="00952E08" w:rsidP="000B1356">
      <w:pPr>
        <w:pStyle w:val="Nvel3-R"/>
        <w:rPr>
          <w:rStyle w:val="Hyperlink"/>
          <w:rFonts w:ascii="Ecofont_Spranq_eco_Sans" w:eastAsia="MS Mincho" w:hAnsi="Ecofont_Spranq_eco_Sans" w:cs="Tahoma"/>
          <w:i w:val="0"/>
          <w:iCs w:val="0"/>
          <w:color w:val="auto"/>
          <w:sz w:val="24"/>
          <w:szCs w:val="24"/>
          <w:highlight w:val="cyan"/>
        </w:rPr>
      </w:pPr>
      <w:r w:rsidRPr="00FF4109">
        <w:rPr>
          <w:highlight w:val="cyan"/>
        </w:rPr>
        <w:t>em caso de força maior, caso fortuito ou fato do príncipe ou em decorrência de fatos imprevisíveis ou previsíveis de consequências incalculáveis, que inviabilizem a execução da ata tal como pactuada, nos termos do disposto na a</w:t>
      </w:r>
      <w:hyperlink r:id="rId41" w:anchor="art124iid">
        <w:r w:rsidRPr="00FF4109">
          <w:rPr>
            <w:rStyle w:val="Hyperlink"/>
            <w:rFonts w:eastAsia="Arial"/>
            <w:color w:val="auto"/>
            <w:highlight w:val="cyan"/>
          </w:rPr>
          <w:t>línea “d” do inciso II do capu</w:t>
        </w:r>
        <w:r w:rsidRPr="00FF4109">
          <w:rPr>
            <w:rStyle w:val="Hyperlink"/>
            <w:rFonts w:eastAsia="Arial"/>
            <w:b/>
            <w:bCs/>
            <w:color w:val="auto"/>
            <w:highlight w:val="cyan"/>
          </w:rPr>
          <w:t>t</w:t>
        </w:r>
        <w:r w:rsidRPr="00FF4109">
          <w:rPr>
            <w:rStyle w:val="Hyperlink"/>
            <w:rFonts w:eastAsia="Arial"/>
            <w:color w:val="auto"/>
            <w:highlight w:val="cyan"/>
          </w:rPr>
          <w:t xml:space="preserve"> do art. 124 da Lei nº 14.133, de 2021;</w:t>
        </w:r>
      </w:hyperlink>
    </w:p>
    <w:p w14:paraId="7FA2042D" w14:textId="77777777" w:rsidR="00952E08" w:rsidRPr="00FF4109" w:rsidRDefault="00952E08" w:rsidP="000B1356">
      <w:pPr>
        <w:pStyle w:val="Nvel3-R"/>
        <w:rPr>
          <w:rFonts w:ascii="Ecofont_Spranq_eco_Sans" w:eastAsia="MS Mincho" w:hAnsi="Ecofont_Spranq_eco_Sans" w:cs="Tahoma"/>
          <w:sz w:val="24"/>
          <w:szCs w:val="24"/>
          <w:highlight w:val="cyan"/>
        </w:rPr>
      </w:pPr>
      <w:r w:rsidRPr="00FF4109">
        <w:rPr>
          <w:highlight w:val="cyan"/>
        </w:rPr>
        <w:t>em caso de criação, alteração ou extinção de quaisquer tributos ou encargos legais ou superveniência de disposições legais, com comprovada repercussão sobre os preços registrados;</w:t>
      </w:r>
    </w:p>
    <w:p w14:paraId="058730C1" w14:textId="77777777" w:rsidR="00952E08" w:rsidRPr="00FF4109" w:rsidRDefault="00952E08" w:rsidP="000B1356">
      <w:pPr>
        <w:pStyle w:val="Nvel3-R"/>
        <w:rPr>
          <w:rFonts w:ascii="Ecofont_Spranq_eco_Sans" w:eastAsia="MS Mincho" w:hAnsi="Ecofont_Spranq_eco_Sans" w:cs="Tahoma"/>
          <w:sz w:val="24"/>
          <w:szCs w:val="24"/>
          <w:highlight w:val="cyan"/>
        </w:rPr>
      </w:pPr>
      <w:r w:rsidRPr="00FF4109">
        <w:rPr>
          <w:highlight w:val="cyan"/>
        </w:rPr>
        <w:t>serão reajustados os preços registrados, respeitada a contagem da anualidade e o índice previsto para a contratação; ou</w:t>
      </w:r>
    </w:p>
    <w:p w14:paraId="2E662013" w14:textId="77777777" w:rsidR="00952E08" w:rsidRPr="00FF4109" w:rsidRDefault="00952E08" w:rsidP="000B1356">
      <w:pPr>
        <w:pStyle w:val="Nvel3-R"/>
        <w:rPr>
          <w:rFonts w:ascii="Ecofont_Spranq_eco_Sans" w:eastAsia="MS Mincho" w:hAnsi="Ecofont_Spranq_eco_Sans" w:cs="Tahoma"/>
          <w:sz w:val="24"/>
          <w:szCs w:val="24"/>
          <w:highlight w:val="cyan"/>
        </w:rPr>
      </w:pPr>
      <w:r w:rsidRPr="00FF4109">
        <w:rPr>
          <w:highlight w:val="cyan"/>
        </w:rPr>
        <w:t>poderão ser repactuados, a pedido do interessado, conforme critérios definidos para a contratação.</w:t>
      </w:r>
    </w:p>
    <w:p w14:paraId="1EE94914" w14:textId="77777777" w:rsidR="00952E08" w:rsidRPr="00FF4109" w:rsidRDefault="00952E08" w:rsidP="00952E08">
      <w:pPr>
        <w:pStyle w:val="Nivel01"/>
      </w:pPr>
      <w:r w:rsidRPr="00FF4109">
        <w:lastRenderedPageBreak/>
        <w:t>ADEQUAÇÃO ORÇAMENTÁRIA</w:t>
      </w:r>
    </w:p>
    <w:p w14:paraId="76A54560" w14:textId="77777777" w:rsidR="00952E08" w:rsidRPr="00FF4109" w:rsidRDefault="00952E08" w:rsidP="00952E08">
      <w:pPr>
        <w:pStyle w:val="Nivel2"/>
        <w:rPr>
          <w:color w:val="auto"/>
        </w:rPr>
      </w:pPr>
      <w:r w:rsidRPr="00FF4109">
        <w:rPr>
          <w:color w:val="auto"/>
        </w:rPr>
        <w:t>As despesas decorrentes da presente contratação correrão à conta de recursos específicos consignados no Orçamento Geral da União.</w:t>
      </w:r>
    </w:p>
    <w:p w14:paraId="3D636E29" w14:textId="77777777" w:rsidR="00952E08" w:rsidRPr="00FF4109" w:rsidRDefault="00952E08" w:rsidP="00952E08">
      <w:pPr>
        <w:pStyle w:val="Nivel2"/>
        <w:rPr>
          <w:color w:val="auto"/>
        </w:rPr>
      </w:pPr>
      <w:r w:rsidRPr="00FF4109">
        <w:rPr>
          <w:color w:val="auto"/>
        </w:rPr>
        <w:t>A contratação será atendida pela seguinte dotação:</w:t>
      </w:r>
    </w:p>
    <w:p w14:paraId="2A85DF28" w14:textId="77777777" w:rsidR="00952E08" w:rsidRPr="00FF4109" w:rsidRDefault="00952E08" w:rsidP="00952E08">
      <w:pPr>
        <w:pStyle w:val="PargrafodaLista"/>
        <w:widowControl/>
        <w:numPr>
          <w:ilvl w:val="0"/>
          <w:numId w:val="11"/>
        </w:numPr>
        <w:autoSpaceDE/>
        <w:autoSpaceDN/>
        <w:spacing w:before="120" w:after="120" w:line="276" w:lineRule="auto"/>
        <w:ind w:left="284" w:firstLine="0"/>
        <w:contextualSpacing/>
        <w:rPr>
          <w:sz w:val="20"/>
          <w:szCs w:val="20"/>
        </w:rPr>
      </w:pPr>
      <w:r w:rsidRPr="00FF4109">
        <w:rPr>
          <w:sz w:val="20"/>
          <w:szCs w:val="20"/>
        </w:rPr>
        <w:t>Gestão/Unidade: [...];</w:t>
      </w:r>
    </w:p>
    <w:p w14:paraId="6CCEC736" w14:textId="77777777" w:rsidR="00952E08" w:rsidRPr="00FF4109" w:rsidRDefault="00952E08" w:rsidP="00952E08">
      <w:pPr>
        <w:pStyle w:val="PargrafodaLista"/>
        <w:widowControl/>
        <w:numPr>
          <w:ilvl w:val="0"/>
          <w:numId w:val="11"/>
        </w:numPr>
        <w:autoSpaceDE/>
        <w:autoSpaceDN/>
        <w:spacing w:before="120" w:after="120" w:line="276" w:lineRule="auto"/>
        <w:ind w:left="284" w:firstLine="0"/>
        <w:contextualSpacing/>
        <w:rPr>
          <w:sz w:val="20"/>
          <w:szCs w:val="20"/>
        </w:rPr>
      </w:pPr>
      <w:r w:rsidRPr="00FF4109">
        <w:rPr>
          <w:sz w:val="20"/>
          <w:szCs w:val="20"/>
        </w:rPr>
        <w:t>Fonte de Recursos: [...];</w:t>
      </w:r>
    </w:p>
    <w:p w14:paraId="53BD5FF9" w14:textId="77777777" w:rsidR="00952E08" w:rsidRPr="00FF4109" w:rsidRDefault="00952E08" w:rsidP="00952E08">
      <w:pPr>
        <w:pStyle w:val="PargrafodaLista"/>
        <w:widowControl/>
        <w:numPr>
          <w:ilvl w:val="0"/>
          <w:numId w:val="11"/>
        </w:numPr>
        <w:autoSpaceDE/>
        <w:autoSpaceDN/>
        <w:spacing w:before="120" w:after="120" w:line="276" w:lineRule="auto"/>
        <w:ind w:left="284" w:firstLine="0"/>
        <w:contextualSpacing/>
        <w:rPr>
          <w:sz w:val="20"/>
          <w:szCs w:val="20"/>
        </w:rPr>
      </w:pPr>
      <w:r w:rsidRPr="00FF4109">
        <w:rPr>
          <w:sz w:val="20"/>
          <w:szCs w:val="20"/>
        </w:rPr>
        <w:t>Programa de Trabalho: [...];</w:t>
      </w:r>
    </w:p>
    <w:p w14:paraId="2317A8F4" w14:textId="77777777" w:rsidR="00952E08" w:rsidRPr="00FF4109" w:rsidRDefault="00952E08" w:rsidP="00952E08">
      <w:pPr>
        <w:pStyle w:val="PargrafodaLista"/>
        <w:widowControl/>
        <w:numPr>
          <w:ilvl w:val="0"/>
          <w:numId w:val="11"/>
        </w:numPr>
        <w:autoSpaceDE/>
        <w:autoSpaceDN/>
        <w:spacing w:before="120" w:after="120" w:line="276" w:lineRule="auto"/>
        <w:ind w:left="284" w:firstLine="0"/>
        <w:contextualSpacing/>
        <w:rPr>
          <w:sz w:val="20"/>
          <w:szCs w:val="20"/>
        </w:rPr>
      </w:pPr>
      <w:r w:rsidRPr="00FF4109">
        <w:rPr>
          <w:sz w:val="20"/>
          <w:szCs w:val="20"/>
        </w:rPr>
        <w:t>Elemento de Despesa: [...];</w:t>
      </w:r>
    </w:p>
    <w:p w14:paraId="5DB955C8" w14:textId="77777777" w:rsidR="00952E08" w:rsidRPr="00FF4109" w:rsidRDefault="00952E08" w:rsidP="00952E08">
      <w:pPr>
        <w:pStyle w:val="PargrafodaLista"/>
        <w:widowControl/>
        <w:numPr>
          <w:ilvl w:val="0"/>
          <w:numId w:val="11"/>
        </w:numPr>
        <w:autoSpaceDE/>
        <w:autoSpaceDN/>
        <w:spacing w:before="120" w:after="120" w:line="276" w:lineRule="auto"/>
        <w:ind w:left="284" w:firstLine="0"/>
        <w:contextualSpacing/>
        <w:rPr>
          <w:rFonts w:eastAsia="MS Mincho"/>
        </w:rPr>
      </w:pPr>
      <w:r w:rsidRPr="00FF4109">
        <w:rPr>
          <w:sz w:val="20"/>
          <w:szCs w:val="20"/>
        </w:rPr>
        <w:t>Plano Interno: [...];</w:t>
      </w:r>
    </w:p>
    <w:p w14:paraId="2A1CBBE4" w14:textId="77777777" w:rsidR="00952E08" w:rsidRPr="00FF4109" w:rsidRDefault="00952E08" w:rsidP="00952E08">
      <w:pPr>
        <w:pStyle w:val="Nvel2-Red"/>
        <w:rPr>
          <w:color w:val="auto"/>
        </w:rPr>
      </w:pPr>
      <w:commentRangeStart w:id="68"/>
      <w:r w:rsidRPr="00FF4109">
        <w:rPr>
          <w:color w:val="auto"/>
        </w:rPr>
        <w:t>A dotação relativa aos exercícios financeiros subsequentes será indicada após aprovação da Lei Orçamentária respectiva e liberação dos créditos correspondentes, mediante apostilamento.</w:t>
      </w:r>
      <w:commentRangeEnd w:id="68"/>
      <w:r w:rsidRPr="00FF4109">
        <w:rPr>
          <w:color w:val="auto"/>
        </w:rPr>
        <w:commentReference w:id="68"/>
      </w:r>
    </w:p>
    <w:bookmarkEnd w:id="0"/>
    <w:p w14:paraId="2B60D253" w14:textId="77777777" w:rsidR="00952E08" w:rsidRPr="00FF4109" w:rsidRDefault="00952E08" w:rsidP="00952E08">
      <w:pPr>
        <w:pStyle w:val="Nivel2"/>
        <w:numPr>
          <w:ilvl w:val="0"/>
          <w:numId w:val="0"/>
        </w:numPr>
        <w:rPr>
          <w:color w:val="auto"/>
        </w:rPr>
      </w:pPr>
    </w:p>
    <w:p w14:paraId="3C719258" w14:textId="77777777" w:rsidR="00952E08" w:rsidRPr="00FF4109" w:rsidRDefault="00952E08" w:rsidP="00952E08">
      <w:pPr>
        <w:pStyle w:val="Nivel2"/>
        <w:numPr>
          <w:ilvl w:val="0"/>
          <w:numId w:val="0"/>
        </w:numPr>
        <w:rPr>
          <w:color w:val="auto"/>
        </w:rPr>
      </w:pPr>
      <w:r w:rsidRPr="00FF4109">
        <w:rPr>
          <w:color w:val="auto"/>
        </w:rPr>
        <w:t>[Local], [dia] de [mês] de [ano].</w:t>
      </w:r>
    </w:p>
    <w:p w14:paraId="6C080BCA" w14:textId="77777777" w:rsidR="00952E08" w:rsidRPr="00FF4109" w:rsidRDefault="00952E08" w:rsidP="00952E08">
      <w:pPr>
        <w:pStyle w:val="Nivel2"/>
        <w:numPr>
          <w:ilvl w:val="0"/>
          <w:numId w:val="0"/>
        </w:numPr>
        <w:rPr>
          <w:color w:val="auto"/>
        </w:rPr>
      </w:pPr>
    </w:p>
    <w:p w14:paraId="0BB92BB6" w14:textId="77777777" w:rsidR="00952E08" w:rsidRPr="00FF4109" w:rsidRDefault="00952E08" w:rsidP="00952E08">
      <w:pPr>
        <w:spacing w:before="120" w:afterLines="120" w:after="288" w:line="312" w:lineRule="auto"/>
        <w:ind w:left="357"/>
        <w:jc w:val="center"/>
        <w:rPr>
          <w:sz w:val="20"/>
          <w:szCs w:val="20"/>
        </w:rPr>
      </w:pPr>
      <w:commentRangeStart w:id="69"/>
      <w:r w:rsidRPr="00FF4109">
        <w:rPr>
          <w:sz w:val="20"/>
          <w:szCs w:val="20"/>
        </w:rPr>
        <w:t>__________________________________</w:t>
      </w:r>
    </w:p>
    <w:p w14:paraId="59CEAB2D" w14:textId="77777777" w:rsidR="00952E08" w:rsidRPr="00FF4109" w:rsidRDefault="00952E08" w:rsidP="00952E08">
      <w:pPr>
        <w:spacing w:before="120" w:afterLines="120" w:after="288" w:line="312" w:lineRule="auto"/>
        <w:ind w:left="360"/>
        <w:jc w:val="center"/>
        <w:rPr>
          <w:sz w:val="20"/>
          <w:szCs w:val="20"/>
        </w:rPr>
      </w:pPr>
      <w:r w:rsidRPr="00FF4109">
        <w:rPr>
          <w:sz w:val="20"/>
          <w:szCs w:val="20"/>
        </w:rPr>
        <w:t>Identificação e assinatura do servidor (ou equipe) responsável</w:t>
      </w:r>
      <w:commentRangeEnd w:id="69"/>
      <w:r w:rsidRPr="00FF4109">
        <w:rPr>
          <w:rStyle w:val="Refdecomentrio"/>
        </w:rPr>
        <w:commentReference w:id="69"/>
      </w:r>
    </w:p>
    <w:p w14:paraId="462260AE" w14:textId="298D973E" w:rsidR="004C4082" w:rsidRPr="00FF4109" w:rsidRDefault="004C4082" w:rsidP="00952E08"/>
    <w:sectPr w:rsidR="004C4082" w:rsidRPr="00FF4109" w:rsidSect="004A10FF">
      <w:headerReference w:type="even" r:id="rId42"/>
      <w:headerReference w:type="default" r:id="rId43"/>
      <w:footerReference w:type="even" r:id="rId44"/>
      <w:footerReference w:type="default" r:id="rId45"/>
      <w:pgSz w:w="11910" w:h="16840"/>
      <w:pgMar w:top="1701" w:right="851" w:bottom="851" w:left="1134" w:header="425" w:footer="105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or" w:initials="A">
    <w:p w14:paraId="6889B0D1" w14:textId="77777777" w:rsidR="00952E08" w:rsidRDefault="00952E08" w:rsidP="00952E08">
      <w:r w:rsidRPr="5E08E88D">
        <w:rPr>
          <w:b/>
          <w:bCs/>
          <w:i/>
          <w:iCs/>
        </w:rPr>
        <w:t>ORIENTAÇÕES PARA USO DO MODELO – LEITURA OBRIGATÓRIA</w:t>
      </w:r>
      <w:r>
        <w:annotationRef/>
      </w:r>
    </w:p>
    <w:p w14:paraId="0551291B" w14:textId="77777777" w:rsidR="00952E08" w:rsidRDefault="00952E08" w:rsidP="00952E08">
      <w:r w:rsidRPr="5E08E88D">
        <w:rPr>
          <w:b/>
          <w:bCs/>
          <w:i/>
          <w:iCs/>
        </w:rPr>
        <w:t xml:space="preserve">1) </w:t>
      </w:r>
      <w:r w:rsidRPr="5E08E88D">
        <w:rPr>
          <w:i/>
          <w:iCs/>
        </w:rPr>
        <w:t xml:space="preserve">O presente modelo de Termo de Referência procura fornecer um ponto de partida para a definição do objeto e condições da contratação. </w:t>
      </w:r>
      <w:r w:rsidRPr="5E08E88D">
        <w:rPr>
          <w:b/>
          <w:bCs/>
          <w:i/>
          <w:iCs/>
        </w:rPr>
        <w:t>Este é o documento que mais terá variação de conteúdo, de acordo com as peculiaridades da demanda da Administração e do objeto a ser contratado.</w:t>
      </w:r>
      <w:r w:rsidRPr="5E08E88D">
        <w:rPr>
          <w:i/>
          <w:iCs/>
        </w:rPr>
        <w:t xml:space="preserve"> Assim, não se deve prender ao texto apresentado, mas sim trabalhá-lo à luz dos pontos fundamentais da contratação, sempre de forma clara e objetiva.</w:t>
      </w:r>
    </w:p>
    <w:p w14:paraId="15A2A8DC" w14:textId="77777777" w:rsidR="00952E08" w:rsidRDefault="00952E08" w:rsidP="00952E08">
      <w:r w:rsidRPr="5E08E88D">
        <w:rPr>
          <w:b/>
          <w:bCs/>
          <w:i/>
          <w:iCs/>
        </w:rPr>
        <w:t xml:space="preserve">2) </w:t>
      </w:r>
      <w:r w:rsidRPr="5E08E88D">
        <w:rPr>
          <w:i/>
          <w:iCs/>
        </w:rPr>
        <w:t xml:space="preserve">A redação em preto consiste no que se espera ser invariável. Ela até pode sofrer modificações a depender do caso concreto, mas não são disposições feitas para variar. Por essa razão, </w:t>
      </w:r>
      <w:r w:rsidRPr="5E08E88D">
        <w:rPr>
          <w:b/>
          <w:bCs/>
          <w:i/>
          <w:iCs/>
        </w:rPr>
        <w:t>quaisquer modificações nas partes em preto, sem marcação de itálico, devem necessariamente ser justificadas nos autos</w:t>
      </w:r>
      <w:r w:rsidRPr="5E08E88D">
        <w:rPr>
          <w:i/>
          <w:iCs/>
        </w:rPr>
        <w:t>, sem prejuízo de eventual consulta ao órgão de assessoramento jurídico respectivo, a depender da matéria.</w:t>
      </w:r>
    </w:p>
    <w:p w14:paraId="1C34AE4E" w14:textId="77777777" w:rsidR="00952E08" w:rsidRDefault="00952E08" w:rsidP="00952E08">
      <w:r w:rsidRPr="5E08E88D">
        <w:rPr>
          <w:b/>
          <w:bCs/>
          <w:i/>
          <w:iCs/>
        </w:rPr>
        <w:t>3) Os itens deste modelo destacados em vermelho itálico devem ser preenchidos ou adotados pelo órgão ou entidade pública contratante segundo critérios de oportunidade e conveniência</w:t>
      </w:r>
      <w:r w:rsidRPr="5E08E88D">
        <w:rPr>
          <w:i/>
          <w:iCs/>
        </w:rPr>
        <w:t>, de acordo com as peculiaridades do objeto e cuidando-se para que sejam reproduzidas as mesmas definições nos demais instrumentos da contratação (minuta de Termo de Contrato), para que não conflitem. São previsões feitas para variarem. Eventuais justificativas podem ser exigidas a depender do caso.</w:t>
      </w:r>
    </w:p>
    <w:p w14:paraId="2C0FAA86" w14:textId="77777777" w:rsidR="00952E08" w:rsidRDefault="00952E08" w:rsidP="00952E08">
      <w:r w:rsidRPr="5E08E88D">
        <w:rPr>
          <w:b/>
          <w:bCs/>
          <w:i/>
          <w:iCs/>
        </w:rPr>
        <w:t>4) Alguns itens receberam notas explicativas, destacadas para compreensão do agente ou setor responsável pela elaboração do Termo de Referência</w:t>
      </w:r>
      <w:r w:rsidRPr="5E08E88D">
        <w:rPr>
          <w:i/>
          <w:iCs/>
        </w:rPr>
        <w:t>, que deverão ser devidamente suprimidas ao se finalizar o documento na versão original.</w:t>
      </w:r>
    </w:p>
    <w:p w14:paraId="700D9564" w14:textId="77777777" w:rsidR="00952E08" w:rsidRDefault="00952E08" w:rsidP="00952E08">
      <w:r w:rsidRPr="5E08E88D">
        <w:rPr>
          <w:b/>
          <w:bCs/>
          <w:i/>
          <w:iCs/>
        </w:rPr>
        <w:t>5) Recomenda-se indicar no processo a versão (mês e ano) utilizada para elaboração da minuta</w:t>
      </w:r>
      <w:r w:rsidRPr="5E08E88D">
        <w:rPr>
          <w:i/>
          <w:iCs/>
        </w:rPr>
        <w:t>, em especial ao encaminhar o feito para análise jurídica. Tal informação consta no rodapé do documento. Essa indicação pode ocorrer expressamente no despacho de encaminhamento ou mantendo-se o rodapé na minuta encaminhada, conforme o caso. É um dado importante já que indica qual o parâmetro a ser utilizado em eventual checagem.</w:t>
      </w:r>
    </w:p>
    <w:p w14:paraId="54291ECE" w14:textId="77777777" w:rsidR="00952E08" w:rsidRDefault="00952E08" w:rsidP="00952E08">
      <w:r w:rsidRPr="5E08E88D">
        <w:rPr>
          <w:b/>
          <w:bCs/>
          <w:i/>
          <w:iCs/>
        </w:rPr>
        <w:t xml:space="preserve">6) </w:t>
      </w:r>
      <w:r w:rsidRPr="5E08E88D">
        <w:rPr>
          <w:i/>
          <w:iCs/>
        </w:rPr>
        <w:t>O Termo de Referência deve ser elaborado também no Sistema TR Digital ou em ferramenta informatizada própria (art. 4º da IN Seges/ME nº 81, de 25 de novembro de 2022).</w:t>
      </w:r>
    </w:p>
    <w:p w14:paraId="488F99E1" w14:textId="77777777" w:rsidR="00952E08" w:rsidRDefault="00952E08" w:rsidP="00952E08">
      <w:r w:rsidRPr="5E08E88D">
        <w:rPr>
          <w:b/>
          <w:bCs/>
          <w:i/>
          <w:iCs/>
        </w:rPr>
        <w:t xml:space="preserve">7) </w:t>
      </w:r>
      <w:r w:rsidRPr="5E08E88D">
        <w:rPr>
          <w:i/>
          <w:iCs/>
        </w:rPr>
        <w:t>A elaboração do TR deve levar em conta o art. 3º, inciso I, da IN</w:t>
      </w:r>
    </w:p>
    <w:p w14:paraId="480F2CCC" w14:textId="77777777" w:rsidR="00952E08" w:rsidRDefault="00952E08" w:rsidP="00952E08">
      <w:r w:rsidRPr="5E08E88D">
        <w:rPr>
          <w:i/>
          <w:iCs/>
        </w:rPr>
        <w:t>Seges/ME nº 81, de 2022, que traz a seguinte definição de TR: “documento necessário para a contratação de bens e serviços, que deve conter os parâmetros e elementos descritivos estabelecidos no art. 9º, sendo</w:t>
      </w:r>
    </w:p>
    <w:p w14:paraId="093662B5" w14:textId="77777777" w:rsidR="00952E08" w:rsidRDefault="00952E08" w:rsidP="00952E08">
      <w:r w:rsidRPr="5E08E88D">
        <w:rPr>
          <w:i/>
          <w:iCs/>
        </w:rPr>
        <w:t>documento constitutivo da fase preparatória da instrução do processo de licitação”.</w:t>
      </w:r>
    </w:p>
    <w:p w14:paraId="06757001" w14:textId="77777777" w:rsidR="00952E08" w:rsidRDefault="00952E08" w:rsidP="00952E08">
      <w:r w:rsidRPr="5E08E88D">
        <w:rPr>
          <w:b/>
          <w:bCs/>
          <w:i/>
          <w:iCs/>
        </w:rPr>
        <w:t xml:space="preserve">8) </w:t>
      </w:r>
      <w:r w:rsidRPr="5E08E88D">
        <w:rPr>
          <w:i/>
          <w:iCs/>
        </w:rPr>
        <w:t>A não utilização dos modelos de TR instituídos pela Secretaria de Gestão e Inovação, do Ministério da Gestão e da Inovação em Serviços Públicos deve ser justificada por escrito, com anexação ao respectivo processo de contratação, conforme art. 19, §2º, da</w:t>
      </w:r>
    </w:p>
    <w:p w14:paraId="62569D52" w14:textId="77777777" w:rsidR="00952E08" w:rsidRDefault="00952E08" w:rsidP="00952E08">
      <w:r w:rsidRPr="5E08E88D">
        <w:rPr>
          <w:i/>
          <w:iCs/>
        </w:rPr>
        <w:t>Lei nº 14.133, de 2021 e art. 9º, §3º da IN Seges/ME nº 81, de 2022.</w:t>
      </w:r>
    </w:p>
    <w:p w14:paraId="2FDE2D27" w14:textId="77777777" w:rsidR="00952E08" w:rsidRDefault="00952E08" w:rsidP="00952E08">
      <w:r w:rsidRPr="5E08E88D">
        <w:rPr>
          <w:b/>
          <w:bCs/>
          <w:i/>
          <w:iCs/>
        </w:rPr>
        <w:t xml:space="preserve">9) </w:t>
      </w:r>
      <w:r w:rsidRPr="5E08E88D">
        <w:rPr>
          <w:i/>
          <w:iCs/>
        </w:rPr>
        <w:t>A fim de aprimorar as atividades da Administração, a elaboração dos estudos preliminares e do TR deve levar em conta o relatório final com informações de contratação anterior, nos termos da alínea “d” do inciso VI do § 3º do art. 174 da Lei nº 14.133, de 2021 e inciso VI do art. 21 do Decreto nº 11.246, de 27 de outubro de 2022. Caso referido relatório não tenha sido elaborado, o processo deve ser enriquecido com essa informação,</w:t>
      </w:r>
    </w:p>
    <w:p w14:paraId="79770D40" w14:textId="77777777" w:rsidR="00952E08" w:rsidRDefault="00952E08" w:rsidP="00952E08">
      <w:r w:rsidRPr="5E08E88D">
        <w:rPr>
          <w:i/>
          <w:iCs/>
        </w:rPr>
        <w:t>devendo o gestor do contrato cuidar de elaborá-lo ao fim da contratação que será efetivada.</w:t>
      </w:r>
    </w:p>
    <w:p w14:paraId="67445984" w14:textId="77777777" w:rsidR="00952E08" w:rsidRDefault="00952E08" w:rsidP="00952E08">
      <w:r w:rsidRPr="5E08E88D">
        <w:rPr>
          <w:b/>
          <w:bCs/>
          <w:i/>
          <w:iCs/>
        </w:rPr>
        <w:t>10)</w:t>
      </w:r>
      <w:r w:rsidRPr="5E08E88D">
        <w:rPr>
          <w:i/>
          <w:iCs/>
        </w:rPr>
        <w:t xml:space="preserve"> Este modelo poderá ser adotado por todos os entes federados, conforme estabelece o inciso IV do art. 19 da Lei nº 14.133, de 1º de abril de 2021, com a realização das adequações eventualmente necessárias, sobretudo em virtude da possível existência de normas locais específicas, que poderão ser consideradas no caso concreto.</w:t>
      </w:r>
    </w:p>
    <w:p w14:paraId="442B142A" w14:textId="77777777" w:rsidR="00952E08" w:rsidRDefault="00952E08" w:rsidP="00952E08">
      <w:r w:rsidRPr="5E08E88D">
        <w:rPr>
          <w:b/>
          <w:bCs/>
          <w:i/>
          <w:iCs/>
        </w:rPr>
        <w:t xml:space="preserve">11) </w:t>
      </w:r>
      <w:r w:rsidRPr="5E08E88D">
        <w:rPr>
          <w:i/>
          <w:iCs/>
        </w:rPr>
        <w:t>Quaisquer sugestões de</w:t>
      </w:r>
    </w:p>
    <w:p w14:paraId="43B168B9" w14:textId="77777777" w:rsidR="00952E08" w:rsidRDefault="00952E08" w:rsidP="00952E08">
      <w:r w:rsidRPr="5E08E88D">
        <w:rPr>
          <w:i/>
          <w:iCs/>
        </w:rPr>
        <w:t xml:space="preserve">alteração poderão ser encaminhadas ao e-mail: </w:t>
      </w:r>
      <w:hyperlink r:id="rId1">
        <w:r w:rsidRPr="5E08E88D">
          <w:rPr>
            <w:rStyle w:val="Hyperlink"/>
            <w:i/>
            <w:iCs/>
          </w:rPr>
          <w:t>cgu.modeloscontratacao@agu.gov.br</w:t>
        </w:r>
      </w:hyperlink>
      <w:r w:rsidRPr="5E08E88D">
        <w:rPr>
          <w:i/>
          <w:iCs/>
        </w:rPr>
        <w:t>.</w:t>
      </w:r>
    </w:p>
  </w:comment>
  <w:comment w:id="2" w:author="Autor" w:initials="A">
    <w:p w14:paraId="080B5667" w14:textId="77777777" w:rsidR="00952E08" w:rsidRDefault="00952E08" w:rsidP="00952E08">
      <w:r w:rsidRPr="5E08E88D">
        <w:rPr>
          <w:b/>
          <w:bCs/>
          <w:i/>
          <w:iCs/>
        </w:rPr>
        <w:t>Nota Explicativa 1:</w:t>
      </w:r>
      <w:r w:rsidRPr="5E08E88D">
        <w:rPr>
          <w:i/>
          <w:iCs/>
        </w:rPr>
        <w:t xml:space="preserve"> A tabela é meramente ilustrativa, podendo ser livremente alterada conforme o caso concreto. </w:t>
      </w:r>
      <w:r>
        <w:annotationRef/>
      </w:r>
    </w:p>
    <w:p w14:paraId="35FE750D" w14:textId="77777777" w:rsidR="00952E08" w:rsidRDefault="00952E08" w:rsidP="00952E08"/>
    <w:p w14:paraId="7DDD4012" w14:textId="77777777" w:rsidR="00952E08" w:rsidRDefault="00952E08" w:rsidP="00952E08">
      <w:r w:rsidRPr="5E08E88D">
        <w:rPr>
          <w:b/>
          <w:bCs/>
          <w:i/>
          <w:iCs/>
        </w:rPr>
        <w:t>Nota Explicativa 2:</w:t>
      </w:r>
      <w:r w:rsidRPr="5E08E88D">
        <w:rPr>
          <w:i/>
          <w:iCs/>
        </w:rPr>
        <w:t xml:space="preserve"> A justificativa para o parcelamento ou não do objeto deve constar do Estudo Técnico Preliminar (art. 18, §1º, inciso VIII, da Lei nº 14.133/, de 2021, e art. 9º, inciso VII, da Instrução Normativa SEGES nº 58, de 8 de agosto de 2022). As compras, como regra, devem atender ao parcelamento quando for tecnicamente viável e economicamente vantajoso (art. 40, inciso V, alínea b, da Lei nº 14.133, de 2021). Devem também ser observadas as regras do artigo 40, §§ 2º e 3º, da Lei nº 14.133, de 2021, que trata de aspectos a serem considerados na aplicação do princípio do parcelamento.</w:t>
      </w:r>
    </w:p>
    <w:p w14:paraId="2BEFF644" w14:textId="77777777" w:rsidR="00952E08" w:rsidRDefault="00952E08" w:rsidP="00952E08">
      <w:r w:rsidRPr="5E08E88D">
        <w:rPr>
          <w:i/>
          <w:iCs/>
        </w:rPr>
        <w:t xml:space="preserve"> </w:t>
      </w:r>
    </w:p>
    <w:p w14:paraId="2FC74EC5" w14:textId="77777777" w:rsidR="00952E08" w:rsidRDefault="00952E08" w:rsidP="00952E08">
      <w:r w:rsidRPr="5E08E88D">
        <w:rPr>
          <w:b/>
          <w:bCs/>
          <w:i/>
          <w:iCs/>
        </w:rPr>
        <w:t>Nota Explicativa 3:</w:t>
      </w:r>
      <w:r w:rsidRPr="5E08E88D">
        <w:rPr>
          <w:i/>
          <w:iCs/>
        </w:rPr>
        <w:t xml:space="preserve"> O Parcelamento usualmente não é ponto verificado em contratações diretas, já que estas podem não ser feitas em regime competitivo. No entanto, no caso de se tratar de dispensa de pequeno valor feita pelo sistema de dispensa eletrônica ou qualquer outro caso de dispensa submetida a algum regime competitivo, a análise sobre o parcelamento deverá ocorrer nos moldes mencionados.</w:t>
      </w:r>
    </w:p>
    <w:p w14:paraId="0C259AA9" w14:textId="77777777" w:rsidR="00952E08" w:rsidRDefault="00952E08" w:rsidP="00952E08"/>
    <w:p w14:paraId="19AAF6A0" w14:textId="77777777" w:rsidR="00952E08" w:rsidRDefault="00952E08" w:rsidP="00952E08">
      <w:r w:rsidRPr="5E08E88D">
        <w:rPr>
          <w:b/>
          <w:bCs/>
          <w:i/>
          <w:iCs/>
        </w:rPr>
        <w:t>Nota Explicativa 4:</w:t>
      </w:r>
      <w:r w:rsidRPr="5E08E88D">
        <w:rPr>
          <w:i/>
          <w:iCs/>
        </w:rPr>
        <w:t xml:space="preserve"> </w:t>
      </w:r>
      <w:r w:rsidRPr="004E347A">
        <w:rPr>
          <w:i/>
          <w:iCs/>
          <w:highlight w:val="green"/>
        </w:rPr>
        <w:t>Os itens</w:t>
      </w:r>
      <w:r w:rsidRPr="5E08E88D">
        <w:rPr>
          <w:i/>
          <w:iCs/>
        </w:rPr>
        <w:t xml:space="preserve"> de valor correspondente a até R$ 80.000,00 deve ser garantida a participação exclusiva de microempresa e Empresa de Pequeno Porte (ME e EPP), conforme artigo 48, inciso I, da Lei Complementar nº 123, de 14 de dezembro de 2006, e artigo 6º do Decreto nº 8.538, de 06 de outubro de 2015).</w:t>
      </w:r>
    </w:p>
  </w:comment>
  <w:comment w:id="4" w:author="Autor" w:initials="A">
    <w:p w14:paraId="4EC41890" w14:textId="77777777" w:rsidR="00952E08" w:rsidRDefault="00952E08" w:rsidP="00952E08">
      <w:pPr>
        <w:pStyle w:val="Textodecomentrio"/>
      </w:pPr>
      <w:r>
        <w:rPr>
          <w:rStyle w:val="Refdecomentrio"/>
        </w:rPr>
        <w:annotationRef/>
      </w:r>
      <w:r>
        <w:rPr>
          <w:b/>
          <w:bCs/>
          <w:i/>
          <w:iCs/>
          <w:color w:val="000000"/>
        </w:rPr>
        <w:t xml:space="preserve">Nota Explicativa: Vedação quanto à aquisição de itens de luxo - </w:t>
      </w:r>
      <w:r>
        <w:rPr>
          <w:i/>
          <w:iCs/>
          <w:color w:val="000000"/>
        </w:rPr>
        <w:t xml:space="preserve">O artigo 20 da Lei nº 14.133, de 2021, estabelece que os itens de consumo deverão ser de qualidade comum, não superior à necessária para cumprir as finalidades às quais se destinam, vedada a aquisição de artigos de luxo. O Decreto nº 10.818, de 2021 regulamentou o tema, devendo as vedações nele estabelecidas serem respeitadas pelo administrador público. </w:t>
      </w:r>
    </w:p>
  </w:comment>
  <w:comment w:id="5" w:author="Autor" w:initials="A">
    <w:p w14:paraId="53EF2E3E" w14:textId="77777777" w:rsidR="00952E08" w:rsidRDefault="00952E08" w:rsidP="00952E08">
      <w:r w:rsidRPr="5E08E88D">
        <w:rPr>
          <w:b/>
          <w:bCs/>
          <w:i/>
          <w:iCs/>
        </w:rPr>
        <w:t>Nota Explicativa 1:</w:t>
      </w:r>
      <w:r w:rsidRPr="5E08E88D">
        <w:rPr>
          <w:i/>
          <w:iCs/>
        </w:rPr>
        <w:t xml:space="preserve"> Enquadramento da Contratação para fins de vigência: - Há três tipos de contratação para aquisição de bens, no que tange à vigência:  </w:t>
      </w:r>
      <w:r>
        <w:annotationRef/>
      </w:r>
    </w:p>
    <w:p w14:paraId="19CDE9E0" w14:textId="77777777" w:rsidR="00952E08" w:rsidRDefault="00952E08" w:rsidP="00952E08"/>
    <w:p w14:paraId="0B91F8B1" w14:textId="77777777" w:rsidR="00952E08" w:rsidRDefault="00952E08" w:rsidP="00952E08">
      <w:r w:rsidRPr="5E08E88D">
        <w:rPr>
          <w:i/>
          <w:iCs/>
        </w:rPr>
        <w:t xml:space="preserve">a) Há fornecimento não-contínuo quando se trata de uma entrega de bens sem que haja uma demanda de caráter permanente. Uma vez finalizada a entrega, resolve-se a necessidade que deu azo ao contrato. Estes usam o art. 105 da Lei nº 14.133, de 2021, como fundamento e partem apenas de créditos do exercício corrente, salvo se inscritos no Plano Plurianual. </w:t>
      </w:r>
    </w:p>
    <w:p w14:paraId="79FE4842" w14:textId="77777777" w:rsidR="00952E08" w:rsidRDefault="00952E08" w:rsidP="00952E08">
      <w:r w:rsidRPr="5E08E88D">
        <w:rPr>
          <w:i/>
          <w:iCs/>
        </w:rPr>
        <w:t xml:space="preserve">b) Há fornecimento contínuo quando a entrega dos bens é uma necessidade permanente. É o caso, por exemplo, de unidades hospitalares que demandam sempre insumos de saúde específicos para seu próprio funcionamento contínuo. Nessas situações, findado o contrato, haverá sua substituição por um novo e assim, sucessivamente, pois a necessidade em si é permanente. Contratações dessa natureza são atendidas pelo art. 106 da Lei nº 14.133, de 2021. </w:t>
      </w:r>
    </w:p>
    <w:p w14:paraId="2B270164" w14:textId="77777777" w:rsidR="00952E08" w:rsidRDefault="00952E08" w:rsidP="00952E08">
      <w:r w:rsidRPr="5E08E88D">
        <w:rPr>
          <w:i/>
          <w:iCs/>
        </w:rPr>
        <w:t xml:space="preserve">c) Por fim, caso se trate de contratação emergencial, a vigência é regida pelo art. 75, VIII, da Lei nº 14.133, de 2021, estando limitada a um ano da emergência e não sendo passível de prorrogação. </w:t>
      </w:r>
    </w:p>
    <w:p w14:paraId="126D2515" w14:textId="77777777" w:rsidR="00952E08" w:rsidRDefault="00952E08" w:rsidP="00952E08">
      <w:r w:rsidRPr="5E08E88D">
        <w:rPr>
          <w:i/>
          <w:iCs/>
        </w:rPr>
        <w:t xml:space="preserve">Incumbe à área que elabora o Termo de Referência enquadrar a contratação como não-contínua ou contínua (ou emergencial, se for o caso). Reputando-a contínua, deve apor a justificativa para tal enquadramento, conforme orientações no item específico abaixo. </w:t>
      </w:r>
    </w:p>
    <w:p w14:paraId="0034629C" w14:textId="77777777" w:rsidR="00952E08" w:rsidRDefault="00952E08" w:rsidP="00952E08"/>
    <w:p w14:paraId="74B7B530" w14:textId="77777777" w:rsidR="00952E08" w:rsidRDefault="00952E08" w:rsidP="00952E08">
      <w:r w:rsidRPr="5E08E88D">
        <w:rPr>
          <w:b/>
          <w:bCs/>
          <w:i/>
          <w:iCs/>
        </w:rPr>
        <w:t>Nota Explicativa 2:</w:t>
      </w:r>
      <w:r w:rsidRPr="5E08E88D">
        <w:rPr>
          <w:i/>
          <w:iCs/>
        </w:rPr>
        <w:t xml:space="preserve"> Prazo de Vigência e Empenho - art. 105 da Lei nº 14.133, de 2021 – Fornecimento Não-Contínuo: Em caso de fornecimento não contínuo, o prazo de vigência deve ser o suficiente para a entrega do objeto e adoção das providências previstas no contrato, sendo a contratação limitada pelos respectivos créditos orçamentários.  </w:t>
      </w:r>
    </w:p>
    <w:p w14:paraId="46AEED52" w14:textId="77777777" w:rsidR="00952E08" w:rsidRDefault="00952E08" w:rsidP="00952E08">
      <w:r w:rsidRPr="5E08E88D">
        <w:rPr>
          <w:i/>
          <w:iCs/>
        </w:rPr>
        <w:t>Uma contratação que não tenha previsão no Plano Plurianual deve ter a sua integralidade empenhada antes ou de modo concomitante à celebração, conforme Lei nº 4.320, de 17 de março 1964, e Decreto nº 93.872, de 23 de dezembro de 1986, e a partir de tal empenho ter a vigência necessária prevista, utilizando-se de restos a pagar, se for o caso (art. 30, §2º do Decreto nº 93.872, de 1986).</w:t>
      </w:r>
    </w:p>
    <w:p w14:paraId="3FD346D2" w14:textId="77777777" w:rsidR="00952E08" w:rsidRDefault="00952E08" w:rsidP="00952E08">
      <w:r w:rsidRPr="5E08E88D">
        <w:rPr>
          <w:i/>
          <w:iCs/>
        </w:rPr>
        <w:t xml:space="preserve">Já a contratação prevista no Plano Plurianual pode ter empenhos em anos distintos, considerando a despesa de cada exercício, apenas quanto ao período abrangido pelo PPA. </w:t>
      </w:r>
    </w:p>
    <w:p w14:paraId="2750AC93" w14:textId="77777777" w:rsidR="00952E08" w:rsidRDefault="00952E08" w:rsidP="00952E08"/>
    <w:p w14:paraId="5CF9456A" w14:textId="77777777" w:rsidR="00952E08" w:rsidRDefault="00952E08" w:rsidP="00952E08">
      <w:r w:rsidRPr="5E08E88D">
        <w:rPr>
          <w:b/>
          <w:bCs/>
          <w:i/>
          <w:iCs/>
        </w:rPr>
        <w:t>Nota Explicativa 3:</w:t>
      </w:r>
      <w:r w:rsidRPr="5E08E88D">
        <w:rPr>
          <w:i/>
          <w:iCs/>
        </w:rPr>
        <w:t xml:space="preserve"> Prazo de Vigência – arts. 106 e 107 - Fornecimento Contínuo - A definição de fornecimento contínuo consta no art. 6º, XV da Lei nº 14.133, de 2021, sendo as “compras realizadas pela Administração Pública para a manutenção da atividade administrativa, decorrentes de necessidades permanentes ou prolongadas”. </w:t>
      </w:r>
    </w:p>
    <w:p w14:paraId="61E8CE52" w14:textId="77777777" w:rsidR="00952E08" w:rsidRDefault="00952E08" w:rsidP="00952E08">
      <w:r w:rsidRPr="5E08E88D">
        <w:rPr>
          <w:i/>
          <w:iCs/>
        </w:rPr>
        <w:t xml:space="preserve">A utilização do prazo de vigência plurianual no caso de fornecimento contínuo é condicionada ao ateste de maior vantagem econômica, a ser feita pela autoridade competente no processo respectivo, conforme art. 106, I da Lei nº 14.133, de 2021. </w:t>
      </w:r>
    </w:p>
    <w:p w14:paraId="3B3FFF53" w14:textId="77777777" w:rsidR="00952E08" w:rsidRDefault="00952E08" w:rsidP="00952E08">
      <w:r w:rsidRPr="5E08E88D">
        <w:rPr>
          <w:i/>
          <w:iCs/>
        </w:rPr>
        <w:t xml:space="preserve">De acordo com o artigo 107 da Lei nº 14.133, de 2021, será possível que contratos de fornecimento contínuo sejam prorrogados por até 10 anos, desde que haja previsão no aviso de dispensa ou no próprio contrato de que a autoridade competente ateste que as condições e os preços permanecem vantajosos para a Administração, permitida a negociação com o contratado ou a extinção contratual sem ônus para qualquer das partes. </w:t>
      </w:r>
    </w:p>
    <w:p w14:paraId="2132DD55" w14:textId="77777777" w:rsidR="00952E08" w:rsidRDefault="00952E08" w:rsidP="00952E08"/>
    <w:p w14:paraId="3761D8FA" w14:textId="77777777" w:rsidR="00952E08" w:rsidRDefault="00952E08" w:rsidP="00952E08">
      <w:r w:rsidRPr="5E08E88D">
        <w:rPr>
          <w:b/>
          <w:bCs/>
          <w:i/>
          <w:iCs/>
        </w:rPr>
        <w:t>Nota Explicativa 4:</w:t>
      </w:r>
      <w:r w:rsidRPr="5E08E88D">
        <w:rPr>
          <w:i/>
          <w:iCs/>
        </w:rPr>
        <w:t xml:space="preserve"> Prazo de Vigência – art. 75, VIII – Dispensa Emergencial: Independentemente de ser fornecimento de natureza contínua ou não, a dispensa emergencial ou por calamidade baseada no art. 75, VIII é limitada a um ano, sem a possibilidade de prorrogação. Inobstante possa-se arguir seja possível contratar em prazo menor e prorrogar até o limite de um ano, recomenda-se, por cautela, face a redação literal, já firmar o contrato por um prazo estimado, considerando a inviabilidade de prorrogação. </w:t>
      </w:r>
    </w:p>
    <w:p w14:paraId="3FCDB328" w14:textId="77777777" w:rsidR="00952E08" w:rsidRDefault="00952E08" w:rsidP="00952E08">
      <w:r w:rsidRPr="5E08E88D">
        <w:rPr>
          <w:i/>
          <w:iCs/>
        </w:rPr>
        <w:t xml:space="preserve">Atentar, por fim, para a vedação de recontratação de empresa já contratada com base no disposto neste inciso e para a necessidade de se adotarem as providências necessárias para a conclusão do processo licitatório, sem prejuízo de apuração de responsabilidade dos agentes públicos que deram causa à situação emergencial, conforme previsão legal.  </w:t>
      </w:r>
    </w:p>
    <w:p w14:paraId="515ED22F" w14:textId="77777777" w:rsidR="00952E08" w:rsidRDefault="00952E08" w:rsidP="00952E08"/>
    <w:p w14:paraId="3DB227F2" w14:textId="77777777" w:rsidR="00952E08" w:rsidRDefault="00952E08" w:rsidP="00952E08">
      <w:r w:rsidRPr="5E08E88D">
        <w:rPr>
          <w:b/>
          <w:bCs/>
          <w:i/>
          <w:iCs/>
        </w:rPr>
        <w:t>Nota Explicativa 5:</w:t>
      </w:r>
      <w:r w:rsidRPr="5E08E88D">
        <w:rPr>
          <w:i/>
          <w:iCs/>
        </w:rPr>
        <w:t xml:space="preserve"> Vigência X Valores para fins de Dispensa de pequeno valor: Atentar para o disposto no art. 75, §1º segundo o qual serão observados para os fins de aferição dos valores para a dispensa do art. 75, I e II o “somatório do que for despendido no exercício financeiro pela respectiva unidade gestora”. Desse modo, o referencial temporal passa a ser o gasto efetivo no período anual.  </w:t>
      </w:r>
    </w:p>
    <w:p w14:paraId="76B344B4" w14:textId="77777777" w:rsidR="00952E08" w:rsidRDefault="00952E08" w:rsidP="00952E08">
      <w:r w:rsidRPr="5E08E88D">
        <w:rPr>
          <w:i/>
          <w:iCs/>
        </w:rPr>
        <w:t xml:space="preserve">Deve-se observar o quanto foi efetivamente dispendido no exercício financeiro com objetos na mesma natureza (75, §1º, II) pela Unidade Gestora e então somar com o que se espera gastar, efetivamente, com o contrato. Tal soma, em tese e na prática, não pode ultrapassar o limite de dispensa para que seja possível o seu uso. Tal cálculo permite, por exemplo, contratos de cinco anos com valor total muito maior do que o limite para dispensa, desde que o dispêndio anual não o seja. </w:t>
      </w:r>
    </w:p>
  </w:comment>
  <w:comment w:id="8" w:author="Autor" w:initials="A">
    <w:p w14:paraId="2F73D351" w14:textId="77777777" w:rsidR="00952E08" w:rsidRDefault="00952E08" w:rsidP="00952E08">
      <w:r w:rsidRPr="5E08E88D">
        <w:rPr>
          <w:b/>
          <w:bCs/>
          <w:i/>
          <w:iCs/>
        </w:rPr>
        <w:t>Nota Explicativa 1:</w:t>
      </w:r>
      <w:r w:rsidRPr="5E08E88D">
        <w:rPr>
          <w:i/>
          <w:iCs/>
        </w:rPr>
        <w:t xml:space="preserve"> Artigo 18, §1º, da Lei nº 14.133, de 2021, contém a seguinte redação: </w:t>
      </w:r>
      <w:r>
        <w:annotationRef/>
      </w:r>
    </w:p>
    <w:p w14:paraId="097E846D" w14:textId="77777777" w:rsidR="00952E08" w:rsidRDefault="00952E08" w:rsidP="00952E08">
      <w:r w:rsidRPr="5E08E88D">
        <w:rPr>
          <w:i/>
          <w:iCs/>
        </w:rPr>
        <w:t>§ 1º O estudo técnico</w:t>
      </w:r>
    </w:p>
    <w:p w14:paraId="55AAED56" w14:textId="77777777" w:rsidR="00952E08" w:rsidRDefault="00952E08" w:rsidP="00952E08">
      <w:r w:rsidRPr="5E08E88D">
        <w:rPr>
          <w:i/>
          <w:iCs/>
        </w:rPr>
        <w:t>preliminar a que se refere o inciso I do caput deste artigo deverá evidenciar o</w:t>
      </w:r>
    </w:p>
    <w:p w14:paraId="195FEEBC" w14:textId="77777777" w:rsidR="00952E08" w:rsidRDefault="00952E08" w:rsidP="00952E08">
      <w:r w:rsidRPr="5E08E88D">
        <w:rPr>
          <w:i/>
          <w:iCs/>
        </w:rPr>
        <w:t>problema a ser resolvido e a sua melhor solução, de modo a permitir a avaliação da viabilidade técnica e econômica da contratação, e conterá os seguintes elementos:</w:t>
      </w:r>
    </w:p>
    <w:p w14:paraId="10566AC1" w14:textId="77777777" w:rsidR="00952E08" w:rsidRDefault="00952E08" w:rsidP="00952E08">
      <w:r w:rsidRPr="5E08E88D">
        <w:rPr>
          <w:i/>
          <w:iCs/>
        </w:rPr>
        <w:t xml:space="preserve">(...)VII - descrição da solução como um todo, inclusive das exigências relacionadas à manutenção e à assistência técnica, quando for o caso. </w:t>
      </w:r>
    </w:p>
    <w:p w14:paraId="5E4A3A64" w14:textId="77777777" w:rsidR="00952E08" w:rsidRDefault="00952E08" w:rsidP="00952E08"/>
    <w:p w14:paraId="60AEE4B8" w14:textId="77777777" w:rsidR="00952E08" w:rsidRDefault="00952E08" w:rsidP="00952E08">
      <w:r w:rsidRPr="5E08E88D">
        <w:rPr>
          <w:i/>
          <w:iCs/>
        </w:rPr>
        <w:t>Ver também Instrução Normativa SEGES/ME nº 58, de 08 de agosto de 2022 (ETP), art. 3º, inciso I e art. 6º.</w:t>
      </w:r>
    </w:p>
    <w:p w14:paraId="3089513E" w14:textId="77777777" w:rsidR="00952E08" w:rsidRDefault="00952E08" w:rsidP="00952E08">
      <w:r w:rsidRPr="5E08E88D">
        <w:rPr>
          <w:i/>
          <w:iCs/>
        </w:rPr>
        <w:t>Caso haja a necessidade de modificação da descrição em relação à originalmente feita nos estudos técnicos preliminares, recomenda-se essa redação, para que passe a contemplar essa alteração.</w:t>
      </w:r>
    </w:p>
    <w:p w14:paraId="1EFE8EAB" w14:textId="77777777" w:rsidR="00952E08" w:rsidRDefault="00952E08" w:rsidP="00952E08"/>
    <w:p w14:paraId="26B3F31D" w14:textId="77777777" w:rsidR="00952E08" w:rsidRDefault="00952E08" w:rsidP="00952E08">
      <w:r w:rsidRPr="5E08E88D">
        <w:rPr>
          <w:i/>
          <w:iCs/>
        </w:rPr>
        <w:t>A Instrução Normativa Seges/ME nº 81, de 2022, também trata da necessidade de descrição da solução como um todo, considerado todo o ciclo de vida do objeto, com preferência a arranjos inovadores em sede de economia circular, conforme seu artigo 9º, inciso III.</w:t>
      </w:r>
    </w:p>
    <w:p w14:paraId="608273D4" w14:textId="77777777" w:rsidR="00952E08" w:rsidRDefault="00952E08" w:rsidP="00952E08"/>
    <w:p w14:paraId="07A2731F" w14:textId="77777777" w:rsidR="00952E08" w:rsidRDefault="00952E08" w:rsidP="00952E08">
      <w:r w:rsidRPr="5E08E88D">
        <w:rPr>
          <w:b/>
          <w:bCs/>
          <w:i/>
          <w:iCs/>
        </w:rPr>
        <w:t>Nota Explicativa 2:</w:t>
      </w:r>
      <w:r w:rsidRPr="5E08E88D">
        <w:rPr>
          <w:i/>
          <w:iCs/>
        </w:rPr>
        <w:t xml:space="preserve"> A Instrução Normativa SEGES/ME nº 73, de 30 de setembro de 2022, em seu art. 9º, §1º, estabelece que os custos indiretos, relacionados às despesas de manutenção, utilização, reposição,</w:t>
      </w:r>
    </w:p>
    <w:p w14:paraId="7E271D56" w14:textId="77777777" w:rsidR="00952E08" w:rsidRDefault="00952E08" w:rsidP="00952E08">
      <w:r w:rsidRPr="5E08E88D">
        <w:rPr>
          <w:i/>
          <w:iCs/>
        </w:rPr>
        <w:t>depreciação e impacto ambiental, entre outros fatores vinculados ao seu ciclo de vida, poderão ser considerados para a definição do menor dispêndio, sempre que objetivamente mensuráveis, conforme parâmetros definidos em regulamento, de acordo com o § 1º do art. 34 da Lei nº 14.133, de 2021. Logo, a definição do menor dispêndio para Administração deve levar em consideração esse aspecto.</w:t>
      </w:r>
    </w:p>
    <w:p w14:paraId="3D9D6B79" w14:textId="77777777" w:rsidR="00952E08" w:rsidRDefault="00952E08" w:rsidP="00952E08"/>
    <w:p w14:paraId="5B30C4EA" w14:textId="77777777" w:rsidR="00952E08" w:rsidRDefault="00952E08" w:rsidP="00952E08">
      <w:r w:rsidRPr="5E08E88D">
        <w:rPr>
          <w:b/>
          <w:bCs/>
          <w:i/>
          <w:iCs/>
        </w:rPr>
        <w:t xml:space="preserve">Nota Explicativa 3: </w:t>
      </w:r>
      <w:r w:rsidRPr="5E08E88D">
        <w:rPr>
          <w:i/>
          <w:iCs/>
        </w:rPr>
        <w:t>O</w:t>
      </w:r>
    </w:p>
    <w:p w14:paraId="78FF3B8B" w14:textId="77777777" w:rsidR="00952E08" w:rsidRDefault="00952E08" w:rsidP="00952E08">
      <w:r w:rsidRPr="5E08E88D">
        <w:rPr>
          <w:i/>
          <w:iCs/>
        </w:rPr>
        <w:t>objeto deve ser descrito de forma detalhada, com todas as especificações</w:t>
      </w:r>
    </w:p>
    <w:p w14:paraId="729C2AF8" w14:textId="77777777" w:rsidR="00952E08" w:rsidRDefault="00952E08" w:rsidP="00952E08">
      <w:r w:rsidRPr="5E08E88D">
        <w:rPr>
          <w:i/>
          <w:iCs/>
        </w:rPr>
        <w:t>necessárias e suficientes para garantir a qualidade da contração, cuidando-se</w:t>
      </w:r>
    </w:p>
    <w:p w14:paraId="6C296673" w14:textId="77777777" w:rsidR="00952E08" w:rsidRDefault="00952E08" w:rsidP="00952E08">
      <w:r w:rsidRPr="5E08E88D">
        <w:rPr>
          <w:i/>
          <w:iCs/>
        </w:rPr>
        <w:t>para que não sejam admitidas, previstas ou incluídas condições impertinentes ou irrelevantes para o específico objeto do contrato.</w:t>
      </w:r>
    </w:p>
    <w:p w14:paraId="0B4C3B72" w14:textId="77777777" w:rsidR="00952E08" w:rsidRDefault="00952E08" w:rsidP="00952E08">
      <w:r w:rsidRPr="5E08E88D">
        <w:rPr>
          <w:i/>
          <w:iCs/>
        </w:rPr>
        <w:t>Deve-se levar em consideração as normas técnicas eventualmente existentes, elaboradas pela Associação Brasileira de Normas Técnicas – ABNT, quanto a requisitos mínimos de qualidade, utilidade, resistência e segurança, nos termos da Lei n° 4.150, de 21 de novembro de 1962.</w:t>
      </w:r>
    </w:p>
    <w:p w14:paraId="06914D06" w14:textId="77777777" w:rsidR="00952E08" w:rsidRDefault="00952E08" w:rsidP="00952E08"/>
    <w:p w14:paraId="0F449309" w14:textId="77777777" w:rsidR="00952E08" w:rsidRDefault="00952E08" w:rsidP="00952E08">
      <w:r w:rsidRPr="5E08E88D">
        <w:rPr>
          <w:b/>
          <w:bCs/>
          <w:i/>
          <w:iCs/>
        </w:rPr>
        <w:t xml:space="preserve">Nota Explicativa 4: </w:t>
      </w:r>
      <w:r w:rsidRPr="5E08E88D">
        <w:rPr>
          <w:i/>
          <w:iCs/>
        </w:rPr>
        <w:t>O art. 6º, XXIII, “c”, da Lei nº 14.133, de 2021, e o art. 9º, IIII, da Instrução Normativa Seges/ME nº 81, de 2022,</w:t>
      </w:r>
    </w:p>
    <w:p w14:paraId="54C9680E" w14:textId="77777777" w:rsidR="00952E08" w:rsidRDefault="00952E08" w:rsidP="00952E08">
      <w:r w:rsidRPr="5E08E88D">
        <w:rPr>
          <w:i/>
          <w:iCs/>
        </w:rPr>
        <w:t>dispõem que a descrição da solução como um todo deve considerar todo o</w:t>
      </w:r>
    </w:p>
    <w:p w14:paraId="4DA9CC3C" w14:textId="77777777" w:rsidR="00952E08" w:rsidRDefault="00952E08" w:rsidP="00952E08">
      <w:r w:rsidRPr="5E08E88D">
        <w:rPr>
          <w:i/>
          <w:iCs/>
        </w:rPr>
        <w:t>ciclo de vida do objeto. “Ciclo de Vida” é definido no art. 3º da Lei nº 12.305, de 02 de agosto de 2010, como sendo “série de etapas que envolvem o desenvolvimento do</w:t>
      </w:r>
    </w:p>
    <w:p w14:paraId="060CE9E6" w14:textId="77777777" w:rsidR="00952E08" w:rsidRDefault="00952E08" w:rsidP="00952E08">
      <w:r w:rsidRPr="5E08E88D">
        <w:rPr>
          <w:i/>
          <w:iCs/>
        </w:rPr>
        <w:t>produto, a obtenção de matérias-primas e insumos, o processo produtivo, o consumo e a disposição final”. Desse modo, a descrição da solução deve considerar não só suas características intrínsecas ao uso em si, mas também eventual sustentabilidade de sua produção, duração de seu consumo (se é menos</w:t>
      </w:r>
    </w:p>
    <w:p w14:paraId="3875D6B3" w14:textId="77777777" w:rsidR="00952E08" w:rsidRDefault="00952E08" w:rsidP="00952E08">
      <w:r w:rsidRPr="5E08E88D">
        <w:rPr>
          <w:i/>
          <w:iCs/>
        </w:rPr>
        <w:t xml:space="preserve">ou mais durável) até a destinação final. </w:t>
      </w:r>
      <w:r w:rsidRPr="5E08E88D">
        <w:rPr>
          <w:b/>
          <w:bCs/>
          <w:i/>
          <w:iCs/>
        </w:rPr>
        <w:t xml:space="preserve">Reitere-se: </w:t>
      </w:r>
      <w:r w:rsidRPr="5E08E88D">
        <w:rPr>
          <w:b/>
          <w:bCs/>
        </w:rPr>
        <w:t>se a descrição contida no ETP não contiver esse ponto, deve ser complementada</w:t>
      </w:r>
    </w:p>
    <w:p w14:paraId="1BBA6912" w14:textId="77777777" w:rsidR="00952E08" w:rsidRDefault="00952E08" w:rsidP="00952E08">
      <w:r w:rsidRPr="5E08E88D">
        <w:rPr>
          <w:b/>
          <w:bCs/>
        </w:rPr>
        <w:t>neste TR</w:t>
      </w:r>
      <w:r w:rsidRPr="5E08E88D">
        <w:rPr>
          <w:i/>
          <w:iCs/>
        </w:rPr>
        <w:t>.</w:t>
      </w:r>
    </w:p>
    <w:p w14:paraId="595D9B6C" w14:textId="77777777" w:rsidR="00952E08" w:rsidRDefault="00952E08" w:rsidP="00952E08"/>
    <w:p w14:paraId="77206DCD" w14:textId="77777777" w:rsidR="00952E08" w:rsidRDefault="00952E08" w:rsidP="00952E08">
      <w:r w:rsidRPr="5E08E88D">
        <w:rPr>
          <w:b/>
          <w:bCs/>
          <w:i/>
          <w:iCs/>
        </w:rPr>
        <w:t>Nota Explicativa 5:</w:t>
      </w:r>
      <w:r w:rsidRPr="5E08E88D">
        <w:rPr>
          <w:i/>
          <w:iCs/>
        </w:rPr>
        <w:t xml:space="preserve"> O art. 40, §1º, inciso I, da Lei nº 14.133, de 2021, e o</w:t>
      </w:r>
    </w:p>
    <w:p w14:paraId="32213D12" w14:textId="77777777" w:rsidR="00952E08" w:rsidRDefault="00952E08" w:rsidP="00952E08">
      <w:r w:rsidRPr="5E08E88D">
        <w:rPr>
          <w:i/>
          <w:iCs/>
        </w:rPr>
        <w:t>art. 9º, inciso I, alínea b, da Instrução Normativa Seges/ME nº 81, de 2022, estabelece que deve ser feita a especificação do produto/bem/serviço, preferencialmente conforme catálogo eletrônico de padronização, observados os requisitos de qualidade, rendimento, compatibilidade, durabilidade e segurança”. A Portaria</w:t>
      </w:r>
    </w:p>
    <w:p w14:paraId="4030AF16" w14:textId="77777777" w:rsidR="00952E08" w:rsidRDefault="00952E08" w:rsidP="00952E08">
      <w:r w:rsidRPr="5E08E88D">
        <w:rPr>
          <w:i/>
          <w:iCs/>
        </w:rPr>
        <w:t>SEGES/ME nº 938, de 02 de fevereiro de 2022, instituiu o catálogo eletrônico de padronização, o qual deverá ser</w:t>
      </w:r>
    </w:p>
    <w:p w14:paraId="26B9A6C6" w14:textId="77777777" w:rsidR="00952E08" w:rsidRDefault="00952E08" w:rsidP="00952E08">
      <w:r w:rsidRPr="5E08E88D">
        <w:rPr>
          <w:i/>
          <w:iCs/>
        </w:rPr>
        <w:t>consultado para verificar se a contratação almejada está contemplada em seus termos. Em existindo padronização aprovada, ela deve ser considerada e eventual</w:t>
      </w:r>
    </w:p>
    <w:p w14:paraId="3B3FD438" w14:textId="77777777" w:rsidR="00952E08" w:rsidRDefault="00952E08" w:rsidP="00952E08">
      <w:r w:rsidRPr="5E08E88D">
        <w:rPr>
          <w:i/>
          <w:iCs/>
        </w:rPr>
        <w:t>não-uso justificado nos autos.</w:t>
      </w:r>
    </w:p>
    <w:p w14:paraId="1ABD3D77" w14:textId="77777777" w:rsidR="00952E08" w:rsidRDefault="00952E08" w:rsidP="00952E08"/>
    <w:p w14:paraId="68EBBEE4" w14:textId="77777777" w:rsidR="00952E08" w:rsidRDefault="00952E08" w:rsidP="00952E08">
      <w:r w:rsidRPr="5E08E88D">
        <w:rPr>
          <w:b/>
          <w:bCs/>
          <w:i/>
          <w:iCs/>
        </w:rPr>
        <w:t xml:space="preserve">Nota Explicativa 6: </w:t>
      </w:r>
      <w:r w:rsidRPr="5E08E88D">
        <w:rPr>
          <w:i/>
          <w:iCs/>
        </w:rPr>
        <w:t>Em</w:t>
      </w:r>
    </w:p>
    <w:p w14:paraId="370727AA" w14:textId="77777777" w:rsidR="00952E08" w:rsidRDefault="00952E08" w:rsidP="00952E08">
      <w:r w:rsidRPr="5E08E88D">
        <w:rPr>
          <w:i/>
          <w:iCs/>
        </w:rPr>
        <w:t>havendo elementos de sustentabilidade (fornecimento em material reciclável ou com madeira de reflorestamento etc.) inerentes ao objeto contratual, estes devem estar na solução como um todo de</w:t>
      </w:r>
    </w:p>
    <w:p w14:paraId="288981BF" w14:textId="77777777" w:rsidR="00952E08" w:rsidRDefault="00952E08" w:rsidP="00952E08">
      <w:r w:rsidRPr="5E08E88D">
        <w:rPr>
          <w:i/>
          <w:iCs/>
        </w:rPr>
        <w:t>modo específico e concreto, evitando-se descrições genéricas, de difícil</w:t>
      </w:r>
    </w:p>
    <w:p w14:paraId="3E433FD3" w14:textId="77777777" w:rsidR="00952E08" w:rsidRDefault="00952E08" w:rsidP="00952E08">
      <w:r w:rsidRPr="5E08E88D">
        <w:rPr>
          <w:i/>
          <w:iCs/>
        </w:rPr>
        <w:t>aferição e controle. Recomenda-se destacar em tópicos específicos da descrição do objeto seus elementos</w:t>
      </w:r>
    </w:p>
    <w:p w14:paraId="34F44769" w14:textId="77777777" w:rsidR="00952E08" w:rsidRDefault="00952E08" w:rsidP="00952E08">
      <w:pPr>
        <w:rPr>
          <w:rStyle w:val="Hyperlink"/>
        </w:rPr>
      </w:pPr>
      <w:r w:rsidRPr="5E08E88D">
        <w:rPr>
          <w:i/>
          <w:iCs/>
        </w:rPr>
        <w:t xml:space="preserve">atinentes a aspectos de sustentabilidade. Sugere-se consultar o Guia Nacional de Contratações Sustentáveis da AGU. Sugere-se consultar o </w:t>
      </w:r>
      <w:hyperlink r:id="rId2">
        <w:r w:rsidRPr="5E08E88D">
          <w:rPr>
            <w:rStyle w:val="Hyperlink"/>
            <w:i/>
            <w:iCs/>
          </w:rPr>
          <w:t>Guia Nacional de Contratações</w:t>
        </w:r>
      </w:hyperlink>
    </w:p>
    <w:p w14:paraId="1A64651B" w14:textId="77777777" w:rsidR="00952E08" w:rsidRDefault="00952E08" w:rsidP="00952E08">
      <w:hyperlink r:id="rId3">
        <w:r w:rsidRPr="5E08E88D">
          <w:rPr>
            <w:rStyle w:val="Hyperlink"/>
          </w:rPr>
          <w:t>Sustentáveis da AGU</w:t>
        </w:r>
      </w:hyperlink>
      <w:r w:rsidRPr="5E08E88D">
        <w:rPr>
          <w:i/>
          <w:iCs/>
        </w:rPr>
        <w:t xml:space="preserve"> para tal fim. Caso o Estudo Técnico Preliminar seja silente ou insuficiente a esse respeito,</w:t>
      </w:r>
    </w:p>
    <w:p w14:paraId="18878E1C" w14:textId="77777777" w:rsidR="00952E08" w:rsidRDefault="00952E08" w:rsidP="00952E08">
      <w:r w:rsidRPr="5E08E88D">
        <w:rPr>
          <w:i/>
          <w:iCs/>
        </w:rPr>
        <w:t>recomenda-se abrir tópico específico nesta seção sobre a matéria. Vale</w:t>
      </w:r>
    </w:p>
    <w:p w14:paraId="23637EB9" w14:textId="77777777" w:rsidR="00952E08" w:rsidRDefault="00952E08" w:rsidP="00952E08">
      <w:r w:rsidRPr="5E08E88D">
        <w:rPr>
          <w:i/>
          <w:iCs/>
        </w:rPr>
        <w:t>registrar que a sustentabilidade pode incidir a partir de características</w:t>
      </w:r>
    </w:p>
    <w:p w14:paraId="3B013BAD" w14:textId="77777777" w:rsidR="00952E08" w:rsidRDefault="00952E08" w:rsidP="00952E08">
      <w:r w:rsidRPr="5E08E88D">
        <w:rPr>
          <w:i/>
          <w:iCs/>
        </w:rPr>
        <w:t>do próprio objeto a ser contratado como também de outros modos, compilados no tópico “requisitos da contratação”, constante deste TR.</w:t>
      </w:r>
    </w:p>
  </w:comment>
  <w:comment w:id="9" w:author="Autor" w:initials="A">
    <w:p w14:paraId="395B25BA" w14:textId="77777777" w:rsidR="00952E08" w:rsidRDefault="00952E08" w:rsidP="00952E08">
      <w:r w:rsidRPr="5E08E88D">
        <w:rPr>
          <w:b/>
          <w:bCs/>
          <w:i/>
          <w:iCs/>
        </w:rPr>
        <w:t xml:space="preserve">Nota Explicativa 1: </w:t>
      </w:r>
      <w:r w:rsidRPr="5E08E88D">
        <w:rPr>
          <w:i/>
          <w:iCs/>
        </w:rPr>
        <w:t>Os requisitos da contratação deverão ser registrados nos Sistemas TR DIGITAL E ETP DIGITAL, nos termos do art. 9º, inciso IV da IN Seges/ME nº 81, de 2022 e art. 9º, inciso II, da Instrução Normativa Seges/ME nº 58, de 2022.</w:t>
      </w:r>
      <w:r>
        <w:annotationRef/>
      </w:r>
    </w:p>
    <w:p w14:paraId="78C32E27" w14:textId="77777777" w:rsidR="00952E08" w:rsidRDefault="00952E08" w:rsidP="00952E08"/>
    <w:p w14:paraId="72CE8959" w14:textId="77777777" w:rsidR="00952E08" w:rsidRDefault="00952E08" w:rsidP="00952E08">
      <w:r w:rsidRPr="5E08E88D">
        <w:rPr>
          <w:b/>
          <w:bCs/>
          <w:i/>
          <w:iCs/>
        </w:rPr>
        <w:t xml:space="preserve">Nota Explicativa 2: </w:t>
      </w:r>
      <w:r w:rsidRPr="5E08E88D">
        <w:rPr>
          <w:i/>
          <w:iCs/>
        </w:rPr>
        <w:t>Alguns requisitos de contratação tratados na lei foram abordados neste tópico do Termo de Referência. Isso não impede que outros requisitos de contratação, de caráter técnico, sejam inseridos pela área competente. Registre-se, apenas, que a documentação de habilitação técnica é objeto de tópico específico neste</w:t>
      </w:r>
    </w:p>
    <w:p w14:paraId="78780CD8" w14:textId="77777777" w:rsidR="00952E08" w:rsidRDefault="00952E08" w:rsidP="00952E08">
      <w:r w:rsidRPr="5E08E88D">
        <w:rPr>
          <w:i/>
          <w:iCs/>
        </w:rPr>
        <w:t>TR (CRITÉRIOS DE SELEÇÃO DO FORNECEDOR) de modo que sua inclusão aqui seria redundante.</w:t>
      </w:r>
    </w:p>
  </w:comment>
  <w:comment w:id="10" w:author="Autor" w:initials="A">
    <w:p w14:paraId="2AF2967B" w14:textId="77777777" w:rsidR="00952E08" w:rsidRDefault="00952E08" w:rsidP="00952E08">
      <w:r w:rsidRPr="72187276">
        <w:rPr>
          <w:b/>
          <w:bCs/>
          <w:i/>
          <w:iCs/>
          <w:color w:val="000000" w:themeColor="text1"/>
        </w:rPr>
        <w:t xml:space="preserve">Nota Explicativa </w:t>
      </w:r>
      <w:r w:rsidRPr="72187276">
        <w:rPr>
          <w:b/>
          <w:bCs/>
        </w:rPr>
        <w:t xml:space="preserve">1: </w:t>
      </w:r>
      <w:r>
        <w:t>No contexto de contratações diretas, só se poderia cogitar de um procedimento de amostra no caso de dispensa eletrônica, a partir do que for possível pelo sistema respectivo. Nessa perspectiva que se deixa a redação acima neste documento, passível de plena adaptação pelas áreas interessadas.</w:t>
      </w:r>
      <w:r>
        <w:annotationRef/>
      </w:r>
    </w:p>
    <w:p w14:paraId="3783C1BA" w14:textId="77777777" w:rsidR="00952E08" w:rsidRDefault="00952E08" w:rsidP="00952E08"/>
    <w:p w14:paraId="54ABDCA1" w14:textId="77777777" w:rsidR="00952E08" w:rsidRDefault="00952E08" w:rsidP="00952E08">
      <w:r w:rsidRPr="72187276">
        <w:rPr>
          <w:b/>
          <w:bCs/>
          <w:i/>
          <w:iCs/>
        </w:rPr>
        <w:t xml:space="preserve">Nota Explicativa  </w:t>
      </w:r>
      <w:r w:rsidRPr="72187276">
        <w:rPr>
          <w:b/>
          <w:bCs/>
        </w:rPr>
        <w:t>2</w:t>
      </w:r>
      <w:r w:rsidRPr="72187276">
        <w:rPr>
          <w:b/>
          <w:bCs/>
          <w:i/>
          <w:iCs/>
          <w:color w:val="000000" w:themeColor="text1"/>
        </w:rPr>
        <w:t xml:space="preserve">: </w:t>
      </w:r>
      <w:r w:rsidRPr="72187276">
        <w:rPr>
          <w:i/>
          <w:iCs/>
          <w:color w:val="000000" w:themeColor="text1"/>
        </w:rPr>
        <w:t xml:space="preserve">A possibilidade de exigência de amostra, exame de conformidade e prova de conceito tem previsão no </w:t>
      </w:r>
      <w:hyperlink r:id="rId4">
        <w:r w:rsidRPr="72187276">
          <w:rPr>
            <w:rStyle w:val="Hyperlink"/>
            <w:i/>
            <w:iCs/>
          </w:rPr>
          <w:t>artigo 17, §3º, artigo 41, inciso II, e artigo 42, §2º, todos da Lei nº 14.133</w:t>
        </w:r>
      </w:hyperlink>
      <w:r w:rsidRPr="72187276">
        <w:rPr>
          <w:i/>
          <w:iCs/>
          <w:color w:val="000000" w:themeColor="text1"/>
        </w:rPr>
        <w:t xml:space="preserve">, de 2021, e no artigo 29, §1º, da </w:t>
      </w:r>
      <w:hyperlink r:id="rId5">
        <w:r w:rsidRPr="72187276">
          <w:rPr>
            <w:rStyle w:val="Hyperlink"/>
            <w:i/>
            <w:iCs/>
          </w:rPr>
          <w:t>Instrução Normativa SEGES/ME nº 73, de 2022</w:t>
        </w:r>
      </w:hyperlink>
      <w:r w:rsidRPr="72187276">
        <w:rPr>
          <w:i/>
          <w:iCs/>
          <w:color w:val="000000" w:themeColor="text1"/>
        </w:rPr>
        <w:t>. A justificativa para a exigência deve constar do ETP, devendo o TR disciplinar a forma como essa etapa ocorrerá, bem como os critérios a serem adotados para a avaliação.</w:t>
      </w:r>
    </w:p>
    <w:p w14:paraId="603BE115" w14:textId="77777777" w:rsidR="00952E08" w:rsidRDefault="00952E08" w:rsidP="00952E08"/>
    <w:p w14:paraId="7436BF3D" w14:textId="77777777" w:rsidR="00952E08" w:rsidRDefault="00952E08" w:rsidP="00952E08">
      <w:r w:rsidRPr="72187276">
        <w:rPr>
          <w:b/>
          <w:bCs/>
          <w:i/>
          <w:iCs/>
          <w:color w:val="000000" w:themeColor="text1"/>
        </w:rPr>
        <w:t>Nota Explicativa 3:</w:t>
      </w:r>
      <w:r w:rsidRPr="72187276">
        <w:rPr>
          <w:i/>
          <w:iCs/>
          <w:color w:val="000000" w:themeColor="text1"/>
        </w:rPr>
        <w:t xml:space="preserve"> A exigência de prova de conceito, amostra, protótipo, testes e outras formas de avaliação de conformidade do objeto é excepcional. Eventual exigência nesse sentido deve ser ponderada pela Administração à luz do caso concreto, mediante justificativa. O insucesso em contratações pretéritas pode justificar essa previsão. Há itens de baixa qualidade que simplesmente não funcionam como deveriam, embora possuam descrição técnica semelhante à de objetos de boa qualidade. O julgamento pelo menor preço pode atrair o fornecimento de bens de pouca qualidade, devendo a Administração adotar cautelas para não adquirir material imprestável e, mais importante, evitar repetidamente contratar nessas condições.</w:t>
      </w:r>
    </w:p>
  </w:comment>
  <w:comment w:id="11" w:author="Autor" w:initials="A">
    <w:p w14:paraId="7353747A"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Em razão de seu potencial de restringir a competitividade do certame, a exigência de carta de solidariedade somente se justificará em situações excepcionais e devidamente motivadas.</w:t>
      </w:r>
    </w:p>
  </w:comment>
  <w:comment w:id="12" w:author="Autor" w:initials="A">
    <w:p w14:paraId="63A86D1F" w14:textId="77777777" w:rsidR="00952E08" w:rsidRDefault="00952E08" w:rsidP="00952E08">
      <w:pPr>
        <w:pStyle w:val="Textodecomentrio"/>
      </w:pPr>
      <w:r>
        <w:rPr>
          <w:rStyle w:val="Refdecomentrio"/>
        </w:rPr>
        <w:annotationRef/>
      </w:r>
      <w:r>
        <w:rPr>
          <w:b/>
          <w:bCs/>
          <w:i/>
          <w:iCs/>
          <w:color w:val="000000"/>
        </w:rPr>
        <w:t>Nota Explicativa 1</w:t>
      </w:r>
      <w:r>
        <w:rPr>
          <w:i/>
          <w:iCs/>
          <w:color w:val="000000"/>
        </w:rPr>
        <w:t>: Não se admite a exigência de subcontratação para o fornecimento de bens, exceto quando estiver vinculado à prestação de serviços acessórios. Observe-se, ainda, que é vedada a subcontratação completa ou da parcela principal da obrigação.</w:t>
      </w:r>
    </w:p>
    <w:p w14:paraId="4F6F2164" w14:textId="77777777" w:rsidR="00952E08" w:rsidRDefault="00952E08" w:rsidP="00952E08">
      <w:pPr>
        <w:pStyle w:val="Textodecomentrio"/>
      </w:pPr>
    </w:p>
    <w:p w14:paraId="7560DF14" w14:textId="77777777" w:rsidR="00952E08" w:rsidRDefault="00952E08" w:rsidP="00952E08">
      <w:pPr>
        <w:pStyle w:val="Textodecomentrio"/>
      </w:pPr>
      <w:r>
        <w:rPr>
          <w:b/>
          <w:bCs/>
          <w:i/>
          <w:iCs/>
          <w:color w:val="000000"/>
        </w:rPr>
        <w:t>Nota Explicativa 2:</w:t>
      </w:r>
      <w:r>
        <w:rPr>
          <w:i/>
          <w:iCs/>
          <w:color w:val="000000"/>
        </w:rPr>
        <w:t xml:space="preserve"> A subcontratação deve ser avaliada à luz do </w:t>
      </w:r>
      <w:hyperlink r:id="rId6" w:history="1">
        <w:r w:rsidRPr="000C0695">
          <w:rPr>
            <w:rStyle w:val="Hyperlink"/>
            <w:i/>
            <w:iCs/>
          </w:rPr>
          <w:t>artigo 122 da Lei nº 14.133, de 2021</w:t>
        </w:r>
      </w:hyperlink>
      <w:r>
        <w:rPr>
          <w:i/>
          <w:iCs/>
          <w:color w:val="000000"/>
        </w:rPr>
        <w:t>:</w:t>
      </w:r>
    </w:p>
    <w:p w14:paraId="205AF5BB" w14:textId="77777777" w:rsidR="00952E08" w:rsidRDefault="00952E08" w:rsidP="00952E08">
      <w:pPr>
        <w:pStyle w:val="Textodecomentrio"/>
      </w:pPr>
      <w:r>
        <w:rPr>
          <w:i/>
          <w:iCs/>
          <w:color w:val="000000"/>
        </w:rPr>
        <w:t>“Art. 122. Na execução do contrato e sem prejuízo das responsabilidades contratuais e legais, o contratado poderá subcontratar partes da obra, do serviço ou do fornecimento até o limite autorizado, em cada caso, pela Administração.</w:t>
      </w:r>
    </w:p>
    <w:p w14:paraId="5C91DD53" w14:textId="77777777" w:rsidR="00952E08" w:rsidRDefault="00952E08" w:rsidP="00952E08">
      <w:pPr>
        <w:pStyle w:val="Textodecomentrio"/>
      </w:pPr>
      <w:r>
        <w:rPr>
          <w:i/>
          <w:iCs/>
          <w:color w:val="000000"/>
        </w:rPr>
        <w:t>§ 1º O contratado apresentará à Administração documentação que comprove a capacidade técnica do subcontratado, que será avaliada e juntada aos autos do processo correspondente.</w:t>
      </w:r>
    </w:p>
    <w:p w14:paraId="62E4A38C" w14:textId="77777777" w:rsidR="00952E08" w:rsidRDefault="00952E08" w:rsidP="00952E08">
      <w:pPr>
        <w:pStyle w:val="Textodecomentrio"/>
      </w:pPr>
      <w:r>
        <w:rPr>
          <w:i/>
          <w:iCs/>
          <w:color w:val="000000"/>
        </w:rPr>
        <w:t>§ 2º Regulamento ou edital de licitação poderão vedar, restringir ou estabelecer condições para a subcontratação.</w:t>
      </w:r>
    </w:p>
    <w:p w14:paraId="78632F5C" w14:textId="77777777" w:rsidR="00952E08" w:rsidRDefault="00952E08" w:rsidP="00952E08">
      <w:pPr>
        <w:pStyle w:val="Textodecomentrio"/>
      </w:pPr>
      <w:r>
        <w:rPr>
          <w:i/>
          <w:iCs/>
          <w:color w:val="000000"/>
        </w:rPr>
        <w:t>§ 3º Será vedada a subcontratação de pessoa física ou jurídica, se aquela ou os dirigentes desta mantiverem vínculo de natureza técnica, comercial, econômica, financeira, trabalhista ou civil com dirigente do órgão ou entidade contratante ou com agente público que desempenhe função na licitação ou atue na fiscalização ou na gestão do contrato, ou se deles forem cônjuge, companheiro ou parente em linha reta, colateral, ou por afinidade, até o terceiro grau, devendo essa proibição constar expressamente do edital de licitação.”</w:t>
      </w:r>
    </w:p>
  </w:comment>
  <w:comment w:id="13" w:author="Autor" w:initials="A">
    <w:p w14:paraId="101CE625" w14:textId="77777777" w:rsidR="00952E08" w:rsidRDefault="00952E08" w:rsidP="00952E08">
      <w:pPr>
        <w:pStyle w:val="Textodecomentrio"/>
      </w:pPr>
      <w:r>
        <w:rPr>
          <w:rStyle w:val="Refdecomentrio"/>
        </w:rPr>
        <w:annotationRef/>
      </w:r>
      <w:r>
        <w:rPr>
          <w:b/>
          <w:bCs/>
          <w:i/>
          <w:iCs/>
          <w:color w:val="000000"/>
        </w:rPr>
        <w:t xml:space="preserve">Nota Explicativa 1: </w:t>
      </w:r>
      <w:r>
        <w:rPr>
          <w:i/>
          <w:iCs/>
          <w:color w:val="000000"/>
        </w:rPr>
        <w:t>Em havendo a necessidade de inclusão de outras especificações técnicas quanto à subcontratação, deverão ser inseridas nos itens acima.</w:t>
      </w:r>
    </w:p>
    <w:p w14:paraId="3FB5C786" w14:textId="77777777" w:rsidR="00952E08" w:rsidRDefault="00952E08" w:rsidP="00952E08">
      <w:pPr>
        <w:pStyle w:val="Textodecomentrio"/>
      </w:pPr>
    </w:p>
    <w:p w14:paraId="3BB42E5B" w14:textId="77777777" w:rsidR="00952E08" w:rsidRDefault="00952E08" w:rsidP="00952E08">
      <w:pPr>
        <w:pStyle w:val="Textodecomentrio"/>
      </w:pPr>
      <w:r>
        <w:rPr>
          <w:b/>
          <w:bCs/>
          <w:i/>
          <w:iCs/>
          <w:color w:val="000000"/>
        </w:rPr>
        <w:t xml:space="preserve">Nota Explicativa 2: </w:t>
      </w:r>
      <w:r>
        <w:rPr>
          <w:i/>
          <w:iCs/>
          <w:color w:val="000000"/>
        </w:rPr>
        <w:t>A subcontratação parcial é permitida e deverá ser analisada pela Administração com base nas informações dos estudos preliminares, em cada caso concreto. Caso admitida, o Termo de Referência e o Contrato estabelecerão com detalhamento seus limites e condições, inclusive especificando quais parcelas do objeto poderão ser subcontratadas.</w:t>
      </w:r>
    </w:p>
    <w:p w14:paraId="0A632843" w14:textId="77777777" w:rsidR="00952E08" w:rsidRDefault="00952E08" w:rsidP="00952E08">
      <w:pPr>
        <w:pStyle w:val="Textodecomentrio"/>
      </w:pPr>
    </w:p>
    <w:p w14:paraId="190C4598" w14:textId="77777777" w:rsidR="00952E08" w:rsidRDefault="00952E08" w:rsidP="00952E08">
      <w:pPr>
        <w:pStyle w:val="Textodecomentrio"/>
      </w:pPr>
      <w:r>
        <w:rPr>
          <w:b/>
          <w:bCs/>
          <w:i/>
          <w:iCs/>
          <w:color w:val="000000"/>
        </w:rPr>
        <w:t xml:space="preserve">Nota Explicativa 3: </w:t>
      </w:r>
      <w:r>
        <w:rPr>
          <w:i/>
          <w:iCs/>
          <w:color w:val="000000"/>
        </w:rPr>
        <w:t xml:space="preserve">A depender da parcela do fornecimento cuja contratação será permitida, poderá ser previsto, no tópico pertinente, que a qualificação técnica seja demonstrada por meio de atestados relativos a potencial subcontratado, limitado a 25% do objeto a ser </w:t>
      </w:r>
      <w:r w:rsidRPr="004E347A">
        <w:rPr>
          <w:i/>
          <w:iCs/>
          <w:color w:val="000000"/>
          <w:highlight w:val="green"/>
        </w:rPr>
        <w:t>contratado</w:t>
      </w:r>
      <w:r>
        <w:rPr>
          <w:i/>
          <w:iCs/>
          <w:color w:val="000000"/>
        </w:rPr>
        <w:t xml:space="preserve">, conforme </w:t>
      </w:r>
      <w:hyperlink r:id="rId7" w:history="1">
        <w:r w:rsidRPr="00D215CD">
          <w:rPr>
            <w:rStyle w:val="Hyperlink"/>
            <w:i/>
            <w:iCs/>
          </w:rPr>
          <w:t>art. 67, §9º da Lei nº 14.133</w:t>
        </w:r>
      </w:hyperlink>
      <w:r>
        <w:rPr>
          <w:i/>
          <w:iCs/>
          <w:color w:val="000000"/>
        </w:rPr>
        <w:t xml:space="preserve">, de 2021. Nesta hipótese, mais de um </w:t>
      </w:r>
      <w:r w:rsidRPr="004E347A">
        <w:rPr>
          <w:i/>
          <w:iCs/>
          <w:color w:val="000000"/>
          <w:highlight w:val="green"/>
        </w:rPr>
        <w:t>interessado</w:t>
      </w:r>
      <w:r>
        <w:rPr>
          <w:i/>
          <w:iCs/>
          <w:color w:val="000000"/>
        </w:rPr>
        <w:t xml:space="preserve"> poderá apresentar atestado relativo ao mesmo potencial subcontratado.</w:t>
      </w:r>
    </w:p>
  </w:comment>
  <w:comment w:id="14" w:author="Autor" w:initials="A">
    <w:p w14:paraId="06D694FD" w14:textId="77777777" w:rsidR="00952E08" w:rsidRDefault="00952E08" w:rsidP="00952E08">
      <w:r w:rsidRPr="728E6B8C">
        <w:rPr>
          <w:b/>
          <w:bCs/>
          <w:i/>
          <w:iCs/>
        </w:rPr>
        <w:t xml:space="preserve">Nota Explicativa 1: </w:t>
      </w:r>
      <w:r w:rsidRPr="728E6B8C">
        <w:rPr>
          <w:i/>
          <w:iCs/>
        </w:rPr>
        <w:t>Neste momento, a área técnica competente deverá indicar se a contratação utilizará a garantia de execução ou não. As regras especificas sobre garantia, pelo seu caráter jurídico, estarão previstas no contrato e deverão ser nele inseridas caso haja indicação positiva no Termo de Referência. Caso não haja uso de minuta contratual, recomenda-se copiar e colar aqui as regras do contrato sobre esse assunto.</w:t>
      </w:r>
      <w:r>
        <w:annotationRef/>
      </w:r>
    </w:p>
    <w:p w14:paraId="711E6D4C" w14:textId="77777777" w:rsidR="00952E08" w:rsidRDefault="00952E08" w:rsidP="00952E08"/>
    <w:p w14:paraId="3753F013" w14:textId="77777777" w:rsidR="00952E08" w:rsidRDefault="00952E08" w:rsidP="00952E08">
      <w:r w:rsidRPr="728E6B8C">
        <w:rPr>
          <w:b/>
          <w:bCs/>
          <w:i/>
          <w:iCs/>
        </w:rPr>
        <w:t>Nota Explicativa 2</w:t>
      </w:r>
      <w:r w:rsidRPr="728E6B8C">
        <w:rPr>
          <w:i/>
          <w:iCs/>
        </w:rPr>
        <w:t>: O percentual da garantia será de:</w:t>
      </w:r>
    </w:p>
    <w:p w14:paraId="2A2DDF4C" w14:textId="77777777" w:rsidR="00952E08" w:rsidRDefault="00952E08" w:rsidP="00952E08">
      <w:r w:rsidRPr="728E6B8C">
        <w:rPr>
          <w:i/>
          <w:iCs/>
        </w:rPr>
        <w:t>a) até 5% (cinco por cento) do</w:t>
      </w:r>
    </w:p>
    <w:p w14:paraId="3CDC2AA5" w14:textId="77777777" w:rsidR="00952E08" w:rsidRDefault="00952E08" w:rsidP="00952E08">
      <w:r w:rsidRPr="728E6B8C">
        <w:rPr>
          <w:i/>
          <w:iCs/>
        </w:rPr>
        <w:t xml:space="preserve">valor inicial do contrato, para contratações em geral, conforme </w:t>
      </w:r>
      <w:hyperlink r:id="rId8" w:anchor="art98">
        <w:r w:rsidRPr="728E6B8C">
          <w:rPr>
            <w:rStyle w:val="Hyperlink"/>
            <w:i/>
            <w:iCs/>
          </w:rPr>
          <w:t>art. 98 da Lei nº 14.133, de 2021</w:t>
        </w:r>
      </w:hyperlink>
      <w:r w:rsidRPr="728E6B8C">
        <w:rPr>
          <w:i/>
          <w:iCs/>
        </w:rPr>
        <w:t>;</w:t>
      </w:r>
    </w:p>
    <w:p w14:paraId="655CD315" w14:textId="77777777" w:rsidR="00952E08" w:rsidRDefault="00952E08" w:rsidP="00952E08">
      <w:r w:rsidRPr="728E6B8C">
        <w:rPr>
          <w:i/>
          <w:iCs/>
        </w:rPr>
        <w:t>b) até 10% (dez por cento) do</w:t>
      </w:r>
    </w:p>
    <w:p w14:paraId="351AAFFC" w14:textId="77777777" w:rsidR="00952E08" w:rsidRDefault="00952E08" w:rsidP="00952E08">
      <w:r w:rsidRPr="728E6B8C">
        <w:rPr>
          <w:i/>
          <w:iCs/>
        </w:rPr>
        <w:t>valor inicial do contrato, nos casos de alta complexidade técnica e riscos</w:t>
      </w:r>
    </w:p>
    <w:p w14:paraId="5BDE2AD7" w14:textId="77777777" w:rsidR="00952E08" w:rsidRDefault="00952E08" w:rsidP="00952E08">
      <w:r w:rsidRPr="728E6B8C">
        <w:rPr>
          <w:i/>
          <w:iCs/>
        </w:rPr>
        <w:t>envolvidos, caso em que deverá haver justificativa específica nos autos,</w:t>
      </w:r>
    </w:p>
    <w:p w14:paraId="751E6134" w14:textId="77777777" w:rsidR="00952E08" w:rsidRDefault="00952E08" w:rsidP="00952E08">
      <w:r w:rsidRPr="728E6B8C">
        <w:rPr>
          <w:i/>
          <w:iCs/>
        </w:rPr>
        <w:t>conforme art. 98 da Lei nº 14.133, de 2021;</w:t>
      </w:r>
    </w:p>
    <w:p w14:paraId="298405B2" w14:textId="77777777" w:rsidR="00952E08" w:rsidRDefault="00952E08" w:rsidP="00952E08">
      <w:r w:rsidRPr="728E6B8C">
        <w:rPr>
          <w:i/>
          <w:iCs/>
        </w:rPr>
        <w:t>c) deverá ser acrescido de</w:t>
      </w:r>
    </w:p>
    <w:p w14:paraId="48DB569B" w14:textId="77777777" w:rsidR="00952E08" w:rsidRDefault="00952E08" w:rsidP="00952E08">
      <w:r w:rsidRPr="728E6B8C">
        <w:rPr>
          <w:i/>
          <w:iCs/>
        </w:rPr>
        <w:t>garantia adicional aos percentuais citados anteriormente, em casos de previsão</w:t>
      </w:r>
    </w:p>
    <w:p w14:paraId="21964317" w14:textId="77777777" w:rsidR="00952E08" w:rsidRDefault="00952E08" w:rsidP="00952E08">
      <w:r w:rsidRPr="728E6B8C">
        <w:rPr>
          <w:i/>
          <w:iCs/>
        </w:rPr>
        <w:t xml:space="preserve">de antecipação de pagamento, nos termos do </w:t>
      </w:r>
      <w:hyperlink r:id="rId9" w:anchor="art145§2">
        <w:r w:rsidRPr="728E6B8C">
          <w:rPr>
            <w:rStyle w:val="Hyperlink"/>
            <w:i/>
            <w:iCs/>
          </w:rPr>
          <w:t>art. 145, § 2º, da Lei nº 14.133, de 2021</w:t>
        </w:r>
      </w:hyperlink>
      <w:r w:rsidRPr="728E6B8C">
        <w:rPr>
          <w:i/>
          <w:iCs/>
        </w:rPr>
        <w:t>;</w:t>
      </w:r>
    </w:p>
    <w:p w14:paraId="1C988779" w14:textId="77777777" w:rsidR="00952E08" w:rsidRDefault="00952E08" w:rsidP="00952E08">
      <w:r w:rsidRPr="728E6B8C">
        <w:rPr>
          <w:i/>
          <w:iCs/>
        </w:rPr>
        <w:t>d) Nos casos de contratos que impliquem a entrega de bens pela Administração, dos quais o contratado ficará depositário, o valor desses bens deverá ser acrescido ao valor da garantia calculado de acordo com os itens anteriores.</w:t>
      </w:r>
    </w:p>
    <w:p w14:paraId="2291F6B0" w14:textId="77777777" w:rsidR="00952E08" w:rsidRDefault="00952E08" w:rsidP="00952E08"/>
    <w:p w14:paraId="54B18D96" w14:textId="77777777" w:rsidR="00952E08" w:rsidRDefault="00952E08" w:rsidP="00952E08">
      <w:r w:rsidRPr="728E6B8C">
        <w:rPr>
          <w:b/>
          <w:bCs/>
          <w:i/>
          <w:iCs/>
        </w:rPr>
        <w:t xml:space="preserve">Nota Explicativa 3: </w:t>
      </w:r>
      <w:r w:rsidRPr="728E6B8C">
        <w:rPr>
          <w:i/>
          <w:iCs/>
        </w:rPr>
        <w:t xml:space="preserve">No </w:t>
      </w:r>
      <w:hyperlink r:id="rId10" w:anchor="art96§3">
        <w:r w:rsidRPr="728E6B8C">
          <w:rPr>
            <w:rStyle w:val="Hyperlink"/>
            <w:i/>
            <w:iCs/>
          </w:rPr>
          <w:t>art. 96, §3º, da Lei nº 14.133, de 2021</w:t>
        </w:r>
      </w:hyperlink>
      <w:r w:rsidRPr="728E6B8C">
        <w:rPr>
          <w:i/>
          <w:iCs/>
        </w:rPr>
        <w:t>, há previsão apenas do prazo para apresentação da garantia na modalidade seguro-garantia, em contratações precedidas de licitações, caso em que o prazo deverá ser contado da homologação da licitação.</w:t>
      </w:r>
      <w:r>
        <w:rPr>
          <w:i/>
          <w:iCs/>
        </w:rPr>
        <w:t xml:space="preserve"> </w:t>
      </w:r>
      <w:r w:rsidRPr="004E347A">
        <w:rPr>
          <w:i/>
          <w:iCs/>
          <w:highlight w:val="green"/>
        </w:rPr>
        <w:t>(Aplica-se o mesmo entendimento para as contratações diretas precedidas de dispensa eletrônica)</w:t>
      </w:r>
      <w:r>
        <w:rPr>
          <w:i/>
          <w:iCs/>
        </w:rPr>
        <w:br/>
      </w:r>
      <w:r w:rsidRPr="728E6B8C">
        <w:rPr>
          <w:i/>
          <w:iCs/>
        </w:rPr>
        <w:t>Nas demais modalidades</w:t>
      </w:r>
      <w:r>
        <w:rPr>
          <w:i/>
          <w:iCs/>
        </w:rPr>
        <w:t xml:space="preserve"> </w:t>
      </w:r>
      <w:r w:rsidRPr="004E347A">
        <w:rPr>
          <w:i/>
          <w:iCs/>
          <w:highlight w:val="green"/>
        </w:rPr>
        <w:t>de garantia</w:t>
      </w:r>
      <w:r w:rsidRPr="728E6B8C">
        <w:rPr>
          <w:i/>
          <w:iCs/>
        </w:rPr>
        <w:t>, deverá a Administração prever o prazo e o termo início de sua contagem para a apresentação da garantia. Como o seguro-garantia, nos termos da lei, teria de ser pré-contratual, esta disposição deve estar contida neste documento igualmente pré-contratual.</w:t>
      </w:r>
    </w:p>
    <w:p w14:paraId="3A91908E" w14:textId="77777777" w:rsidR="00952E08" w:rsidRDefault="00952E08" w:rsidP="00952E08"/>
    <w:p w14:paraId="7D6361FC" w14:textId="77777777" w:rsidR="00952E08" w:rsidRDefault="00952E08" w:rsidP="00952E08"/>
  </w:comment>
  <w:comment w:id="15" w:author="Autor" w:initials="A">
    <w:p w14:paraId="68B30EE9" w14:textId="77777777" w:rsidR="00952E08" w:rsidRDefault="00952E08" w:rsidP="00952E08">
      <w:pPr>
        <w:pStyle w:val="Textodecomentrio"/>
      </w:pPr>
      <w:r w:rsidRPr="049E4FCA">
        <w:rPr>
          <w:b/>
          <w:bCs/>
        </w:rPr>
        <w:t>Nota explicativa</w:t>
      </w:r>
      <w:r>
        <w:t>: Este item deve ser adaptado de acordo com as necessidades específicas do órgão ou entidade, apresentando-se, este modelo, de forma meramente exemplificativa.</w:t>
      </w:r>
      <w:r>
        <w:rPr>
          <w:rStyle w:val="Refdecomentrio"/>
        </w:rPr>
        <w:annotationRef/>
      </w:r>
    </w:p>
  </w:comment>
  <w:comment w:id="16" w:author="Autor" w:initials="A">
    <w:p w14:paraId="384FDEFB" w14:textId="77777777" w:rsidR="00952E08" w:rsidRDefault="00952E08" w:rsidP="00952E08">
      <w:pPr>
        <w:pStyle w:val="Textodecomentrio"/>
      </w:pPr>
      <w:r>
        <w:rPr>
          <w:rStyle w:val="Refdecomentrio"/>
        </w:rPr>
        <w:annotationRef/>
      </w:r>
      <w:r>
        <w:rPr>
          <w:b/>
          <w:bCs/>
          <w:i/>
          <w:iCs/>
          <w:color w:val="000000"/>
        </w:rPr>
        <w:t xml:space="preserve">Nota Explicativa: </w:t>
      </w:r>
      <w:r>
        <w:rPr>
          <w:i/>
          <w:iCs/>
          <w:color w:val="000000"/>
        </w:rPr>
        <w:t>em caso de remessa parcelada, discriminar as respectivas parcelas, prazos e condições. Esta tabela é meramente ilustrativa. Havendo a necessidade de alteração ou inclusão de dados para cada entrega, a tabela e seu conteúdo devem ser alterados.</w:t>
      </w:r>
    </w:p>
  </w:comment>
  <w:comment w:id="17" w:author="Autor" w:initials="A">
    <w:p w14:paraId="6B2A10F5" w14:textId="77777777" w:rsidR="00952E08" w:rsidRDefault="00952E08" w:rsidP="00952E08">
      <w:pPr>
        <w:pStyle w:val="Textodecomentrio"/>
      </w:pPr>
      <w:r>
        <w:rPr>
          <w:rStyle w:val="Refdecomentrio"/>
        </w:rPr>
        <w:annotationRef/>
      </w:r>
      <w:r>
        <w:rPr>
          <w:b/>
          <w:bCs/>
          <w:i/>
          <w:iCs/>
          <w:color w:val="000000"/>
        </w:rPr>
        <w:t xml:space="preserve">Nota Explicativa 1: </w:t>
      </w:r>
      <w:r>
        <w:rPr>
          <w:i/>
          <w:iCs/>
          <w:color w:val="000000"/>
        </w:rPr>
        <w:t>Deverá ser registrado no Sistema de TR Digital a indicação dos locais de entrega de produtos e das regras para recebimentos provisório e definitivo, quando for o caso.</w:t>
      </w:r>
      <w:r>
        <w:rPr>
          <w:b/>
          <w:bCs/>
          <w:i/>
          <w:iCs/>
          <w:color w:val="000000"/>
        </w:rPr>
        <w:t xml:space="preserve"> </w:t>
      </w:r>
      <w:r>
        <w:rPr>
          <w:i/>
          <w:iCs/>
        </w:rPr>
        <w:t>(</w:t>
      </w:r>
      <w:hyperlink r:id="rId11" w:history="1">
        <w:r w:rsidRPr="00711EDA">
          <w:rPr>
            <w:rStyle w:val="Hyperlink"/>
            <w:i/>
            <w:iCs/>
          </w:rPr>
          <w:t>art.9º, inciso I, alínea c, da IN Seges/ME nº 81, de 2022)</w:t>
        </w:r>
      </w:hyperlink>
      <w:r>
        <w:rPr>
          <w:i/>
          <w:iCs/>
        </w:rPr>
        <w:t>.</w:t>
      </w:r>
    </w:p>
    <w:p w14:paraId="47D975AC" w14:textId="77777777" w:rsidR="00952E08" w:rsidRDefault="00952E08" w:rsidP="00952E08">
      <w:pPr>
        <w:pStyle w:val="Textodecomentrio"/>
      </w:pPr>
    </w:p>
    <w:p w14:paraId="7C842C42" w14:textId="77777777" w:rsidR="00952E08" w:rsidRDefault="00952E08" w:rsidP="00952E08">
      <w:pPr>
        <w:pStyle w:val="Textodecomentrio"/>
      </w:pPr>
      <w:r>
        <w:rPr>
          <w:b/>
          <w:bCs/>
          <w:i/>
          <w:iCs/>
          <w:color w:val="000000"/>
        </w:rPr>
        <w:t xml:space="preserve">Nota Explicativa 2: </w:t>
      </w:r>
      <w:r>
        <w:rPr>
          <w:i/>
          <w:iCs/>
          <w:color w:val="000000"/>
        </w:rPr>
        <w:t>Caso haja mais de um endereço, deve-se especificar. Do mesmo modo, se os endereços se modificarem conforme cada entrega. Ademais, se houver a necessidade de previamente se acordar a data ou hora de entrega com o setor de almoxarifado respectivo, deve-se especificar essa obrigação.</w:t>
      </w:r>
    </w:p>
  </w:comment>
  <w:comment w:id="18" w:author="Autor" w:initials="A">
    <w:p w14:paraId="75A2EBF1" w14:textId="77777777" w:rsidR="00952E08" w:rsidRDefault="00952E08" w:rsidP="00952E08">
      <w:r w:rsidRPr="06F4C4AC">
        <w:rPr>
          <w:b/>
          <w:bCs/>
          <w:i/>
          <w:iCs/>
          <w:color w:val="000000" w:themeColor="text1"/>
        </w:rPr>
        <w:t>Nota Explicativa 1:</w:t>
      </w:r>
      <w:r w:rsidRPr="06F4C4AC">
        <w:rPr>
          <w:i/>
          <w:iCs/>
          <w:color w:val="000000" w:themeColor="text1"/>
        </w:rPr>
        <w:t xml:space="preserve"> Fica a critério da Administração exigir - ou não - a garantia contratual dos bens, complementar à garantia legal, mediante a devida fundamentação, a ser exposta neste item do Termo de Referência. Não a exigindo, deverá suprimir o item. </w:t>
      </w:r>
      <w:r>
        <w:annotationRef/>
      </w:r>
    </w:p>
    <w:p w14:paraId="06426215" w14:textId="77777777" w:rsidR="00952E08" w:rsidRDefault="00952E08" w:rsidP="00952E08"/>
    <w:p w14:paraId="3BB977E7" w14:textId="77777777" w:rsidR="00952E08" w:rsidRDefault="00952E08" w:rsidP="00952E08">
      <w:r w:rsidRPr="06F4C4AC">
        <w:rPr>
          <w:b/>
          <w:bCs/>
          <w:i/>
          <w:iCs/>
          <w:color w:val="000000" w:themeColor="text1"/>
        </w:rPr>
        <w:t>Nota Explicativa 2</w:t>
      </w:r>
      <w:r w:rsidRPr="06F4C4AC">
        <w:rPr>
          <w:i/>
          <w:iCs/>
          <w:color w:val="000000" w:themeColor="text1"/>
        </w:rPr>
        <w:t xml:space="preserve">: O </w:t>
      </w:r>
      <w:hyperlink r:id="rId12">
        <w:r w:rsidRPr="06F4C4AC">
          <w:rPr>
            <w:rStyle w:val="Hyperlink"/>
            <w:i/>
            <w:iCs/>
          </w:rPr>
          <w:t xml:space="preserve">artigo 9º, inciso alínea “d” </w:t>
        </w:r>
      </w:hyperlink>
      <w:hyperlink r:id="rId13">
        <w:r w:rsidRPr="06F4C4AC">
          <w:rPr>
            <w:rStyle w:val="Hyperlink"/>
            <w:i/>
            <w:iCs/>
          </w:rPr>
          <w:t>da IN Seges/ME nº 81</w:t>
        </w:r>
      </w:hyperlink>
      <w:r w:rsidRPr="06F4C4AC">
        <w:rPr>
          <w:i/>
          <w:iCs/>
        </w:rPr>
        <w:t xml:space="preserve"> de 2022 ex</w:t>
      </w:r>
      <w:r w:rsidRPr="06F4C4AC">
        <w:rPr>
          <w:i/>
          <w:iCs/>
          <w:color w:val="000000" w:themeColor="text1"/>
        </w:rPr>
        <w:t>ige que a inserção no TR Digital da especificação da garantia exigida e das condições de manutenção e assistência técnica, quando for o caso.</w:t>
      </w:r>
    </w:p>
  </w:comment>
  <w:comment w:id="19" w:author="Autor" w:initials="A">
    <w:p w14:paraId="55399C34" w14:textId="77777777" w:rsidR="00952E08" w:rsidRDefault="00952E08" w:rsidP="00952E08">
      <w:r w:rsidRPr="06F4C4AC">
        <w:rPr>
          <w:b/>
          <w:bCs/>
        </w:rPr>
        <w:t xml:space="preserve">Nota Explicativa: </w:t>
      </w:r>
      <w:r>
        <w:t>Sugere-se esta redação para material de consumo</w:t>
      </w:r>
      <w:r>
        <w:annotationRef/>
      </w:r>
    </w:p>
  </w:comment>
  <w:comment w:id="20" w:author="Autor" w:initials="A">
    <w:p w14:paraId="1E2A5514" w14:textId="77777777" w:rsidR="00952E08" w:rsidRDefault="00952E08" w:rsidP="00952E08">
      <w:pPr>
        <w:pStyle w:val="Textodecomentrio"/>
      </w:pPr>
      <w:r>
        <w:rPr>
          <w:rStyle w:val="Refdecomentrio"/>
        </w:rPr>
        <w:annotationRef/>
      </w:r>
      <w:r>
        <w:rPr>
          <w:b/>
          <w:bCs/>
          <w:i/>
          <w:iCs/>
          <w:color w:val="000000"/>
        </w:rPr>
        <w:t xml:space="preserve">Nota Explicativa: </w:t>
      </w:r>
      <w:r>
        <w:rPr>
          <w:i/>
          <w:iCs/>
          <w:color w:val="000000"/>
        </w:rPr>
        <w:t>A exigência de garantia, bem como o prazo previsto devem ser justificados nos autos.</w:t>
      </w:r>
    </w:p>
  </w:comment>
  <w:comment w:id="21" w:author="Autor" w:initials="A">
    <w:p w14:paraId="590EA01A" w14:textId="77777777" w:rsidR="00952E08" w:rsidRDefault="00952E08" w:rsidP="00952E08">
      <w:pPr>
        <w:pStyle w:val="Textodecomentrio"/>
      </w:pPr>
      <w:r>
        <w:rPr>
          <w:rStyle w:val="Refdecomentrio"/>
        </w:rPr>
        <w:annotationRef/>
      </w:r>
      <w:r w:rsidRPr="001D4957">
        <w:rPr>
          <w:b/>
          <w:bCs/>
          <w:iCs/>
        </w:rPr>
        <w:t xml:space="preserve">Nota Explicativa: </w:t>
      </w:r>
      <w:r w:rsidRPr="001D4957">
        <w:rPr>
          <w:bCs/>
          <w:iCs/>
        </w:rPr>
        <w:t xml:space="preserve">Sugere-se esta redação para material </w:t>
      </w:r>
      <w:r>
        <w:rPr>
          <w:bCs/>
          <w:iCs/>
        </w:rPr>
        <w:t>permanente</w:t>
      </w:r>
    </w:p>
  </w:comment>
  <w:comment w:id="22" w:author="Autor" w:initials="A">
    <w:p w14:paraId="2120FC5C"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A exigência de garantia, bem como o prazo previsto devem ser justificados nos autos.</w:t>
      </w:r>
    </w:p>
  </w:comment>
  <w:comment w:id="23" w:author="Autor" w:initials="A">
    <w:p w14:paraId="097E1304"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Desde que fundamentado em estudo técnico preliminar, a Administração poderá exigir que os serviços de manutenção e assistência técnica sejam prestados mediante deslocamento de técnico ou disponibilizados em unidade de prestação de serviços localizada em distância compatível com suas necessidades. (</w:t>
      </w:r>
      <w:hyperlink r:id="rId14" w:history="1">
        <w:r w:rsidRPr="00FC5BB3">
          <w:rPr>
            <w:rStyle w:val="Hyperlink"/>
            <w:i/>
            <w:iCs/>
          </w:rPr>
          <w:t>Art. 40, §4º, Lei nº 14.133, de 2021</w:t>
        </w:r>
      </w:hyperlink>
      <w:r>
        <w:rPr>
          <w:i/>
          <w:iCs/>
          <w:color w:val="000000"/>
        </w:rPr>
        <w:t xml:space="preserve">, e </w:t>
      </w:r>
      <w:hyperlink r:id="rId15" w:history="1">
        <w:r w:rsidRPr="00FC5BB3">
          <w:rPr>
            <w:rStyle w:val="Hyperlink"/>
            <w:i/>
            <w:iCs/>
          </w:rPr>
          <w:t>art. 10, inciso II, da Instrução Normativa SEGES/ME nº 58, de 2022</w:t>
        </w:r>
      </w:hyperlink>
      <w:r>
        <w:rPr>
          <w:i/>
          <w:iCs/>
          <w:color w:val="000000"/>
        </w:rPr>
        <w:t>).</w:t>
      </w:r>
    </w:p>
  </w:comment>
  <w:comment w:id="24" w:author="Autor" w:initials="A">
    <w:p w14:paraId="44AC3FC4" w14:textId="77777777" w:rsidR="00952E08" w:rsidRDefault="00952E08" w:rsidP="00952E08">
      <w:pPr>
        <w:pStyle w:val="Textodecomentrio"/>
      </w:pPr>
      <w:r>
        <w:rPr>
          <w:rStyle w:val="Refdecomentrio"/>
        </w:rPr>
        <w:annotationRef/>
      </w:r>
      <w:r>
        <w:rPr>
          <w:b/>
          <w:bCs/>
        </w:rPr>
        <w:t xml:space="preserve">Nota Explicativa: </w:t>
      </w:r>
      <w:r>
        <w:t xml:space="preserve">Os gestores e fiscais do contrato serão designados pela autoridade máxima do órgão ou da entidade, ou a quem as normas de organização administrativa indicarem, na forma do </w:t>
      </w:r>
      <w:hyperlink r:id="rId16" w:history="1">
        <w:r w:rsidRPr="000772F8">
          <w:rPr>
            <w:rStyle w:val="Hyperlink"/>
          </w:rPr>
          <w:t>art. 7º da Lei nº 14.133, de 2021</w:t>
        </w:r>
      </w:hyperlink>
      <w:r>
        <w:t xml:space="preserve">, e art. 8º do </w:t>
      </w:r>
      <w:hyperlink r:id="rId17" w:history="1">
        <w:r w:rsidRPr="000772F8">
          <w:rPr>
            <w:rStyle w:val="Hyperlink"/>
          </w:rPr>
          <w:t>Decreto nº 11.246, de 2022</w:t>
        </w:r>
      </w:hyperlink>
      <w:r>
        <w:t>, devendo a Administração instruir os autos com as publicações dos atos de designação dos agentes públicos para o exercício dessas funções.</w:t>
      </w:r>
    </w:p>
  </w:comment>
  <w:comment w:id="25" w:author="Autor" w:initials="A">
    <w:p w14:paraId="1F172EB4" w14:textId="77777777" w:rsidR="00952E08" w:rsidRDefault="00952E08" w:rsidP="00952E08">
      <w:r w:rsidRPr="4C199FC9">
        <w:rPr>
          <w:b/>
          <w:bCs/>
          <w:i/>
          <w:iCs/>
          <w:color w:val="000000" w:themeColor="text1"/>
        </w:rPr>
        <w:t>Nota Explicativa:</w:t>
      </w:r>
      <w:r w:rsidRPr="4C199FC9">
        <w:rPr>
          <w:i/>
          <w:iCs/>
          <w:color w:val="000000" w:themeColor="text1"/>
        </w:rPr>
        <w:t xml:space="preserve"> Inserir o subitem 6.12 se for o caso para inclusão de rotinas de fiscalização específicas para atender às peculiaridades do objeto contratado.</w:t>
      </w:r>
      <w:r>
        <w:annotationRef/>
      </w:r>
    </w:p>
  </w:comment>
  <w:comment w:id="26" w:author="Autor" w:initials="A">
    <w:p w14:paraId="57676377" w14:textId="77777777" w:rsidR="00952E08" w:rsidRDefault="00952E08" w:rsidP="00952E08">
      <w:pPr>
        <w:pStyle w:val="Textodecomentrio"/>
      </w:pPr>
      <w:r>
        <w:rPr>
          <w:rStyle w:val="Refdecomentrio"/>
        </w:rPr>
        <w:annotationRef/>
      </w:r>
      <w:r w:rsidRPr="0089757E">
        <w:rPr>
          <w:b/>
        </w:rPr>
        <w:t>Nota Explicativa:</w:t>
      </w:r>
      <w:r w:rsidRPr="0089757E">
        <w:t xml:space="preserve"> O modelo contém redação mais simples de recebimento. Caso se entenda que há necessidade de maior detalhamento, o órgão poderá promover aprimoramento da redação nesse ponto, inclusive com disciplina do recebimento provisório pelo fiscal técnico e administrativo, se for o caso.</w:t>
      </w:r>
    </w:p>
  </w:comment>
  <w:comment w:id="27" w:author="Autor" w:initials="A">
    <w:p w14:paraId="345FAF49"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O art. 7º, inciso I, </w:t>
      </w:r>
      <w:hyperlink r:id="rId18" w:history="1">
        <w:r w:rsidRPr="00F63382">
          <w:rPr>
            <w:rStyle w:val="Hyperlink"/>
            <w:i/>
            <w:iCs/>
          </w:rPr>
          <w:t>da Instrução Normativa SEGES/ME nº 77, de 4 de novembro de 2022</w:t>
        </w:r>
      </w:hyperlink>
      <w:r>
        <w:rPr>
          <w:i/>
          <w:iCs/>
          <w:color w:val="000000"/>
        </w:rPr>
        <w:t xml:space="preserve">, estabelece o prazo de 10 (dez dias) úteis para a liquidação da despesa, </w:t>
      </w:r>
      <w:r>
        <w:rPr>
          <w:b/>
          <w:bCs/>
          <w:i/>
          <w:iCs/>
          <w:color w:val="000000"/>
        </w:rPr>
        <w:t xml:space="preserve">a contar do recebimento da nota fiscal ou instrumento de cobrança equivalente </w:t>
      </w:r>
      <w:r>
        <w:rPr>
          <w:i/>
          <w:iCs/>
          <w:color w:val="000000"/>
        </w:rPr>
        <w:t xml:space="preserve">pela Administração. Tendo em vista que os bens serão entregues para a Administração juntamente com a respectiva nota fiscal ou instrumento equivalente de cobrança (fatura, invoice etc.), deve-se concluir que, no caso das compras, durante o curso do prazo de liquidação, a Administração deverá realizar também os recebimentos provisório e definitivo do bem. Em outras palavras, </w:t>
      </w:r>
      <w:r>
        <w:rPr>
          <w:b/>
          <w:bCs/>
          <w:i/>
          <w:iCs/>
          <w:color w:val="000000"/>
        </w:rPr>
        <w:t>o prazo máximo de 10 dias úteis deverá ser suficiente para as providências de recebimentos provisório, definitivo e de liquidação</w:t>
      </w:r>
      <w:r>
        <w:rPr>
          <w:i/>
          <w:iCs/>
          <w:color w:val="000000"/>
        </w:rPr>
        <w:t xml:space="preserve">. Assim, embora a </w:t>
      </w:r>
      <w:hyperlink r:id="rId19" w:history="1">
        <w:r w:rsidRPr="00F63382">
          <w:rPr>
            <w:rStyle w:val="Hyperlink"/>
            <w:i/>
            <w:iCs/>
          </w:rPr>
          <w:t>Lei nº 14.133/21</w:t>
        </w:r>
      </w:hyperlink>
      <w:r>
        <w:rPr>
          <w:i/>
          <w:iCs/>
          <w:color w:val="000000"/>
        </w:rPr>
        <w:t xml:space="preserve"> não fixe prazo máximo de recebimento definitivo, este prazo deverá ser inferior ao fixado para liquidação de despesa pela </w:t>
      </w:r>
      <w:hyperlink r:id="rId20" w:history="1">
        <w:r w:rsidRPr="00F63382">
          <w:rPr>
            <w:rStyle w:val="Hyperlink"/>
            <w:i/>
            <w:iCs/>
          </w:rPr>
          <w:t>IN SEGES/ME nº 77, de 2022</w:t>
        </w:r>
      </w:hyperlink>
      <w:r>
        <w:rPr>
          <w:i/>
          <w:iCs/>
          <w:color w:val="000000"/>
        </w:rPr>
        <w:t>. Portanto, a Administração deve definir o prazo de recebimento considerando o máximo de 10 dias úteis, a sua realidade administrativa, a complexidade do objeto e o tempo que será consumido para os procedimentos contábeis de liquidação. Em sendo detectado, na fase de planejamento da contratação (notadamente no gerenciamento dos riscos), que haverá dificuldades para cumprimento do prazo estabelecido, deverão ser previstas medidas para superar tais contingências.</w:t>
      </w:r>
    </w:p>
  </w:comment>
  <w:comment w:id="28" w:author="Autor" w:initials="A">
    <w:p w14:paraId="55D4624E" w14:textId="77777777" w:rsidR="00952E08" w:rsidRDefault="00952E08" w:rsidP="00952E08">
      <w:pPr>
        <w:pStyle w:val="Textodecomentrio"/>
      </w:pPr>
      <w:r>
        <w:rPr>
          <w:rStyle w:val="Refdecomentrio"/>
        </w:rPr>
        <w:annotationRef/>
      </w:r>
      <w:r>
        <w:rPr>
          <w:b/>
          <w:bCs/>
          <w:i/>
          <w:iCs/>
          <w:color w:val="000000"/>
        </w:rPr>
        <w:t xml:space="preserve">Nota Explicativa: </w:t>
      </w:r>
      <w:r>
        <w:rPr>
          <w:i/>
          <w:iCs/>
          <w:color w:val="000000"/>
        </w:rPr>
        <w:t xml:space="preserve">Observar que o artigo 7º, §2º, </w:t>
      </w:r>
      <w:hyperlink r:id="rId21" w:history="1">
        <w:r w:rsidRPr="00F81983">
          <w:rPr>
            <w:rStyle w:val="Hyperlink"/>
            <w:i/>
            <w:iCs/>
          </w:rPr>
          <w:t>da Instrução Normativa nº 77, de 2022</w:t>
        </w:r>
      </w:hyperlink>
      <w:r>
        <w:rPr>
          <w:i/>
          <w:iCs/>
          <w:color w:val="000000"/>
        </w:rPr>
        <w:t xml:space="preserve">, prevê que “Para as contratações decorrentes de despesas cujos valores não ultrapassem o limite de que trata o inciso II do </w:t>
      </w:r>
      <w:hyperlink r:id="rId22" w:history="1">
        <w:r w:rsidRPr="00F81983">
          <w:rPr>
            <w:rStyle w:val="Hyperlink"/>
            <w:i/>
            <w:iCs/>
          </w:rPr>
          <w:t>art. 75 da Lei nº 14.133, de 2021</w:t>
        </w:r>
      </w:hyperlink>
      <w:r>
        <w:rPr>
          <w:i/>
          <w:iCs/>
          <w:color w:val="000000"/>
        </w:rPr>
        <w:t xml:space="preserve">, os prazos de que dos incisos I e II do caput </w:t>
      </w:r>
      <w:r>
        <w:rPr>
          <w:b/>
          <w:bCs/>
          <w:i/>
          <w:iCs/>
          <w:color w:val="000000"/>
        </w:rPr>
        <w:t>serão reduzidos pela metade</w:t>
      </w:r>
      <w:r>
        <w:rPr>
          <w:i/>
          <w:iCs/>
          <w:color w:val="000000"/>
        </w:rPr>
        <w:t>.” (g.n). Como o prazo máximo de liquidação será reduzido pela metade, então o prazo de recebimento também deverá ser ajustado.</w:t>
      </w:r>
    </w:p>
  </w:comment>
  <w:comment w:id="29" w:author="Autor" w:initials="A">
    <w:p w14:paraId="4FCC1B8F"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Deverá a Administração indicar o índice de preços a ser utilizado para a atualização monetária do valor devido ao contratado.</w:t>
      </w:r>
    </w:p>
  </w:comment>
  <w:comment w:id="30" w:author="Autor" w:initials="A">
    <w:p w14:paraId="644A12E4" w14:textId="77777777" w:rsidR="00952E08" w:rsidRDefault="00952E08" w:rsidP="00952E08">
      <w:pPr>
        <w:pStyle w:val="Textodecomentrio"/>
      </w:pPr>
      <w:r>
        <w:rPr>
          <w:rStyle w:val="Refdecomentrio"/>
        </w:rPr>
        <w:annotationRef/>
      </w:r>
      <w:r>
        <w:rPr>
          <w:b/>
          <w:bCs/>
          <w:i/>
          <w:iCs/>
          <w:color w:val="000000"/>
        </w:rPr>
        <w:t xml:space="preserve">Nota Explicativa: </w:t>
      </w:r>
      <w:r>
        <w:rPr>
          <w:i/>
          <w:iCs/>
          <w:color w:val="000000"/>
        </w:rPr>
        <w:t>A natureza do contrato e o objeto da contratação irão determinar a retenção tributária eventualmente cabível, bem como a possibilidade de a empresa se beneficiar da condição de optante do Simples Nacional, dentre outras questões de caráter tributário.</w:t>
      </w:r>
    </w:p>
  </w:comment>
  <w:comment w:id="31" w:author="Autor" w:initials="A">
    <w:p w14:paraId="08C39BC9"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Incluir esse item no caso de a contratação adotar o pagamento antecipado previsto no</w:t>
      </w:r>
      <w:hyperlink r:id="rId23" w:history="1">
        <w:r w:rsidRPr="003311D0">
          <w:rPr>
            <w:rStyle w:val="Hyperlink"/>
            <w:i/>
            <w:iCs/>
          </w:rPr>
          <w:t xml:space="preserve"> § 1º do art. 145 da Lei nº 14.133, de 2021</w:t>
        </w:r>
      </w:hyperlink>
      <w:r>
        <w:rPr>
          <w:i/>
          <w:iCs/>
          <w:color w:val="000000"/>
        </w:rPr>
        <w:t>.</w:t>
      </w:r>
    </w:p>
    <w:p w14:paraId="533C1129" w14:textId="77777777" w:rsidR="00952E08" w:rsidRDefault="00952E08" w:rsidP="00952E08">
      <w:pPr>
        <w:pStyle w:val="Textodecomentrio"/>
      </w:pPr>
      <w:r>
        <w:rPr>
          <w:i/>
          <w:iCs/>
          <w:color w:val="000000"/>
        </w:rPr>
        <w:t>Importante lembrar que, para a utilização desse mecanismo, é necessário que se demonstre nos autos que a antecipação do pagamento é, alternativamente, ou condição indispensável para a obtenção do bem, ou propicia sensível economia de recursos (art. 145, § 1º, da Lei nº 14.133, de 2021). Em todo o caso, a lei impõe que a adoção do pagamento antecipado, parcial ou total, seja precedida de justificativa prévia.</w:t>
      </w:r>
    </w:p>
  </w:comment>
  <w:comment w:id="32" w:author="Autor" w:initials="A">
    <w:p w14:paraId="426B3300" w14:textId="77777777" w:rsidR="00952E08" w:rsidRDefault="00952E08" w:rsidP="00952E08">
      <w:r>
        <w:rPr>
          <w:rStyle w:val="Refdecomentrio"/>
        </w:rPr>
        <w:annotationRef/>
      </w:r>
      <w:r w:rsidRPr="1414B7F7">
        <w:rPr>
          <w:b/>
          <w:bCs/>
          <w:i/>
          <w:iCs/>
          <w:color w:val="000000" w:themeColor="text1"/>
        </w:rPr>
        <w:t>Nota Explicativa:</w:t>
      </w:r>
      <w:r w:rsidRPr="1414B7F7">
        <w:rPr>
          <w:i/>
          <w:iCs/>
          <w:color w:val="000000" w:themeColor="text1"/>
        </w:rPr>
        <w:t xml:space="preserve"> Cabe à área técnica ajustar os itens 7.24, 7,25, 7.26, 7.26.1, 7.26.2, etc, conforme as peculiaridades do contrato. É possível, por exemplo: fazer o pagamento antecipado apenas parcial, com o remanescente sendo pago com a execução do contrato; estabelecer pagamento antecipado integralmente no início do contrato ou dividido em etapas; prever prazos antes ou após o início da etapa conforme o cronograma fixado para o fornecimento dos bens, ou ainda combinar as possibilidades acima, dentre outras. Saliente-se, apenas, que a forma de antecipação do pagamento (se integralmente no início, se por etapas etc.) deve ser objeto de justificativa específica, que motive a estratégia utilizada pelo contratante. </w:t>
      </w:r>
      <w:r>
        <w:annotationRef/>
      </w:r>
    </w:p>
  </w:comment>
  <w:comment w:id="33" w:author="Autor" w:initials="A">
    <w:p w14:paraId="2590706D"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A previsão dos itens 7.27, 7.27.1, 7.27.2, 7.28, 7.29 e 7.30 é obrigatória caso seja adotado o pagamento antecipado.</w:t>
      </w:r>
    </w:p>
  </w:comment>
  <w:comment w:id="34" w:author="Autor" w:initials="A">
    <w:p w14:paraId="3135CEE1"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A adoção das medidas abaixo é facultativa, conforme art. 145, §2º, e deve ser objeto de justificativa, que demonstre a adequação das opções escolhidas, incluindo valores e percentuais respectivos, com a contratação em questão e a antecipação a ser feita, em especial caso se opte por não utilizar quaisquer das medidas abaixo.</w:t>
      </w:r>
    </w:p>
    <w:p w14:paraId="784E59F0" w14:textId="77777777" w:rsidR="00952E08" w:rsidRDefault="00952E08" w:rsidP="00952E08">
      <w:pPr>
        <w:pStyle w:val="Textodecomentrio"/>
      </w:pPr>
      <w:r>
        <w:rPr>
          <w:i/>
          <w:iCs/>
          <w:color w:val="000000"/>
        </w:rPr>
        <w:t>O dimensionamento do uso das cautelas facultativas ocorrerá conforme a demanda e as características do contrato a ser firmado, sempre mediante apresentação de justificativa, que deverá abordar o elo entre a situação fática em questão e as garantias eventualmente eleitas.</w:t>
      </w:r>
    </w:p>
  </w:comment>
  <w:comment w:id="35" w:author="Autor" w:initials="A">
    <w:p w14:paraId="70DD41F9"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Essa condição só seria factível se houver antecipação de pagamento durante a execução contratual e não só no início do contrato. Se houver utilização dessa cautela, deve haver a previsão dos momentos de comprovação de execução para os fins deste item.</w:t>
      </w:r>
    </w:p>
  </w:comment>
  <w:comment w:id="36" w:author="Autor" w:initials="A">
    <w:p w14:paraId="7338DBF9"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Cabe à Administração prever o percentual que seja mais razoável para o caso. Ressalte-se, entretanto, que, no caso de antecipação parcial do pagamento, não se deve exigir a garantia de que trata este item em patamar superior ao valor que for antecipado.</w:t>
      </w:r>
    </w:p>
  </w:comment>
  <w:comment w:id="37" w:author="Autor" w:initials="A">
    <w:p w14:paraId="675BDCA9" w14:textId="77777777" w:rsidR="00952E08" w:rsidRDefault="00952E08" w:rsidP="00952E08">
      <w:r>
        <w:rPr>
          <w:rStyle w:val="Refdecomentrio"/>
        </w:rPr>
        <w:annotationRef/>
      </w:r>
      <w:r>
        <w:rPr>
          <w:b/>
          <w:bCs/>
          <w:i/>
          <w:iCs/>
          <w:color w:val="000000"/>
        </w:rPr>
        <w:t>Nota Explicativa:</w:t>
      </w:r>
      <w:r>
        <w:rPr>
          <w:i/>
          <w:iCs/>
          <w:color w:val="000000"/>
        </w:rPr>
        <w:t xml:space="preserve"> </w:t>
      </w:r>
      <w:r w:rsidRPr="0C492A58">
        <w:rPr>
          <w:i/>
          <w:iCs/>
        </w:rPr>
        <w:t xml:space="preserve">A IN SEGES/ME nº 53, de 2020, disciplinou uma modalidade específica de </w:t>
      </w:r>
      <w:r>
        <w:rPr>
          <w:i/>
          <w:iCs/>
        </w:rPr>
        <w:t xml:space="preserve">operação </w:t>
      </w:r>
      <w:r w:rsidRPr="0C492A58">
        <w:rPr>
          <w:i/>
          <w:iCs/>
        </w:rPr>
        <w:t>de crédito no âmbito dos contratos administrativos – a denominada “operação de crédito garantida por cessão fiduciária” (ou, simplesmente, “cessão fiduciária”) –, prescrevendo, em seu art. 15, que editais e contratos prevejam expressamente sua admissibilidade. A possibilidade de cessão dos créditos de que trata a referida Instrução Normativa é, portanto, mandatória/cogente/impositiva.</w:t>
      </w:r>
      <w:r>
        <w:annotationRef/>
      </w:r>
    </w:p>
    <w:p w14:paraId="4A2D2D50" w14:textId="77777777" w:rsidR="00952E08" w:rsidRDefault="00952E08" w:rsidP="00952E08">
      <w:r w:rsidRPr="0C492A58">
        <w:rPr>
          <w:i/>
          <w:iCs/>
        </w:rPr>
        <w:t>A cessão fiduciária, regida pela IN SEGES/ME nº 53/2020, é feita com instituição financeira, para garantia de operação de crédito e ocorre por intermédio do sistema AntecipaGOV. Neste tipo de negócio jurídico, o fornecedor que detém um vínculo contratual com a Administração Pública, contrai empréstimo perante instituição financeira e, como garantia da operação, cede a esta última seus direitos creditórios pertinentes ao contrato administrativo</w:t>
      </w:r>
      <w:r>
        <w:rPr>
          <w:i/>
          <w:iCs/>
        </w:rPr>
        <w:t>, mas sem envolver a alteração subjetiva do polo contratual. A instituição financeira não passa a receber diretamente da Administração Pública; os pagamentos continuam sendo feitos à contratada, que indica conta corrente para este fim</w:t>
      </w:r>
      <w:r w:rsidRPr="0C492A58">
        <w:rPr>
          <w:i/>
          <w:iCs/>
        </w:rPr>
        <w:t>.</w:t>
      </w:r>
      <w:r>
        <w:rPr>
          <w:i/>
          <w:iCs/>
        </w:rPr>
        <w:t xml:space="preserve"> É do recebimento do pagamento pela contratada em diante que é realizado o acertamento entre esta e a instituição financeira.</w:t>
      </w:r>
    </w:p>
    <w:p w14:paraId="423041CF" w14:textId="77777777" w:rsidR="00952E08" w:rsidRDefault="00952E08" w:rsidP="00952E08">
      <w:r w:rsidRPr="0C492A58">
        <w:rPr>
          <w:i/>
          <w:iCs/>
        </w:rPr>
        <w:t xml:space="preserve">Já em relação às demais modalidades de cessão de crédito, não abrangidas pela IN SEGES/ME nº 53/2020, feitas </w:t>
      </w:r>
      <w:r>
        <w:rPr>
          <w:i/>
          <w:iCs/>
        </w:rPr>
        <w:t>fora da plataforma AntecipaGov</w:t>
      </w:r>
      <w:r w:rsidRPr="0C492A58">
        <w:rPr>
          <w:i/>
          <w:iCs/>
        </w:rPr>
        <w:t>, tem-se que sua previsão em editais e contratos administrativos, embora não obrigatória, continua admitida por força do Parecer JL-01, do Advogado-Geral da União (disponível em http://www.planalto.gov.br/ccivil_03/AGU/Pareceres/2019-2022/PRC-JL-01-2020.htm), aprovado pelo Sr. Presidente da República em 26/05/2020, e, portanto, vinculante para toda a administração pública (arts. 40, §1º e 41 da Lei Complementar nº 73, de 1993).</w:t>
      </w:r>
    </w:p>
    <w:p w14:paraId="505983AE" w14:textId="77777777" w:rsidR="00952E08" w:rsidRDefault="00952E08" w:rsidP="00952E08">
      <w:pPr>
        <w:pStyle w:val="Textodecomentrio"/>
      </w:pPr>
      <w:r w:rsidRPr="0C492A58">
        <w:rPr>
          <w:i/>
          <w:iCs/>
        </w:rPr>
        <w:t>Quanto a estas últimas, importa destacar a seguinte condicionante que foi erigida pelo referido Parecer nº JL – 01/2020 como requisito para a sua admissibilidade em contratos administrativos: inexistência de vedação no instrumento convocatório. Assim, relativamente às cessões de crédito em geral, ter-se-á por admitida desde que não haja vedação em cláusula contratual ou no instrumento convocatório.</w:t>
      </w:r>
    </w:p>
  </w:comment>
  <w:comment w:id="40" w:author="Autor" w:initials="A">
    <w:p w14:paraId="151D901E"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w:t>
      </w:r>
      <w:r w:rsidRPr="58A0B14B">
        <w:rPr>
          <w:i/>
          <w:iCs/>
        </w:rPr>
        <w:t xml:space="preserve">No caso desse subitem, o órgão contratante pode optar por mudar a redação para já vedar de plano as cessões não </w:t>
      </w:r>
      <w:r>
        <w:rPr>
          <w:i/>
          <w:iCs/>
        </w:rPr>
        <w:t>abrangidas pelo sistema AntecipaGov</w:t>
      </w:r>
      <w:r w:rsidRPr="58A0B14B">
        <w:rPr>
          <w:i/>
          <w:iCs/>
        </w:rPr>
        <w:t xml:space="preserve">. Entretanto, reitera-se que as </w:t>
      </w:r>
      <w:r>
        <w:rPr>
          <w:i/>
          <w:iCs/>
        </w:rPr>
        <w:t xml:space="preserve">operações de crédito do AntecipaGov </w:t>
      </w:r>
      <w:r w:rsidRPr="58A0B14B">
        <w:rPr>
          <w:i/>
          <w:iCs/>
        </w:rPr>
        <w:t>(subitem</w:t>
      </w:r>
      <w:r>
        <w:rPr>
          <w:i/>
          <w:iCs/>
        </w:rPr>
        <w:t xml:space="preserve"> </w:t>
      </w:r>
      <w:r>
        <w:rPr>
          <w:i/>
          <w:iCs/>
        </w:rPr>
        <w:fldChar w:fldCharType="begin"/>
      </w:r>
      <w:r>
        <w:rPr>
          <w:i/>
          <w:iCs/>
        </w:rPr>
        <w:instrText xml:space="preserve"> REF _Ref154079397 \r \h </w:instrText>
      </w:r>
      <w:r>
        <w:rPr>
          <w:i/>
          <w:iCs/>
        </w:rPr>
      </w:r>
      <w:r>
        <w:rPr>
          <w:i/>
          <w:iCs/>
        </w:rPr>
        <w:fldChar w:fldCharType="separate"/>
      </w:r>
      <w:r>
        <w:rPr>
          <w:i/>
          <w:iCs/>
        </w:rPr>
        <w:t>7.33</w:t>
      </w:r>
      <w:r>
        <w:rPr>
          <w:i/>
          <w:iCs/>
        </w:rPr>
        <w:fldChar w:fldCharType="end"/>
      </w:r>
      <w:r w:rsidRPr="58A0B14B">
        <w:rPr>
          <w:i/>
          <w:iCs/>
        </w:rPr>
        <w:t xml:space="preserve">) devem permanecer permitidas, por força do </w:t>
      </w:r>
      <w:hyperlink r:id="rId24">
        <w:r w:rsidRPr="58A0B14B">
          <w:rPr>
            <w:rStyle w:val="Hyperlink"/>
            <w:i/>
            <w:iCs/>
          </w:rPr>
          <w:t>art. 15 da IN SEGES/ME nº 53/2020</w:t>
        </w:r>
      </w:hyperlink>
      <w:r w:rsidRPr="58A0B14B">
        <w:rPr>
          <w:i/>
          <w:iCs/>
        </w:rPr>
        <w:t>.</w:t>
      </w:r>
      <w:r>
        <w:annotationRef/>
      </w:r>
      <w:r>
        <w:rPr>
          <w:i/>
          <w:iCs/>
          <w:color w:val="000000"/>
        </w:rPr>
        <w:t>.</w:t>
      </w:r>
    </w:p>
  </w:comment>
  <w:comment w:id="41" w:author="Autor" w:initials="A">
    <w:p w14:paraId="2A2E8393" w14:textId="77777777" w:rsidR="00952E08" w:rsidRDefault="00952E08" w:rsidP="00952E08">
      <w:pPr>
        <w:pStyle w:val="Textodecomentrio"/>
      </w:pPr>
      <w:r>
        <w:rPr>
          <w:rStyle w:val="Refdecomentrio"/>
        </w:rPr>
        <w:annotationRef/>
      </w:r>
      <w:r w:rsidRPr="007D061F">
        <w:rPr>
          <w:b/>
          <w:bCs/>
          <w:i/>
          <w:iCs/>
        </w:rPr>
        <w:t xml:space="preserve">Nota Explicativa: </w:t>
      </w:r>
      <w:r>
        <w:t>Conforme exposto, a operação de crédito realizada por meio do AntecipaGov não configura uma cessão de crédito tratada no PARECER Nº JL - 01, não sendo necessária a formalização por meio de Termo Aditivo.</w:t>
      </w:r>
    </w:p>
  </w:comment>
  <w:comment w:id="43" w:author="Autor" w:initials="A">
    <w:p w14:paraId="557A6C7A" w14:textId="77777777" w:rsidR="00952E08" w:rsidRDefault="00952E08" w:rsidP="00952E08">
      <w:r w:rsidRPr="728E6B8C">
        <w:rPr>
          <w:b/>
          <w:bCs/>
          <w:i/>
          <w:iCs/>
        </w:rPr>
        <w:t xml:space="preserve">Nota Explicativa: </w:t>
      </w:r>
      <w:r>
        <w:t>A INSTRUÇÃO NORMATIVA Nº 53, DE 8 DE JULHO DE 2020 apresenta algumas limitações quanto ao valor da operação de crédito:</w:t>
      </w:r>
      <w:r>
        <w:annotationRef/>
      </w:r>
    </w:p>
    <w:p w14:paraId="54A06880" w14:textId="77777777" w:rsidR="00952E08" w:rsidRDefault="00952E08" w:rsidP="00952E08">
      <w:r>
        <w:t>Anexo I:</w:t>
      </w:r>
    </w:p>
    <w:p w14:paraId="28D5CAB9" w14:textId="77777777" w:rsidR="00952E08" w:rsidRDefault="00952E08" w:rsidP="00952E08">
      <w:r>
        <w:t xml:space="preserve">"1.2. O </w:t>
      </w:r>
      <w:r w:rsidRPr="728E6B8C">
        <w:rPr>
          <w:b/>
          <w:bCs/>
        </w:rPr>
        <w:t>valor da operação de crédito não poderá exceder a setenta por cento do saldo</w:t>
      </w:r>
      <w:r>
        <w:t xml:space="preserve"> a receber atualizado do(s) contrato(s) selecionado(s) pelas instituições financeiras.</w:t>
      </w:r>
    </w:p>
    <w:p w14:paraId="2CCED4FA" w14:textId="77777777" w:rsidR="00952E08" w:rsidRDefault="00952E08" w:rsidP="00952E08">
      <w:r>
        <w:t>(...)</w:t>
      </w:r>
    </w:p>
    <w:p w14:paraId="15CD5663" w14:textId="77777777" w:rsidR="00952E08" w:rsidRDefault="00952E08" w:rsidP="00952E08">
      <w:r>
        <w:t xml:space="preserve">a) </w:t>
      </w:r>
      <w:r w:rsidRPr="728E6B8C">
        <w:rPr>
          <w:b/>
          <w:bCs/>
        </w:rPr>
        <w:t xml:space="preserve">o valor máximo da nova operação </w:t>
      </w:r>
      <w:r>
        <w:t>de crédito corresponderá a setenta por cento da diferença entre o saldo atualizado dos créditos do contrato e o saldo devedor atualizado da operação anterior;"</w:t>
      </w:r>
    </w:p>
  </w:comment>
  <w:comment w:id="44" w:author="Autor" w:initials="A">
    <w:p w14:paraId="0177C619"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Os condicionamentos dos subitens 7.34 e 7.35 decorrem das conclusões do Parecer JL-01, de 18 de maio de 2020.</w:t>
      </w:r>
    </w:p>
  </w:comment>
  <w:comment w:id="45" w:author="Autor" w:initials="A">
    <w:p w14:paraId="6AF74E0C"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É fundamental que a Administração observe que exigências demasiadas poderão prejudicar a competitividade e ofender a o disposto no </w:t>
      </w:r>
      <w:hyperlink r:id="rId25" w:history="1">
        <w:r w:rsidRPr="002C2364">
          <w:rPr>
            <w:rStyle w:val="Hyperlink"/>
            <w:i/>
            <w:iCs/>
          </w:rPr>
          <w:t>art. 37, inciso XXI da Constituição Federal</w:t>
        </w:r>
      </w:hyperlink>
      <w:r>
        <w:rPr>
          <w:i/>
          <w:iCs/>
          <w:color w:val="000000"/>
        </w:rPr>
        <w:t>, o qual preceitua que “o processo de licitação pública... somente permitirá as exigências de qualificação técnica e econômica indispensáveis à garantia do cumprimento das obrigações”.</w:t>
      </w:r>
    </w:p>
    <w:p w14:paraId="2C7A1F91" w14:textId="77777777" w:rsidR="00952E08" w:rsidRDefault="00952E08" w:rsidP="00952E08">
      <w:pPr>
        <w:pStyle w:val="Textodecomentrio"/>
      </w:pPr>
      <w:r>
        <w:rPr>
          <w:i/>
          <w:iCs/>
          <w:color w:val="000000"/>
        </w:rPr>
        <w:t>O</w:t>
      </w:r>
      <w:hyperlink r:id="rId26" w:history="1">
        <w:r w:rsidRPr="002C2364">
          <w:rPr>
            <w:rStyle w:val="Hyperlink"/>
            <w:i/>
            <w:iCs/>
          </w:rPr>
          <w:t xml:space="preserve"> art. 70, III, da Lei Nº 14.133/2021</w:t>
        </w:r>
      </w:hyperlink>
      <w:r>
        <w:rPr>
          <w:i/>
          <w:iCs/>
          <w:color w:val="000000"/>
        </w:rPr>
        <w:t>, por sua vez, dispõe que as exigências de habilitação poderão ser dispensadas, “total ou parcialmente, nas contratações para entrega imediata, nas contratações em valores inferiores a 1/4 (um quarto) do limite para dispensa de licitação para compras em geral e nas contratações de produto para pesquisa e desenvolvimento até o valor de R$ 300.000,00 (trezentos mil reais).” (Referidos valores são atualizados anualmente por Decreto, conforme art. 182 da mesma Lei).</w:t>
      </w:r>
    </w:p>
    <w:p w14:paraId="6419D0C5" w14:textId="77777777" w:rsidR="00952E08" w:rsidRDefault="00952E08" w:rsidP="00952E08">
      <w:pPr>
        <w:pStyle w:val="Textodecomentrio"/>
      </w:pPr>
      <w:r>
        <w:rPr>
          <w:i/>
          <w:iCs/>
          <w:color w:val="000000"/>
        </w:rPr>
        <w:t xml:space="preserve">A combinação da disposição constitucional com a disposição legal resulta que as exigências de qualificação técnica e econômica nas situações retratadas no art. 70, III, deve ser excepcional e justificada. Nas demais situações, em razão da diretriz constitucional, a Administração deve observar, diante do caso concreto, se o objeto da contratação demanda a exigência de todos os requisitos de habilitação apresentados neste modelo, levando-se em consideração o vulto e/ou a complexidade do objeto, a essencialidade do serviço e os riscos decorrentes de sua paralisação em função da eventual incapacidade econômica da contratada em suportar vicissitudes contratuais, excluindo-se o que entender excessivo. </w:t>
      </w:r>
    </w:p>
    <w:p w14:paraId="4D6B0044" w14:textId="77777777" w:rsidR="00952E08" w:rsidRDefault="00952E08" w:rsidP="00952E08">
      <w:pPr>
        <w:pStyle w:val="Textodecomentrio"/>
      </w:pPr>
      <w:r>
        <w:rPr>
          <w:i/>
          <w:iCs/>
          <w:color w:val="000000"/>
        </w:rPr>
        <w:t xml:space="preserve">Em </w:t>
      </w:r>
      <w:r w:rsidRPr="004E2E38">
        <w:rPr>
          <w:i/>
          <w:iCs/>
          <w:color w:val="000000"/>
          <w:highlight w:val="green"/>
        </w:rPr>
        <w:t>dispensas eletrônicas</w:t>
      </w:r>
      <w:r>
        <w:rPr>
          <w:i/>
          <w:iCs/>
          <w:color w:val="000000"/>
        </w:rPr>
        <w:t xml:space="preserve"> dividida em itens, as exigências de habilitação podem adequar-se a essa divisibilidade, sendo possível, em um mesmo instrumento, a exigência de requisitos de habilitação mais amplos somente para alguns itens. Para se fazer isso, basta acrescentar uma ressalva ao final na exigência pertinente, tal como “(exigência relativa somente aos itens X, Y, Z)”.</w:t>
      </w:r>
    </w:p>
    <w:p w14:paraId="1CF5FD5B" w14:textId="77777777" w:rsidR="00952E08" w:rsidRDefault="00952E08" w:rsidP="00952E08">
      <w:pPr>
        <w:pStyle w:val="Textodecomentrio"/>
      </w:pPr>
      <w:r>
        <w:rPr>
          <w:i/>
          <w:iCs/>
          <w:color w:val="000000"/>
        </w:rPr>
        <w:t>É vedada a inclusão de requisitos que não tenham suporte nos arts. 66 a 69 da Lei nº 14.133, de 2021.</w:t>
      </w:r>
    </w:p>
  </w:comment>
  <w:comment w:id="46" w:author="Autor" w:initials="A">
    <w:p w14:paraId="24055EEE" w14:textId="77777777" w:rsidR="00952E08" w:rsidRDefault="00952E08" w:rsidP="00952E08">
      <w:r w:rsidRPr="0BCAF0B3">
        <w:rPr>
          <w:b/>
          <w:bCs/>
        </w:rPr>
        <w:t>Nota explicativa:</w:t>
      </w:r>
      <w:r>
        <w:t xml:space="preserve"> A recomendação aos cadastros acima se dá à luz do art. 91, §4º da Lei nº 14.133/21 e se dá sem prejuízo da possibilidade, a juízo do órgão respectivo, de consulta complementar a outros cadastros governamentais análogos, tais como o do TCU (lista de inidôneos ou consulta consolidada).</w:t>
      </w:r>
      <w:r>
        <w:annotationRef/>
      </w:r>
    </w:p>
    <w:p w14:paraId="7D17A640" w14:textId="77777777" w:rsidR="00952E08" w:rsidRDefault="00952E08" w:rsidP="00952E08"/>
  </w:comment>
  <w:comment w:id="47" w:author="Autor" w:initials="A">
    <w:p w14:paraId="0F51E4A2" w14:textId="77777777" w:rsidR="00952E08" w:rsidRDefault="00952E08" w:rsidP="00952E08">
      <w:r w:rsidRPr="72187276">
        <w:rPr>
          <w:b/>
          <w:bCs/>
        </w:rPr>
        <w:t>Nota Explicativa:</w:t>
      </w:r>
      <w:r>
        <w:t xml:space="preserve"> Os requisitos de habilitação jurídica deverão ser exigidos em conformidade com a natureza da futura contratada (empresário individual, sociedade empresária, cooperativa etc.), razão pela qual deverá ser adotada, a depender do caso, apenas a redação correspondente, dentre aquelas constantes a seguir: </w:t>
      </w:r>
      <w:r>
        <w:annotationRef/>
      </w:r>
    </w:p>
    <w:p w14:paraId="53BCC63C" w14:textId="77777777" w:rsidR="00952E08" w:rsidRDefault="00952E08" w:rsidP="00952E08"/>
  </w:comment>
  <w:comment w:id="49" w:author="Autor" w:initials="A">
    <w:p w14:paraId="0C0DCC28"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A Instrução Normativa </w:t>
      </w:r>
      <w:hyperlink r:id="rId27" w:history="1">
        <w:r w:rsidRPr="00331C9D">
          <w:rPr>
            <w:rStyle w:val="Hyperlink"/>
            <w:i/>
            <w:iCs/>
          </w:rPr>
          <w:t>SEGES/ME nº 116, de 21 de dezembro de 2021</w:t>
        </w:r>
      </w:hyperlink>
      <w:r>
        <w:rPr>
          <w:i/>
          <w:iCs/>
          <w:color w:val="000000"/>
        </w:rPr>
        <w:t xml:space="preserve">, estabelece procedimentos para a participação de pessoa física nas contratações públicas regidas pela </w:t>
      </w:r>
      <w:hyperlink r:id="rId28" w:history="1">
        <w:r w:rsidRPr="00331C9D">
          <w:rPr>
            <w:rStyle w:val="Hyperlink"/>
            <w:i/>
            <w:iCs/>
          </w:rPr>
          <w:t>Lei nº 14.133, de 2021</w:t>
        </w:r>
      </w:hyperlink>
      <w:r>
        <w:rPr>
          <w:i/>
          <w:iCs/>
          <w:color w:val="000000"/>
        </w:rPr>
        <w:t>, no âmbito da Administração Pública federal direta, autárquica e fundacional. Em seu art. 2º, a norma considera pessoa física “ todo o trabalhador autônomo, sem qualquer vínculo de subordinação para fins de execução do objeto da contratação pública, incluindo os profissionais liberais não enquadrados como sociedade empresária ou empresário individual, nos termos das legislações específicas, que participa ou manifesta a intenção de participar de processo de contratação pública, sendo equiparado a fornecedor ou ao prestador de serviço que, em atendimento à solicitação da Administração, oferece proposta”.</w:t>
      </w:r>
    </w:p>
    <w:p w14:paraId="085DE4A4" w14:textId="77777777" w:rsidR="00952E08" w:rsidRDefault="00952E08" w:rsidP="00952E08">
      <w:pPr>
        <w:pStyle w:val="Textodecomentrio"/>
      </w:pPr>
      <w:r>
        <w:rPr>
          <w:i/>
          <w:iCs/>
          <w:color w:val="000000"/>
        </w:rPr>
        <w:t xml:space="preserve">A </w:t>
      </w:r>
      <w:hyperlink r:id="rId29" w:history="1">
        <w:r w:rsidRPr="00331C9D">
          <w:rPr>
            <w:rStyle w:val="Hyperlink"/>
            <w:i/>
            <w:iCs/>
          </w:rPr>
          <w:t>IN SEGES/ME nº 116, de 2021</w:t>
        </w:r>
      </w:hyperlink>
      <w:r>
        <w:rPr>
          <w:i/>
          <w:iCs/>
          <w:color w:val="000000"/>
        </w:rPr>
        <w:t xml:space="preserve">, determina, em seu art. 4º, caput, que os editais ou os avisos de contratação direta possibilitem a contratação das pessoas físicas, em observância aos objetivos da isonomia e da justa competição. Ainda de acordo com o parágrafo único desse mesmo dispositivo, será ressalvada a participação de pessoas físicas nas licitações ou contratações diretas, “quando a contratação exigir </w:t>
      </w:r>
      <w:r>
        <w:rPr>
          <w:b/>
          <w:bCs/>
          <w:i/>
          <w:iCs/>
          <w:color w:val="000000"/>
        </w:rPr>
        <w:t>capital social mínimo</w:t>
      </w:r>
      <w:r>
        <w:rPr>
          <w:i/>
          <w:iCs/>
          <w:color w:val="000000"/>
        </w:rPr>
        <w:t xml:space="preserve"> e </w:t>
      </w:r>
      <w:r>
        <w:rPr>
          <w:b/>
          <w:bCs/>
          <w:i/>
          <w:iCs/>
          <w:color w:val="000000"/>
        </w:rPr>
        <w:t>estrutura mínima</w:t>
      </w:r>
      <w:r>
        <w:rPr>
          <w:i/>
          <w:iCs/>
          <w:color w:val="000000"/>
        </w:rPr>
        <w:t xml:space="preserve">, com equipamentos, instalações e equipe de profissionais ou corpo técnico para a execução do objeto </w:t>
      </w:r>
      <w:r>
        <w:rPr>
          <w:b/>
          <w:bCs/>
          <w:i/>
          <w:iCs/>
          <w:color w:val="000000"/>
        </w:rPr>
        <w:t>incompatíveis com a natureza profissional da pessoa física</w:t>
      </w:r>
      <w:r>
        <w:rPr>
          <w:i/>
          <w:iCs/>
          <w:color w:val="000000"/>
        </w:rPr>
        <w:t xml:space="preserve">, conforme </w:t>
      </w:r>
      <w:r>
        <w:rPr>
          <w:b/>
          <w:bCs/>
          <w:i/>
          <w:iCs/>
          <w:color w:val="000000"/>
        </w:rPr>
        <w:t>demonstrado em estudo técnico preliminar</w:t>
      </w:r>
      <w:r>
        <w:rPr>
          <w:i/>
          <w:iCs/>
          <w:color w:val="000000"/>
        </w:rPr>
        <w:t xml:space="preserve">”. Portanto, a possibilidade, ou não, de contratação de pessoas físicas deverá ser objeto de prévia análise e manifestação técnica por parte do órgão contratante, na fase de planejamento da contratação. </w:t>
      </w:r>
    </w:p>
    <w:p w14:paraId="15190D58" w14:textId="77777777" w:rsidR="00952E08" w:rsidRDefault="00952E08" w:rsidP="00952E08">
      <w:pPr>
        <w:pStyle w:val="Textodecomentrio"/>
      </w:pPr>
      <w:r>
        <w:rPr>
          <w:i/>
          <w:iCs/>
          <w:color w:val="000000"/>
        </w:rPr>
        <w:t xml:space="preserve">O </w:t>
      </w:r>
      <w:hyperlink r:id="rId30" w:history="1">
        <w:r w:rsidRPr="00331C9D">
          <w:rPr>
            <w:rStyle w:val="Hyperlink"/>
            <w:i/>
            <w:iCs/>
          </w:rPr>
          <w:t>Decreto n.º 10.977, de 23 de fevereiro de 2022,</w:t>
        </w:r>
      </w:hyperlink>
      <w:r>
        <w:rPr>
          <w:i/>
          <w:iCs/>
          <w:color w:val="000000"/>
        </w:rPr>
        <w:t xml:space="preserve"> que regulamenta a Lei nº 7.116, de 29 de agosto de 1983, e a Lei nº 9.454, de 7 de abril de 1997, estabelece, em seu art. 3º, que a Carteira de Identidade passa a adotar o número de inscrição no Cadastro de Pessoas Físicas - CPF como o número do registro geral nacional previsto no inciso IV do </w:t>
      </w:r>
      <w:r>
        <w:rPr>
          <w:b/>
          <w:bCs/>
          <w:i/>
          <w:iCs/>
          <w:color w:val="000000"/>
        </w:rPr>
        <w:t>caput </w:t>
      </w:r>
      <w:r>
        <w:rPr>
          <w:i/>
          <w:iCs/>
          <w:color w:val="000000"/>
        </w:rPr>
        <w:t>do seu art. 11.</w:t>
      </w:r>
    </w:p>
  </w:comment>
  <w:comment w:id="50" w:author="Autor" w:initials="A">
    <w:p w14:paraId="7D21B16C"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O </w:t>
      </w:r>
      <w:hyperlink r:id="rId31" w:history="1">
        <w:r w:rsidRPr="008C1317">
          <w:rPr>
            <w:rStyle w:val="Hyperlink"/>
            <w:i/>
            <w:iCs/>
          </w:rPr>
          <w:t>art. 41 da Lei nº 14.195, de 26 de agosto de 2021</w:t>
        </w:r>
      </w:hyperlink>
      <w:r>
        <w:rPr>
          <w:i/>
          <w:iCs/>
          <w:color w:val="000000"/>
        </w:rPr>
        <w:t>, transformou todas as empresas individuais de responsabilidade limitada (EIRELI) existentes na data da entrada em vigor da Lei em sociedades limitadas unipessoais (SLU), independentemente de qualquer alteração em seus respectivos atos constitutivos.</w:t>
      </w:r>
    </w:p>
    <w:p w14:paraId="10A06EE1" w14:textId="77777777" w:rsidR="00952E08" w:rsidRDefault="00952E08" w:rsidP="00952E08">
      <w:pPr>
        <w:pStyle w:val="Textodecomentrio"/>
      </w:pPr>
      <w:r>
        <w:rPr>
          <w:i/>
          <w:iCs/>
          <w:color w:val="000000"/>
        </w:rPr>
        <w:t xml:space="preserve">Posteriormente, </w:t>
      </w:r>
      <w:hyperlink r:id="rId32" w:history="1">
        <w:r w:rsidRPr="008C1317">
          <w:rPr>
            <w:rStyle w:val="Hyperlink"/>
            <w:i/>
            <w:iCs/>
          </w:rPr>
          <w:t>o inciso VI, alíneas “a” e “b”, art. 20, da Lei nº 14.382, de 27 de junho de 2022</w:t>
        </w:r>
      </w:hyperlink>
      <w:r>
        <w:rPr>
          <w:i/>
          <w:iCs/>
          <w:color w:val="000000"/>
        </w:rPr>
        <w:t>, revogou as disposições sobre EIRELI constantes do inciso VI do caput do art. 44 e do Título I-A do Livro II da Parte Especial do Código Civil (</w:t>
      </w:r>
      <w:hyperlink r:id="rId33" w:history="1">
        <w:r w:rsidRPr="008C1317">
          <w:rPr>
            <w:rStyle w:val="Hyperlink"/>
            <w:i/>
            <w:iCs/>
          </w:rPr>
          <w:t>Lei nº 10.406, de 10 de janeiro de 2002</w:t>
        </w:r>
      </w:hyperlink>
      <w:r>
        <w:rPr>
          <w:i/>
          <w:iCs/>
          <w:color w:val="000000"/>
        </w:rPr>
        <w:t>).</w:t>
      </w:r>
    </w:p>
    <w:p w14:paraId="75CA5DEA" w14:textId="77777777" w:rsidR="00952E08" w:rsidRDefault="00952E08" w:rsidP="00952E08">
      <w:pPr>
        <w:pStyle w:val="Textodecomentrio"/>
      </w:pPr>
      <w:r>
        <w:rPr>
          <w:i/>
          <w:iCs/>
          <w:color w:val="000000"/>
        </w:rPr>
        <w:t>Diante dessa situação, orientamos os agentes de contratação da seguinte forma: se a empresa for identificada como EIRELI em seus atos constitutivos, ela deverá ser considerada como convertida em SLU, automaticamente, durante o processo de contratação. Os atos constitutivos, inclusive, deverão ser considerados regulares como EIRELI, mas a empresa deverá se comportar na contratação como uma SLU.</w:t>
      </w:r>
    </w:p>
  </w:comment>
  <w:comment w:id="52" w:author="Autor" w:initials="A">
    <w:p w14:paraId="6F81D257"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O subitem 8.13 tem como fundamento a parte final do disposto no </w:t>
      </w:r>
      <w:hyperlink r:id="rId34" w:history="1">
        <w:r w:rsidRPr="005B3CDA">
          <w:rPr>
            <w:rStyle w:val="Hyperlink"/>
            <w:i/>
            <w:iCs/>
          </w:rPr>
          <w:t>art. 66 da Lei nº 14.133, de 2021</w:t>
        </w:r>
      </w:hyperlink>
      <w:r>
        <w:rPr>
          <w:i/>
          <w:iCs/>
          <w:color w:val="000000"/>
        </w:rPr>
        <w:t>. Cabe ao órgão ou entidade analisar se a atividade relativa ao objeto a ser contratado exige registro ou autorização para funcionamento, em razão de previsão legal ou normativa. Em caso positivo, deverão ser especificados o documento a ser apresentado, o órgão competente para expedi-lo e o respectivo fundamento legal. Cite-se, como exemplo, a necessidade de registro de pessoas físicas ou jurídicas no Exército, com vistas ao exercício de qualquer atividade relativa a Produto Controlado pelo Exército (PCE), tais como a fabricação, o comércio, a importação, a exportação, a utilização e a prestação de serviços envolvendo arma de fogo, explosivo, munição, dentre outros.</w:t>
      </w:r>
    </w:p>
  </w:comment>
  <w:comment w:id="53" w:author="Autor" w:initials="A">
    <w:p w14:paraId="626F4904"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O artigo 193 do Código Tributário Nacional (</w:t>
      </w:r>
      <w:hyperlink r:id="rId35" w:history="1">
        <w:r w:rsidRPr="003A3836">
          <w:rPr>
            <w:rStyle w:val="Hyperlink"/>
            <w:i/>
            <w:iCs/>
          </w:rPr>
          <w:t>Lei nº 5.172, de 25 de outubro de 1966</w:t>
        </w:r>
      </w:hyperlink>
      <w:r>
        <w:rPr>
          <w:i/>
          <w:iCs/>
          <w:color w:val="000000"/>
        </w:rPr>
        <w:t xml:space="preserve">) preceitua que a prova da quitação de todos os tributos devidos dar-se-á no âmbito da Fazenda Pública interessada, “relativos à atividade em cujo exercício contrata ou concorre”. Nessa mesma linha, </w:t>
      </w:r>
      <w:hyperlink r:id="rId36" w:history="1">
        <w:r w:rsidRPr="003A3836">
          <w:rPr>
            <w:rStyle w:val="Hyperlink"/>
            <w:i/>
            <w:iCs/>
          </w:rPr>
          <w:t>o art. 68, inciso II, da Lei n.º 14.133, de 2021</w:t>
        </w:r>
      </w:hyperlink>
      <w:r>
        <w:rPr>
          <w:i/>
          <w:iCs/>
          <w:color w:val="000000"/>
        </w:rPr>
        <w:t>, estabelece a exigência de “inscrição no cadastro de contribuintes estadual e/ou municipal, se houver, relativo ao domicílio ou sede do licitante, pertinente ao seu ramo de atividade e compatível com o objeto contratual”. Dessa forma, a prova de inscrição no cadastro de contribuintes estadual ou municipal e a prova de regularidade fiscal correspondente deve levar em conta a natureza da atividade objeto da contratação e o âmbito da tributação sobre ele incidente:  tratando-se de serviços em geral, incide o ISS, tributo de competência municipal, ao passo que, para aquisições incide o ICMS, tributo de competência estadual. Cabe ao órgão contratante aferir o imposto aplicável e ajustar conforme o caso.</w:t>
      </w:r>
    </w:p>
  </w:comment>
  <w:comment w:id="54" w:author="Autor" w:initials="A">
    <w:p w14:paraId="62511091"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A apresentação do Certificado de Condição de Microempreendedor Individual – CCMEI supre as exigências de inscrição nos cadastros fiscais, na medida em que essas informações constam no próprio Certificado.</w:t>
      </w:r>
    </w:p>
  </w:comment>
  <w:comment w:id="55" w:author="Autor" w:initials="A">
    <w:p w14:paraId="5AF57D04" w14:textId="77777777" w:rsidR="00952E08" w:rsidRDefault="00952E08" w:rsidP="00952E08">
      <w:pPr>
        <w:pStyle w:val="Textodecomentrio"/>
        <w:rPr>
          <w:i/>
          <w:iCs/>
          <w:color w:val="000000"/>
        </w:rPr>
      </w:pPr>
      <w:r>
        <w:rPr>
          <w:rStyle w:val="Refdecomentrio"/>
        </w:rPr>
        <w:annotationRef/>
      </w:r>
      <w:r>
        <w:rPr>
          <w:b/>
          <w:bCs/>
          <w:i/>
          <w:iCs/>
          <w:color w:val="000000"/>
        </w:rPr>
        <w:t>Nota Explicativa 1:</w:t>
      </w:r>
      <w:r>
        <w:rPr>
          <w:i/>
          <w:iCs/>
          <w:color w:val="000000"/>
        </w:rPr>
        <w:t xml:space="preserve"> </w:t>
      </w:r>
      <w:r w:rsidRPr="00805130">
        <w:rPr>
          <w:i/>
          <w:iCs/>
          <w:color w:val="000000"/>
          <w:highlight w:val="green"/>
        </w:rPr>
        <w:t>Em se tratando de contratação direta não precedida de dispensa eletrônica, os aspectos da habilitação da empresa, sobretudo os ligados à qualificação técnica e econômica, podem estar discriminados no processo administrativo, ao se motivar a escolha do fornecedor, caso em que não precisam constar do Termo de Referência.</w:t>
      </w:r>
    </w:p>
    <w:p w14:paraId="16C9E357" w14:textId="77777777" w:rsidR="00952E08" w:rsidRDefault="00952E08" w:rsidP="00952E08">
      <w:pPr>
        <w:pStyle w:val="Textodecomentrio"/>
      </w:pPr>
      <w:r w:rsidRPr="00FE3296">
        <w:rPr>
          <w:b/>
          <w:bCs/>
          <w:i/>
          <w:iCs/>
          <w:color w:val="000000"/>
        </w:rPr>
        <w:t xml:space="preserve">Nota Explicativa </w:t>
      </w:r>
      <w:r>
        <w:rPr>
          <w:b/>
          <w:bCs/>
          <w:i/>
          <w:iCs/>
          <w:color w:val="000000"/>
        </w:rPr>
        <w:t>2</w:t>
      </w:r>
      <w:r w:rsidRPr="00FE3296">
        <w:rPr>
          <w:b/>
          <w:bCs/>
          <w:i/>
          <w:iCs/>
          <w:color w:val="000000"/>
        </w:rPr>
        <w:t xml:space="preserve">: </w:t>
      </w:r>
      <w:r>
        <w:rPr>
          <w:i/>
          <w:iCs/>
          <w:color w:val="000000"/>
        </w:rPr>
        <w:t xml:space="preserve">A Administração deve examinar, diante do caso concreto, se o objeto da contratação demanda a exigência de todos os requisitos de habilitação apresentados neste modelo, levando-se em consideração o vulto e/ou a complexidade e a essencialidade do objeto, bem como os riscos decorrentes de sua paralisação em função da eventual incapacidade econômica da contratada em suportar os deveres contratuais, excluindo-se o que entender excessivo. Nesse sentido, a exigência pode restringir-se a alguns itens, como, por exemplo, somente aos itens não exclusivos a microempresa e empresas de pequeno porte, ou mesmo não ser exigida para nenhum deles, caso em que deve ser suprimida do </w:t>
      </w:r>
      <w:r w:rsidRPr="002A00CD">
        <w:rPr>
          <w:i/>
          <w:iCs/>
          <w:color w:val="000000"/>
          <w:highlight w:val="green"/>
        </w:rPr>
        <w:t>documento</w:t>
      </w:r>
      <w:r>
        <w:rPr>
          <w:i/>
          <w:iCs/>
          <w:color w:val="000000"/>
        </w:rPr>
        <w:t xml:space="preserve">. Conforme Nota Explicativa do início deste tópico, a exigência de qualificação técnica e econômica nas circunstâncias previstas no art. 70, III da </w:t>
      </w:r>
      <w:hyperlink r:id="rId37" w:history="1">
        <w:r w:rsidRPr="00082396">
          <w:rPr>
            <w:rStyle w:val="Hyperlink"/>
            <w:i/>
            <w:iCs/>
          </w:rPr>
          <w:t>Lei n.º 14.133, de 2021</w:t>
        </w:r>
      </w:hyperlink>
      <w:r>
        <w:rPr>
          <w:i/>
          <w:iCs/>
          <w:color w:val="000000"/>
        </w:rPr>
        <w:t xml:space="preserve">, deve ser excepcional e justificada, à luz do </w:t>
      </w:r>
      <w:hyperlink r:id="rId38" w:history="1">
        <w:r w:rsidRPr="00082396">
          <w:rPr>
            <w:rStyle w:val="Hyperlink"/>
            <w:i/>
            <w:iCs/>
          </w:rPr>
          <w:t>art. 37, XXI, da Constituição Federal</w:t>
        </w:r>
      </w:hyperlink>
      <w:r>
        <w:rPr>
          <w:i/>
          <w:iCs/>
          <w:color w:val="000000"/>
        </w:rPr>
        <w:t>.</w:t>
      </w:r>
    </w:p>
    <w:p w14:paraId="5A232EC3" w14:textId="77777777" w:rsidR="00952E08" w:rsidRDefault="00952E08" w:rsidP="00952E08">
      <w:pPr>
        <w:pStyle w:val="Textodecomentrio"/>
      </w:pPr>
      <w:r>
        <w:rPr>
          <w:b/>
          <w:bCs/>
          <w:i/>
          <w:iCs/>
          <w:color w:val="000000"/>
        </w:rPr>
        <w:t>Nota Explicativa 3:</w:t>
      </w:r>
      <w:r>
        <w:rPr>
          <w:i/>
          <w:iCs/>
          <w:color w:val="000000"/>
        </w:rPr>
        <w:t xml:space="preserve"> É possível adotar critérios de habilitação econômico-financeira com requisitos diferenciados, estabelecidos conforme as peculiaridades do objeto a ser </w:t>
      </w:r>
      <w:r w:rsidRPr="002842F3">
        <w:rPr>
          <w:i/>
          <w:iCs/>
          <w:color w:val="000000"/>
          <w:highlight w:val="green"/>
        </w:rPr>
        <w:t>contratada</w:t>
      </w:r>
      <w:r>
        <w:rPr>
          <w:i/>
          <w:iCs/>
          <w:color w:val="000000"/>
        </w:rPr>
        <w:t xml:space="preserve">, com justificativa do percentual adotado nos autos do </w:t>
      </w:r>
      <w:r w:rsidRPr="004E2E38">
        <w:rPr>
          <w:i/>
          <w:iCs/>
          <w:color w:val="000000"/>
          <w:highlight w:val="green"/>
        </w:rPr>
        <w:t>processo</w:t>
      </w:r>
      <w:r>
        <w:rPr>
          <w:i/>
          <w:iCs/>
          <w:color w:val="000000"/>
        </w:rPr>
        <w:t>.</w:t>
      </w:r>
    </w:p>
  </w:comment>
  <w:comment w:id="56" w:author="Autor" w:initials="A">
    <w:p w14:paraId="12C5C47C" w14:textId="77777777" w:rsidR="00952E08" w:rsidRDefault="00952E08" w:rsidP="00952E08">
      <w:pPr>
        <w:pStyle w:val="Textodecomentrio"/>
      </w:pPr>
      <w:r>
        <w:t>Nota Explicativa: Conforme o §4º do art. 16 da Instrução Normativa SEGES/MP nº 3, de 2018</w:t>
      </w:r>
      <w:r>
        <w:rPr>
          <w:rStyle w:val="Refdecomentrio"/>
        </w:rPr>
        <w:annotationRef/>
      </w:r>
    </w:p>
  </w:comment>
  <w:comment w:id="57" w:author="Autor" w:initials="A">
    <w:p w14:paraId="480F9420" w14:textId="77777777" w:rsidR="00952E08" w:rsidRDefault="00952E08" w:rsidP="00952E08">
      <w:pPr>
        <w:pStyle w:val="Textodecomentrio"/>
      </w:pPr>
      <w:r>
        <w:rPr>
          <w:rStyle w:val="Refdecomentrio"/>
        </w:rPr>
        <w:annotationRef/>
      </w:r>
      <w:r>
        <w:rPr>
          <w:b/>
          <w:bCs/>
          <w:i/>
          <w:iCs/>
          <w:color w:val="000000"/>
        </w:rPr>
        <w:t>Nota Explicativa 1:</w:t>
      </w:r>
      <w:r>
        <w:rPr>
          <w:i/>
          <w:iCs/>
          <w:color w:val="000000"/>
        </w:rPr>
        <w:t xml:space="preserve"> Não podem ser cumulativas as exigências de capital mínimo e de patrimônio líquido mínimo, razão pela qual a Administração deverá escolher motivadamente entre uma das duas opções.</w:t>
      </w:r>
    </w:p>
    <w:p w14:paraId="18B2699E" w14:textId="77777777" w:rsidR="00952E08" w:rsidRDefault="00952E08" w:rsidP="00952E08">
      <w:pPr>
        <w:pStyle w:val="Textodecomentrio"/>
      </w:pPr>
      <w:r>
        <w:rPr>
          <w:b/>
          <w:bCs/>
          <w:i/>
          <w:iCs/>
          <w:color w:val="000000"/>
        </w:rPr>
        <w:t>Nota Explicativa 2:</w:t>
      </w:r>
      <w:r>
        <w:rPr>
          <w:i/>
          <w:iCs/>
          <w:color w:val="000000"/>
        </w:rPr>
        <w:t xml:space="preserve"> A fixação do percentual se insere na esfera de atuação discricionária da Administração até o limite legal de 10% (dez por cento) do valor estimado da contratação e deve ser proporcional aos riscos que a inexecução total ou parcial do contrato poderá acarretar para a Administração, considerando-se, entre outros fatores, o valor do contrato, a essencialidade do objeto, o tempo de duração do contrato. </w:t>
      </w:r>
    </w:p>
    <w:p w14:paraId="0F8A8BA6" w14:textId="77777777" w:rsidR="00952E08" w:rsidRDefault="00952E08" w:rsidP="00952E08">
      <w:pPr>
        <w:pStyle w:val="Textodecomentrio"/>
      </w:pPr>
      <w:r>
        <w:rPr>
          <w:i/>
          <w:iCs/>
          <w:color w:val="000000"/>
        </w:rPr>
        <w:t>A sondagem do mercado se afigura importante, a fim de obter dados sobre o porte das empresas que atuam na área objeto da contratação. Ressalte-se que, se o referido percentual for fixado em seu mais alto patamar e o valor total estimado da contratação também for significativo, trará como consequência a necessidade de comprovação de patrimônio líquido elevado, o que poderá resultar na restrição à participação de interessados no certame, em especial, de microempresas ou empresas de pequeno porte, podendo ferir o princípio constitucional de incentivo a essas unidades empresariais. Por essa razão, é indispensável avaliação técnica sobre o assunto.</w:t>
      </w:r>
    </w:p>
  </w:comment>
  <w:comment w:id="58" w:author="Autor" w:initials="A">
    <w:p w14:paraId="511C0A17"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A previsão do subitem 8.29 decorre do disposto no </w:t>
      </w:r>
      <w:hyperlink r:id="rId39" w:history="1">
        <w:r w:rsidRPr="00BB65C0">
          <w:rPr>
            <w:rStyle w:val="Hyperlink"/>
            <w:i/>
            <w:iCs/>
          </w:rPr>
          <w:t>art. 69, §1º da Lei nº 14.133, de 2021</w:t>
        </w:r>
      </w:hyperlink>
      <w:r>
        <w:rPr>
          <w:i/>
          <w:iCs/>
          <w:color w:val="000000"/>
        </w:rPr>
        <w:t>, podendo a Administração optar por tal disposição, desde que justificadamente.</w:t>
      </w:r>
    </w:p>
  </w:comment>
  <w:comment w:id="59" w:author="Autor" w:initials="A">
    <w:p w14:paraId="3BBBE355" w14:textId="77777777" w:rsidR="00952E08" w:rsidRDefault="00952E08" w:rsidP="00952E08">
      <w:pPr>
        <w:pStyle w:val="Textodecomentrio"/>
        <w:rPr>
          <w:i/>
          <w:iCs/>
          <w:color w:val="000000"/>
        </w:rPr>
      </w:pPr>
      <w:r>
        <w:rPr>
          <w:rStyle w:val="Refdecomentrio"/>
        </w:rPr>
        <w:annotationRef/>
      </w:r>
      <w:r>
        <w:rPr>
          <w:b/>
          <w:bCs/>
          <w:i/>
          <w:iCs/>
          <w:color w:val="000000"/>
        </w:rPr>
        <w:t>Nota Explicativa 1</w:t>
      </w:r>
      <w:r>
        <w:rPr>
          <w:i/>
          <w:iCs/>
          <w:color w:val="000000"/>
        </w:rPr>
        <w:t xml:space="preserve">: </w:t>
      </w:r>
      <w:r w:rsidRPr="004E2E38">
        <w:rPr>
          <w:i/>
          <w:iCs/>
          <w:color w:val="000000"/>
          <w:highlight w:val="green"/>
        </w:rPr>
        <w:t>Em se tratando de contratação direta não precedida de dispensa eletrônica, os critérios de habilitação, notadamente os de qualificação econômica e técnica, podem estar apontados no processo, na motivação para a escolha do fornecedor, caso em que poderão ser suprimidos do TR.</w:t>
      </w:r>
      <w:r>
        <w:rPr>
          <w:i/>
          <w:iCs/>
          <w:color w:val="000000"/>
        </w:rPr>
        <w:t xml:space="preserve"> </w:t>
      </w:r>
    </w:p>
    <w:p w14:paraId="320CF897" w14:textId="77777777" w:rsidR="00952E08" w:rsidRDefault="00952E08" w:rsidP="00952E08">
      <w:pPr>
        <w:pStyle w:val="Textodecomentrio"/>
      </w:pPr>
      <w:r w:rsidRPr="004E2E38">
        <w:rPr>
          <w:b/>
          <w:bCs/>
          <w:i/>
          <w:iCs/>
          <w:color w:val="000000"/>
        </w:rPr>
        <w:t xml:space="preserve">Nota Explicativa </w:t>
      </w:r>
      <w:r>
        <w:rPr>
          <w:b/>
          <w:bCs/>
          <w:i/>
          <w:iCs/>
          <w:color w:val="000000"/>
        </w:rPr>
        <w:t>2</w:t>
      </w:r>
      <w:r w:rsidRPr="004E2E38">
        <w:rPr>
          <w:b/>
          <w:bCs/>
          <w:i/>
          <w:iCs/>
          <w:color w:val="000000"/>
        </w:rPr>
        <w:t>:</w:t>
      </w:r>
      <w:r>
        <w:rPr>
          <w:i/>
          <w:iCs/>
          <w:color w:val="000000"/>
        </w:rPr>
        <w:t xml:space="preserve"> O </w:t>
      </w:r>
      <w:hyperlink r:id="rId40" w:history="1">
        <w:r w:rsidRPr="00CC6BDB">
          <w:rPr>
            <w:rStyle w:val="Hyperlink"/>
            <w:i/>
            <w:iCs/>
          </w:rPr>
          <w:t>art. 67 da Lei nº 14.133, de 2021</w:t>
        </w:r>
      </w:hyperlink>
      <w:r>
        <w:rPr>
          <w:i/>
          <w:iCs/>
          <w:color w:val="000000"/>
        </w:rPr>
        <w:t xml:space="preserve">, não estabelece exigências de qualificação técnico-operacional ou técnico-profissional para o caso de contratações cujo objeto seja a aquisição de bens, tratando o dispositivo legal apenas das exigências pertinentes às obras e serviços. Nada obstante, entende-se ser juridicamente possível que a Administração formule exigências de qualificação técnica dos fornecedores no caso de compras de bens, com fundamento no </w:t>
      </w:r>
      <w:hyperlink r:id="rId41" w:history="1">
        <w:r w:rsidRPr="00CC6BDB">
          <w:rPr>
            <w:rStyle w:val="Hyperlink"/>
            <w:i/>
            <w:iCs/>
          </w:rPr>
          <w:t>artigo 37, inciso XXI, da Constituição Federal</w:t>
        </w:r>
      </w:hyperlink>
      <w:r>
        <w:rPr>
          <w:i/>
          <w:iCs/>
          <w:color w:val="000000"/>
        </w:rPr>
        <w:t xml:space="preserve">, caso verifique que a medida é indispensável à garantia do cumprimento das obrigações pertinentes à execução do objeto. </w:t>
      </w:r>
    </w:p>
    <w:p w14:paraId="36A981FD" w14:textId="77777777" w:rsidR="00952E08" w:rsidRDefault="00952E08" w:rsidP="00952E08">
      <w:pPr>
        <w:pStyle w:val="Textodecomentrio"/>
      </w:pPr>
      <w:r>
        <w:rPr>
          <w:i/>
          <w:iCs/>
          <w:color w:val="000000"/>
        </w:rPr>
        <w:t xml:space="preserve">Para tanto, recomenda-se que a Administração se utilize da interpretação extensiva das regras, limites e princípios que incidem em relação à prova de qualificação técnica dos </w:t>
      </w:r>
      <w:r w:rsidRPr="004E2E38">
        <w:rPr>
          <w:i/>
          <w:iCs/>
          <w:color w:val="000000"/>
          <w:highlight w:val="green"/>
        </w:rPr>
        <w:t>interessados</w:t>
      </w:r>
      <w:r>
        <w:rPr>
          <w:i/>
          <w:iCs/>
          <w:color w:val="000000"/>
        </w:rPr>
        <w:t xml:space="preserve"> na contratação de serviços, observadas as peculiaridades das compras em cada caso concreto.</w:t>
      </w:r>
    </w:p>
    <w:p w14:paraId="1FEC852E" w14:textId="77777777" w:rsidR="00952E08" w:rsidRDefault="00952E08" w:rsidP="00952E08">
      <w:pPr>
        <w:pStyle w:val="Textodecomentrio"/>
      </w:pPr>
      <w:r>
        <w:rPr>
          <w:b/>
          <w:bCs/>
          <w:i/>
          <w:iCs/>
        </w:rPr>
        <w:t xml:space="preserve">Nota Explicativa 3: </w:t>
      </w:r>
      <w:r>
        <w:rPr>
          <w:i/>
          <w:iCs/>
          <w:color w:val="000000"/>
        </w:rPr>
        <w:t>Além de avaliar a pertinência de exigir qualificação técnica, o rigor das exigências também deve ser avaliado, promovendo-se adaptações pela área demandante ante o tipo de contratação que se pretende fazer. A redação ora apresentada visa a dispor sobre as possibilidades gerais trazidas pela lei, mas a área competente do órgão contratante deverá, NECESSARIAMENTE, ajustar TODAS as cláusulas aqui presentes à realidade de sua demanda específica, com base em justificativa do ETP.</w:t>
      </w:r>
    </w:p>
    <w:p w14:paraId="4FBDE703" w14:textId="77777777" w:rsidR="00952E08" w:rsidRDefault="00952E08" w:rsidP="00952E08">
      <w:pPr>
        <w:pStyle w:val="Textodecomentrio"/>
      </w:pPr>
      <w:r>
        <w:rPr>
          <w:b/>
          <w:bCs/>
          <w:i/>
          <w:iCs/>
          <w:color w:val="000000"/>
        </w:rPr>
        <w:t>Nota Explicativa 4</w:t>
      </w:r>
      <w:r>
        <w:rPr>
          <w:i/>
          <w:iCs/>
          <w:color w:val="000000"/>
        </w:rPr>
        <w:t xml:space="preserve">: Em relação pessoa física ou jurídica que se caracterize como “potencial subcontratado”, é possível a previsão de exigência de atestados específicos, situação na qual mais de um </w:t>
      </w:r>
      <w:r w:rsidRPr="004E2E38">
        <w:rPr>
          <w:i/>
          <w:iCs/>
          <w:color w:val="000000"/>
          <w:highlight w:val="green"/>
        </w:rPr>
        <w:t>interessado</w:t>
      </w:r>
      <w:r>
        <w:rPr>
          <w:i/>
          <w:iCs/>
          <w:color w:val="000000"/>
        </w:rPr>
        <w:t xml:space="preserve"> poderá apresentar atestado relativo ao mesmo potencial subcontratado. Nesse sentido é o teor do § 9º do art. 67 da Lei nº 14.133, de 2021:</w:t>
      </w:r>
    </w:p>
    <w:p w14:paraId="43544BDC" w14:textId="77777777" w:rsidR="00952E08" w:rsidRDefault="00952E08" w:rsidP="00952E08">
      <w:pPr>
        <w:pStyle w:val="Textodecomentrio"/>
      </w:pPr>
      <w:r>
        <w:rPr>
          <w:i/>
          <w:iCs/>
          <w:color w:val="000000"/>
        </w:rPr>
        <w:t>“O edital poderá prever, para aspectos técnicos específicos, que a qualificação técnica seja demonstrada por meio de atestados relativos a potencial subcontratado, limitado a 25% (vinte e cinco por cento) do objeto a ser licitado, hipótese em que mais de um licitante poderá apresentar atestado relativo ao mesmo potencial subcontratado.”</w:t>
      </w:r>
    </w:p>
  </w:comment>
  <w:comment w:id="60" w:author="Autor" w:initials="A">
    <w:p w14:paraId="13EF14BC" w14:textId="77777777" w:rsidR="00952E08" w:rsidRDefault="00952E08" w:rsidP="00952E08">
      <w:r w:rsidRPr="1D416567">
        <w:rPr>
          <w:b/>
          <w:bCs/>
          <w:i/>
          <w:iCs/>
          <w:color w:val="000000" w:themeColor="text1"/>
        </w:rPr>
        <w:t>Nota explicativa:</w:t>
      </w:r>
      <w:r w:rsidRPr="1D416567">
        <w:rPr>
          <w:i/>
          <w:iCs/>
          <w:color w:val="000000" w:themeColor="text1"/>
        </w:rPr>
        <w:t xml:space="preserve"> A exigência do só deve ser formulada quando, por determinação legal, o exercício de determinada atividade afeta ao objeto contratual esteja sujeita à fiscalização da entidade profissional competente, a ser indicada expressamente no dispositivo. </w:t>
      </w:r>
      <w:r>
        <w:annotationRef/>
      </w:r>
    </w:p>
    <w:p w14:paraId="55FB33A8" w14:textId="77777777" w:rsidR="00952E08" w:rsidRDefault="00952E08" w:rsidP="00952E08">
      <w:r w:rsidRPr="1D416567">
        <w:rPr>
          <w:i/>
          <w:iCs/>
          <w:color w:val="000000" w:themeColor="text1"/>
        </w:rPr>
        <w:t>Quando não existir determinação legal atrelando o exercício de determinada atividade ao correspondente conselho de fiscalização profissional, a exigência de registro ou inscrição, para fim de habilitação, torna-se inaplicável. Nessas situações, o referido subitem deve ser excluído.</w:t>
      </w:r>
    </w:p>
  </w:comment>
  <w:comment w:id="61" w:author="Autor" w:initials="A">
    <w:p w14:paraId="20F99930" w14:textId="77777777" w:rsidR="00952E08" w:rsidRDefault="00952E08" w:rsidP="00952E08">
      <w:pPr>
        <w:pStyle w:val="Textodecomentrio"/>
      </w:pPr>
      <w:r>
        <w:rPr>
          <w:rStyle w:val="Refdecomentrio"/>
        </w:rPr>
        <w:annotationRef/>
      </w:r>
      <w:r>
        <w:rPr>
          <w:b/>
          <w:bCs/>
          <w:i/>
          <w:iCs/>
          <w:color w:val="000000"/>
        </w:rPr>
        <w:t>Nota Explicativa 1:</w:t>
      </w:r>
      <w:r>
        <w:rPr>
          <w:i/>
          <w:iCs/>
          <w:color w:val="000000"/>
        </w:rPr>
        <w:t xml:space="preserve"> A essência da capacidade operacional é procurar identificar se a futura contratada tem a infraestrutura empresarial e a capacidade de gestão de executar o objeto e, justamente por esse contexto, podem ser feitas exigências de comprovação de anterior execução de quantitativos mínimos (compatíveis com o objeto a ser contratado). Deste modo, é possível que essa comprovação se dê pela somatória de atestados de contratos executados realizados concomitantemente, pois da mesma forma revelam a capacidade operacional da empresa.</w:t>
      </w:r>
    </w:p>
    <w:p w14:paraId="22768228" w14:textId="77777777" w:rsidR="00952E08" w:rsidRDefault="00952E08" w:rsidP="00952E08">
      <w:pPr>
        <w:pStyle w:val="Textodecomentrio"/>
      </w:pPr>
      <w:r>
        <w:rPr>
          <w:i/>
          <w:iCs/>
          <w:color w:val="000000"/>
        </w:rPr>
        <w:t xml:space="preserve">De qualquer forma, é absolutamente fundamental que a exigência seja totalmente objetiva, indicando quantitativos precisos, para evitar dúvidas na hora da habilitação, que podem vir a comprometer o objetivo do processo, de formalizar a contratação. </w:t>
      </w:r>
    </w:p>
    <w:p w14:paraId="376C0974" w14:textId="77777777" w:rsidR="00952E08" w:rsidRDefault="00952E08" w:rsidP="00952E08">
      <w:pPr>
        <w:pStyle w:val="Textodecomentrio"/>
      </w:pPr>
      <w:r>
        <w:rPr>
          <w:i/>
          <w:iCs/>
          <w:color w:val="000000"/>
        </w:rPr>
        <w:t xml:space="preserve">Conforme </w:t>
      </w:r>
      <w:hyperlink r:id="rId42" w:history="1">
        <w:r w:rsidRPr="00B84260">
          <w:rPr>
            <w:rStyle w:val="Hyperlink"/>
            <w:i/>
            <w:iCs/>
          </w:rPr>
          <w:t>§2º do art. 67 da Lei nº 14.133, de 2021</w:t>
        </w:r>
      </w:hyperlink>
      <w:r>
        <w:rPr>
          <w:i/>
          <w:iCs/>
          <w:color w:val="000000"/>
        </w:rPr>
        <w:t xml:space="preserve">, “será admitida a exigência de atestados com quantidades mínimas de até 50% (cinquenta por cento) das parcelas de que trata o referido parágrafo, vedadas limitações de tempo e de locais específicos relativas aos atestados”. Além disso, registre-se que só é possível a exigência de atestado quanto às parcelas de maior relevância, entendidas essas como as que possuem valor individual igual ou superior a 4% do valor total estimado da contratação (art. 67, §1º). </w:t>
      </w:r>
    </w:p>
    <w:p w14:paraId="46B38793" w14:textId="77777777" w:rsidR="00952E08" w:rsidRDefault="00952E08" w:rsidP="00952E08">
      <w:pPr>
        <w:pStyle w:val="Textodecomentrio"/>
      </w:pPr>
      <w:r>
        <w:rPr>
          <w:b/>
          <w:bCs/>
          <w:i/>
          <w:iCs/>
          <w:color w:val="000000"/>
        </w:rPr>
        <w:t xml:space="preserve">Nota Explicativa 2: </w:t>
      </w:r>
      <w:r>
        <w:rPr>
          <w:i/>
          <w:iCs/>
          <w:color w:val="000000"/>
        </w:rPr>
        <w:t xml:space="preserve">Os requisitos de qualificação técnica são aplicáveis a todos os </w:t>
      </w:r>
      <w:r w:rsidRPr="004E2E38">
        <w:rPr>
          <w:i/>
          <w:iCs/>
          <w:color w:val="000000"/>
          <w:highlight w:val="green"/>
        </w:rPr>
        <w:t>interessados</w:t>
      </w:r>
      <w:r>
        <w:rPr>
          <w:i/>
          <w:iCs/>
          <w:color w:val="000000"/>
        </w:rPr>
        <w:t xml:space="preserve">, inclusive pessoas físicas, conforme inciso I do </w:t>
      </w:r>
      <w:hyperlink r:id="rId43" w:history="1">
        <w:r w:rsidRPr="00B84260">
          <w:rPr>
            <w:rStyle w:val="Hyperlink"/>
            <w:i/>
            <w:iCs/>
          </w:rPr>
          <w:t>art. 5º da Instrução Normativa Seges/ME nº 116, de 2021</w:t>
        </w:r>
      </w:hyperlink>
      <w:r>
        <w:rPr>
          <w:i/>
          <w:iCs/>
          <w:color w:val="000000"/>
        </w:rPr>
        <w:t>.</w:t>
      </w:r>
    </w:p>
    <w:p w14:paraId="7064E379" w14:textId="77777777" w:rsidR="00952E08" w:rsidRDefault="00952E08" w:rsidP="00952E08">
      <w:pPr>
        <w:pStyle w:val="Textodecomentrio"/>
      </w:pPr>
      <w:r>
        <w:rPr>
          <w:b/>
          <w:bCs/>
          <w:i/>
          <w:iCs/>
          <w:color w:val="000000"/>
        </w:rPr>
        <w:t xml:space="preserve">Nota Explicativa 3: </w:t>
      </w:r>
      <w:r>
        <w:rPr>
          <w:i/>
          <w:iCs/>
          <w:color w:val="000000"/>
        </w:rPr>
        <w:t xml:space="preserve">Caso seja permitida a subcontratação de fornecimento com aspectos técnicos específicos, poderá ser admitida a apresentação de atestados relativos a potencial subcontratado, limitado a 25% do objeto, conforme </w:t>
      </w:r>
      <w:hyperlink r:id="rId44" w:history="1">
        <w:r w:rsidRPr="00B84260">
          <w:rPr>
            <w:rStyle w:val="Hyperlink"/>
            <w:i/>
            <w:iCs/>
          </w:rPr>
          <w:t>art. 67, §9º da Lei nº 14.133, de 2021.</w:t>
        </w:r>
      </w:hyperlink>
    </w:p>
    <w:p w14:paraId="69778753" w14:textId="77777777" w:rsidR="00952E08" w:rsidRDefault="00952E08" w:rsidP="00952E08">
      <w:pPr>
        <w:pStyle w:val="Textodecomentrio"/>
      </w:pPr>
      <w:r>
        <w:rPr>
          <w:b/>
          <w:bCs/>
          <w:i/>
          <w:iCs/>
          <w:color w:val="000000"/>
        </w:rPr>
        <w:t xml:space="preserve">Em sendo esse o caso do processo, recomenda-se inserir a seguinte disposição: </w:t>
      </w:r>
    </w:p>
    <w:p w14:paraId="298F6A6C" w14:textId="77777777" w:rsidR="00952E08" w:rsidRDefault="00952E08" w:rsidP="00952E08">
      <w:pPr>
        <w:pStyle w:val="Textodecomentrio"/>
      </w:pPr>
      <w:r>
        <w:rPr>
          <w:b/>
          <w:bCs/>
          <w:i/>
          <w:iCs/>
          <w:color w:val="000000"/>
        </w:rPr>
        <w:t>8.31.x: Será admitida a apresentação de atestados relativos a potencial subcontratado em relação à parcela do fornecimento de.... ..., cuja subcontratação foi expressamente autorizada no tópico pertinente.</w:t>
      </w:r>
    </w:p>
  </w:comment>
  <w:comment w:id="62" w:author="Autor" w:initials="A">
    <w:p w14:paraId="7DF280F4" w14:textId="77777777" w:rsidR="00952E08" w:rsidRDefault="00952E08" w:rsidP="00952E08">
      <w:pPr>
        <w:pStyle w:val="Textodecomentrio"/>
      </w:pPr>
      <w:r>
        <w:rPr>
          <w:rStyle w:val="Refdecomentrio"/>
        </w:rPr>
        <w:annotationRef/>
      </w:r>
      <w:r>
        <w:rPr>
          <w:b/>
          <w:bCs/>
          <w:i/>
          <w:iCs/>
          <w:color w:val="000000"/>
        </w:rPr>
        <w:t>Nota Explicativa:</w:t>
      </w:r>
      <w:r>
        <w:rPr>
          <w:i/>
          <w:iCs/>
          <w:color w:val="000000"/>
        </w:rPr>
        <w:t xml:space="preserve"> Nesse sentido, o </w:t>
      </w:r>
      <w:hyperlink r:id="rId45" w:history="1">
        <w:r w:rsidRPr="004908F6">
          <w:rPr>
            <w:rStyle w:val="Hyperlink"/>
            <w:i/>
            <w:iCs/>
          </w:rPr>
          <w:t>Parecer n. 00005/2021/CNMLC/CGU/AGU</w:t>
        </w:r>
      </w:hyperlink>
      <w:r>
        <w:rPr>
          <w:i/>
          <w:iCs/>
          <w:color w:val="000000"/>
        </w:rPr>
        <w:t xml:space="preserve"> fixou que “se a filial pode até mesmo executar uma contratação formalizada com a matriz, não restam motivos para entender que os atestados de capacitação técnica emitidos em favor de uma não possam ser aproveitados pela outra, haja vista serem ambas rigorosamente a mesma empresa.” Vale observar que referido entendimento se inspirou na </w:t>
      </w:r>
      <w:hyperlink r:id="rId46" w:history="1">
        <w:r w:rsidRPr="004908F6">
          <w:rPr>
            <w:rStyle w:val="Hyperlink"/>
            <w:i/>
            <w:iCs/>
          </w:rPr>
          <w:t>ORIENTAÇÃO NORMATIVA Nº 66, DE 29 DE MAIO DE 2020.</w:t>
        </w:r>
      </w:hyperlink>
    </w:p>
  </w:comment>
  <w:comment w:id="63" w:author="Autor" w:initials="A">
    <w:p w14:paraId="5B4A1B08" w14:textId="77777777" w:rsidR="00952E08" w:rsidRDefault="00952E08" w:rsidP="00952E08">
      <w:pPr>
        <w:pStyle w:val="Textodecomentrio"/>
      </w:pPr>
      <w:r>
        <w:rPr>
          <w:rStyle w:val="Refdecomentrio"/>
        </w:rPr>
        <w:annotationRef/>
      </w:r>
      <w:r>
        <w:rPr>
          <w:b/>
          <w:bCs/>
        </w:rPr>
        <w:t>Nota Explicativa:</w:t>
      </w:r>
      <w:r>
        <w:t xml:space="preserve"> Eventuais requisitos de qualificação técnica previstos em lei específica e que incidam sobre a atividade objeto da contratação, deverão ser indicados no item 8.31.5, com fundamento no art. 67, inciso IV, da </w:t>
      </w:r>
      <w:hyperlink r:id="rId47" w:history="1">
        <w:r w:rsidRPr="0047239D">
          <w:rPr>
            <w:rStyle w:val="Hyperlink"/>
          </w:rPr>
          <w:t>Lei nº 14.133, de 2021</w:t>
        </w:r>
      </w:hyperlink>
      <w:r>
        <w:t xml:space="preserve">. Cita-se, exemplificativamente, a exigência, dentre os documentos de habilitação técnica, da chamada Autorização Especial, emitida pela Agência Nacional de Vigilância Sanitária – Anvisa, nas contratações para aquisição de medicamentos sujeitos a controle especial, com base na </w:t>
      </w:r>
      <w:hyperlink r:id="rId48" w:history="1">
        <w:r w:rsidRPr="0047239D">
          <w:rPr>
            <w:rStyle w:val="Hyperlink"/>
          </w:rPr>
          <w:t>Lei n.º 6.360, de 23 de setembro de 1976</w:t>
        </w:r>
      </w:hyperlink>
      <w:r>
        <w:t xml:space="preserve">, e na </w:t>
      </w:r>
      <w:hyperlink r:id="rId49" w:history="1">
        <w:r w:rsidRPr="0047239D">
          <w:rPr>
            <w:rStyle w:val="Hyperlink"/>
          </w:rPr>
          <w:t>Resolução da Diretoria Colegiada da RDC/Anvisa nº 16, de 1º de abril de 2014</w:t>
        </w:r>
      </w:hyperlink>
      <w:r>
        <w:t>.</w:t>
      </w:r>
    </w:p>
  </w:comment>
  <w:comment w:id="64" w:author="Autor" w:initials="A">
    <w:p w14:paraId="44FBEEA1" w14:textId="77777777" w:rsidR="00952E08" w:rsidRDefault="00952E08" w:rsidP="00952E08">
      <w:pPr>
        <w:pStyle w:val="Textodecomentrio"/>
      </w:pPr>
      <w:r>
        <w:rPr>
          <w:rStyle w:val="Refdecomentrio"/>
        </w:rPr>
        <w:annotationRef/>
      </w:r>
      <w:r>
        <w:rPr>
          <w:b/>
          <w:bCs/>
          <w:i/>
          <w:iCs/>
          <w:color w:val="000000"/>
        </w:rPr>
        <w:t xml:space="preserve">Nota Explicativa 1: </w:t>
      </w:r>
      <w:r>
        <w:rPr>
          <w:i/>
          <w:iCs/>
          <w:color w:val="000000"/>
        </w:rPr>
        <w:t xml:space="preserve">Pesquisa de Preços - A estimativa de preços deve ser precedida de regular pesquisa, nos moldes do </w:t>
      </w:r>
      <w:hyperlink r:id="rId50" w:history="1">
        <w:r w:rsidRPr="008F1673">
          <w:rPr>
            <w:rStyle w:val="Hyperlink"/>
            <w:i/>
            <w:iCs/>
          </w:rPr>
          <w:t>art. 23 da Lei nº 14.133, de 2021</w:t>
        </w:r>
      </w:hyperlink>
      <w:r>
        <w:rPr>
          <w:i/>
          <w:iCs/>
          <w:color w:val="000000"/>
        </w:rPr>
        <w:t xml:space="preserve">, e da </w:t>
      </w:r>
      <w:hyperlink r:id="rId51" w:history="1">
        <w:r w:rsidRPr="008F1673">
          <w:rPr>
            <w:rStyle w:val="Hyperlink"/>
            <w:i/>
            <w:iCs/>
          </w:rPr>
          <w:t>Instrução Normativa SEGES/ME nº 65, de 7 de julho 2021.</w:t>
        </w:r>
      </w:hyperlink>
    </w:p>
    <w:p w14:paraId="0FFE5F79" w14:textId="77777777" w:rsidR="00952E08" w:rsidRDefault="00952E08" w:rsidP="00952E08">
      <w:pPr>
        <w:pStyle w:val="Textodecomentrio"/>
      </w:pPr>
      <w:r>
        <w:rPr>
          <w:b/>
          <w:bCs/>
          <w:i/>
          <w:iCs/>
        </w:rPr>
        <w:t>Nota Explicativa 2:</w:t>
      </w:r>
      <w:r>
        <w:rPr>
          <w:i/>
          <w:iCs/>
        </w:rPr>
        <w:t xml:space="preserve"> Os preços unitários referenciais, as memórias de cálculo e os documentos que lhe dão suporte, com os parâmetros utilizados para a obtenção dos preços e para os respectivos cálculos, devem constar de anexo ao termo de referência,</w:t>
      </w:r>
      <w:r>
        <w:rPr>
          <w:i/>
          <w:iCs/>
          <w:color w:val="FF0000"/>
        </w:rPr>
        <w:t xml:space="preserve"> </w:t>
      </w:r>
      <w:r>
        <w:rPr>
          <w:i/>
          <w:iCs/>
        </w:rPr>
        <w:t xml:space="preserve">nos termos do </w:t>
      </w:r>
      <w:hyperlink r:id="rId52" w:history="1">
        <w:r w:rsidRPr="008F1673">
          <w:rPr>
            <w:rStyle w:val="Hyperlink"/>
            <w:i/>
            <w:iCs/>
          </w:rPr>
          <w:t>art. 9º, IX, da Instrução Normativa Seges/ME nº 81, de 2022</w:t>
        </w:r>
      </w:hyperlink>
      <w:r>
        <w:rPr>
          <w:i/>
          <w:iCs/>
        </w:rPr>
        <w:t xml:space="preserve">. Caso a Administração opte por preservar o sigilo da estimativa do valor da contratação, também deverá ser preservado o sigilo desse anexo. </w:t>
      </w:r>
    </w:p>
    <w:p w14:paraId="2CA1554A" w14:textId="77777777" w:rsidR="00952E08" w:rsidRDefault="00952E08" w:rsidP="00952E08">
      <w:pPr>
        <w:pStyle w:val="Textodecomentrio"/>
      </w:pPr>
      <w:r>
        <w:rPr>
          <w:b/>
          <w:bCs/>
          <w:i/>
          <w:iCs/>
        </w:rPr>
        <w:t xml:space="preserve">Nota Explicativa 3: </w:t>
      </w:r>
      <w:r>
        <w:rPr>
          <w:i/>
          <w:iCs/>
        </w:rPr>
        <w:t>Utilizar a redação do item 9.1 na hipótese em que for adotado o critério de julgamento por menor preço, sem caráter sigiloso.</w:t>
      </w:r>
    </w:p>
  </w:comment>
  <w:comment w:id="65" w:author="Autor" w:initials="A">
    <w:p w14:paraId="4451B16E" w14:textId="77777777" w:rsidR="00952E08" w:rsidRDefault="00952E08" w:rsidP="00952E08">
      <w:pPr>
        <w:pStyle w:val="Textodecomentrio"/>
      </w:pPr>
      <w:r>
        <w:rPr>
          <w:rStyle w:val="Refdecomentrio"/>
        </w:rPr>
        <w:annotationRef/>
      </w:r>
      <w:r>
        <w:rPr>
          <w:b/>
          <w:bCs/>
          <w:i/>
          <w:iCs/>
          <w:color w:val="000000"/>
        </w:rPr>
        <w:t xml:space="preserve">Nota Explicativa 1: </w:t>
      </w:r>
      <w:r>
        <w:rPr>
          <w:i/>
          <w:iCs/>
          <w:color w:val="000000"/>
        </w:rPr>
        <w:t>Utilizar a redação do item 9.2 na hipótese em que for adotado o critério de julgamento por maior desconto.</w:t>
      </w:r>
    </w:p>
  </w:comment>
  <w:comment w:id="66" w:author="Autor" w:initials="A">
    <w:p w14:paraId="0D108F9F" w14:textId="77777777" w:rsidR="00952E08" w:rsidRDefault="00952E08" w:rsidP="00952E08">
      <w:pPr>
        <w:pStyle w:val="Textodecomentrio"/>
      </w:pPr>
      <w:r>
        <w:rPr>
          <w:rStyle w:val="Refdecomentrio"/>
        </w:rPr>
        <w:annotationRef/>
      </w:r>
      <w:r>
        <w:rPr>
          <w:b/>
          <w:bCs/>
          <w:i/>
          <w:iCs/>
          <w:color w:val="000000"/>
        </w:rPr>
        <w:t>Nota Explicativa 1:</w:t>
      </w:r>
      <w:r>
        <w:rPr>
          <w:i/>
          <w:iCs/>
          <w:color w:val="000000"/>
        </w:rPr>
        <w:t xml:space="preserve"> Utilizar a redação do item 9.3 na hipótese em que for adotado o critério de julgamento por menor preço e caso a Administração opte por preservar o sigilo da estimativa do valor da contratação. Na hipótese em que for adotado o critério de julgamento por maior desconto, o preço estimado ou o máximo aceitável </w:t>
      </w:r>
      <w:r>
        <w:rPr>
          <w:b/>
          <w:bCs/>
          <w:i/>
          <w:iCs/>
          <w:color w:val="000000"/>
          <w:u w:val="single"/>
        </w:rPr>
        <w:t>não</w:t>
      </w:r>
      <w:r>
        <w:rPr>
          <w:i/>
          <w:iCs/>
          <w:color w:val="000000"/>
        </w:rPr>
        <w:t xml:space="preserve"> poderá ser sigiloso (</w:t>
      </w:r>
      <w:hyperlink r:id="rId53" w:history="1">
        <w:r w:rsidRPr="009133DA">
          <w:rPr>
            <w:rStyle w:val="Hyperlink"/>
            <w:i/>
            <w:iCs/>
          </w:rPr>
          <w:t>art. 24, parágrafo único, da Lei nº 14.133, de 2021</w:t>
        </w:r>
      </w:hyperlink>
      <w:r>
        <w:rPr>
          <w:i/>
          <w:iCs/>
          <w:color w:val="000000"/>
        </w:rPr>
        <w:t xml:space="preserve">, e </w:t>
      </w:r>
      <w:hyperlink r:id="rId54" w:history="1">
        <w:r w:rsidRPr="009133DA">
          <w:rPr>
            <w:rStyle w:val="Hyperlink"/>
            <w:i/>
            <w:iCs/>
          </w:rPr>
          <w:t>Instrução Normativa Seges/ME nº 73, de 2022, art. 12, §3º</w:t>
        </w:r>
      </w:hyperlink>
      <w:r>
        <w:rPr>
          <w:i/>
          <w:iCs/>
          <w:color w:val="000000"/>
        </w:rPr>
        <w:t>)</w:t>
      </w:r>
    </w:p>
  </w:comment>
  <w:comment w:id="67" w:author="Autor" w:initials="A">
    <w:p w14:paraId="4F628540" w14:textId="77777777" w:rsidR="00952E08" w:rsidRDefault="00952E08" w:rsidP="00952E08">
      <w:pPr>
        <w:pStyle w:val="Textodecomentrio"/>
      </w:pPr>
      <w:r>
        <w:rPr>
          <w:rStyle w:val="Refdecomentrio"/>
        </w:rPr>
        <w:annotationRef/>
      </w:r>
      <w:r>
        <w:rPr>
          <w:b/>
          <w:bCs/>
          <w:i/>
          <w:iCs/>
        </w:rPr>
        <w:t>Nota Explicativa:</w:t>
      </w:r>
      <w:r>
        <w:rPr>
          <w:i/>
          <w:iCs/>
        </w:rPr>
        <w:t xml:space="preserve"> </w:t>
      </w:r>
      <w:r>
        <w:rPr>
          <w:i/>
          <w:iCs/>
          <w:color w:val="000000"/>
        </w:rPr>
        <w:t>Em caso de utilização de matriz de alocação de risco, o custo estimado da contratação deve levar em consideração o conjunto de riscos alocados ao contratado, o que naturalmente implicará elevação no custo da contratação (cf. art. 22, caput, e art. 103, §3º, ambos da Lei n. 14.133, de 2021).</w:t>
      </w:r>
    </w:p>
  </w:comment>
  <w:comment w:id="68" w:author="Autor" w:initials="A">
    <w:p w14:paraId="119ED4D3" w14:textId="77777777" w:rsidR="00952E08" w:rsidRDefault="00952E08" w:rsidP="00952E08">
      <w:pPr>
        <w:pStyle w:val="Textodecomentrio"/>
      </w:pPr>
      <w:r>
        <w:rPr>
          <w:rStyle w:val="Refdecomentrio"/>
        </w:rPr>
        <w:annotationRef/>
      </w:r>
      <w:r>
        <w:rPr>
          <w:b/>
          <w:bCs/>
          <w:i/>
          <w:iCs/>
          <w:color w:val="000000"/>
        </w:rPr>
        <w:t xml:space="preserve">Nota Explicativa: </w:t>
      </w:r>
      <w:r>
        <w:rPr>
          <w:i/>
          <w:iCs/>
          <w:color w:val="000000"/>
        </w:rPr>
        <w:t xml:space="preserve">O art. 106, II da </w:t>
      </w:r>
      <w:hyperlink r:id="rId55" w:history="1">
        <w:r w:rsidRPr="00156D9D">
          <w:rPr>
            <w:rStyle w:val="Hyperlink"/>
            <w:i/>
            <w:iCs/>
          </w:rPr>
          <w:t>Lei nº 14.133, de 2021</w:t>
        </w:r>
      </w:hyperlink>
      <w:r>
        <w:rPr>
          <w:i/>
          <w:iCs/>
          <w:color w:val="000000"/>
        </w:rPr>
        <w:t>, prevê para contratações de serviços e fornecimento continuado que a “a Administração deverá atestar, no início da contratação e de cada exercício, a existência de créditos orçamentários vinculados à contratação e a vantagem em sua manutenção”. Quanto à rescisão contratual por ausência de crédito ou vantajosidade (art. 106, III), remete-se às regras específicas constantes do contrato, inclusive em relação à aplicação do art. 106, §1º.</w:t>
      </w:r>
    </w:p>
  </w:comment>
  <w:comment w:id="69" w:author="Autor" w:initials="A">
    <w:p w14:paraId="15575DB3" w14:textId="77777777" w:rsidR="00952E08" w:rsidRDefault="00952E08" w:rsidP="00952E08">
      <w:pPr>
        <w:pStyle w:val="Textodecomentrio"/>
      </w:pPr>
      <w:r>
        <w:rPr>
          <w:rStyle w:val="Refdecomentrio"/>
        </w:rPr>
        <w:annotationRef/>
      </w:r>
      <w:r>
        <w:rPr>
          <w:b/>
          <w:bCs/>
          <w:i/>
          <w:iCs/>
          <w:color w:val="000000"/>
        </w:rPr>
        <w:t>Nota Explicativa 1:</w:t>
      </w:r>
      <w:r>
        <w:rPr>
          <w:i/>
          <w:iCs/>
          <w:color w:val="000000"/>
        </w:rPr>
        <w:t xml:space="preserve"> O Termo de Referência deverá ser devidamente aprovado pelo ordenador de despesas ou a autoridade competente respectiva, conforme divisão de atribuições de cada órgão.</w:t>
      </w:r>
    </w:p>
    <w:p w14:paraId="53B25499" w14:textId="77777777" w:rsidR="00952E08" w:rsidRDefault="00952E08" w:rsidP="00952E08">
      <w:pPr>
        <w:pStyle w:val="Textodecomentrio"/>
      </w:pPr>
      <w:r>
        <w:rPr>
          <w:b/>
          <w:bCs/>
          <w:i/>
          <w:iCs/>
          <w:color w:val="000000"/>
        </w:rPr>
        <w:t>Nota Explicativa 2:</w:t>
      </w:r>
      <w:r>
        <w:rPr>
          <w:i/>
          <w:iCs/>
          <w:color w:val="000000"/>
        </w:rPr>
        <w:t xml:space="preserve"> Registre-se que, salvo no caso de elaboração do TR pela própria autoridade competente para aprová-lo, eventual equipe incumbida de tal confecção deve ser designada pela autoridade competente nos termos </w:t>
      </w:r>
      <w:hyperlink r:id="rId56" w:history="1">
        <w:r w:rsidRPr="00666797">
          <w:rPr>
            <w:rStyle w:val="Hyperlink"/>
            <w:i/>
            <w:iCs/>
          </w:rPr>
          <w:t>do art. 7º da Lei nº 14.133, de 2021</w:t>
        </w:r>
      </w:hyperlink>
      <w:r>
        <w:rPr>
          <w:i/>
          <w:iCs/>
          <w:color w:val="000000"/>
        </w:rPr>
        <w:t>, incumbindo a esta aferir o cumprimento dos requisitos necessários a esta função.</w:t>
      </w:r>
    </w:p>
    <w:p w14:paraId="7B6450BD" w14:textId="77777777" w:rsidR="00952E08" w:rsidRDefault="00952E08" w:rsidP="00952E08">
      <w:pPr>
        <w:pStyle w:val="Textodecomentrio"/>
      </w:pPr>
      <w:r>
        <w:rPr>
          <w:b/>
          <w:bCs/>
          <w:i/>
          <w:iCs/>
          <w:color w:val="000000"/>
        </w:rPr>
        <w:t>Nota Explicativa 3:</w:t>
      </w:r>
      <w:r>
        <w:rPr>
          <w:i/>
          <w:iCs/>
          <w:color w:val="000000"/>
        </w:rPr>
        <w:t xml:space="preserve"> Conforme </w:t>
      </w:r>
      <w:hyperlink r:id="rId57" w:history="1">
        <w:r w:rsidRPr="00666797">
          <w:rPr>
            <w:rStyle w:val="Hyperlink"/>
            <w:i/>
            <w:iCs/>
          </w:rPr>
          <w:t>art. 8º da IN Seges/ME nº 81, de 2022</w:t>
        </w:r>
      </w:hyperlink>
      <w:r>
        <w:rPr>
          <w:i/>
          <w:iCs/>
          <w:color w:val="000000"/>
        </w:rPr>
        <w:t>, incumbe, conjuntamente, aos servidores da área técnica e da requisitante, designados na forma do art. 7º da Lei nº 14.133, de 2021 pelas respectivas autoridades, a elaboração do Termo de Referência, podendo a mesma área cumprir ambos os papéis (art. 3º, § 2º da IN). Uma outra possibilidade é o uso de uma Equipe de Planejamento da Contratação, caso haja alguma designada para tal fim.</w:t>
      </w:r>
    </w:p>
    <w:p w14:paraId="527A56B9" w14:textId="77777777" w:rsidR="00952E08" w:rsidRDefault="00952E08" w:rsidP="00952E08">
      <w:pPr>
        <w:pStyle w:val="Textodecomentrio"/>
      </w:pPr>
      <w:r>
        <w:rPr>
          <w:b/>
          <w:bCs/>
          <w:i/>
          <w:iCs/>
          <w:color w:val="000000"/>
        </w:rPr>
        <w:t>Nota Explicativa 4:</w:t>
      </w:r>
      <w:r>
        <w:rPr>
          <w:i/>
          <w:iCs/>
          <w:color w:val="000000"/>
        </w:rPr>
        <w:t xml:space="preserve"> Atentar para a necessidade de avaliação quanto à pertinência de classificar o TR nos termos da </w:t>
      </w:r>
      <w:hyperlink r:id="rId58" w:history="1">
        <w:r w:rsidRPr="00666797">
          <w:rPr>
            <w:rStyle w:val="Hyperlink"/>
            <w:i/>
            <w:iCs/>
          </w:rPr>
          <w:t>Lei n. 12.527, de 2011</w:t>
        </w:r>
      </w:hyperlink>
      <w:r>
        <w:rPr>
          <w:i/>
          <w:iCs/>
          <w:color w:val="000000"/>
        </w:rPr>
        <w:t xml:space="preserve"> (Lei de Acesso à Informação), conforme previsão do artigo 10 da Instrução </w:t>
      </w:r>
      <w:hyperlink r:id="rId59" w:history="1">
        <w:r w:rsidRPr="00666797">
          <w:rPr>
            <w:rStyle w:val="Hyperlink"/>
            <w:i/>
            <w:iCs/>
          </w:rPr>
          <w:t>Normativa nº 81, de 2022.</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B168B9" w15:done="0"/>
  <w15:commentEx w15:paraId="19AAF6A0" w15:done="0"/>
  <w15:commentEx w15:paraId="4EC41890" w15:done="0"/>
  <w15:commentEx w15:paraId="76B344B4" w15:done="0"/>
  <w15:commentEx w15:paraId="3B013BAD" w15:done="0"/>
  <w15:commentEx w15:paraId="78780CD8" w15:done="0"/>
  <w15:commentEx w15:paraId="7436BF3D" w15:done="0"/>
  <w15:commentEx w15:paraId="7353747A" w15:done="0"/>
  <w15:commentEx w15:paraId="78632F5C" w15:done="0"/>
  <w15:commentEx w15:paraId="190C4598" w15:done="0"/>
  <w15:commentEx w15:paraId="7D6361FC" w15:done="0"/>
  <w15:commentEx w15:paraId="68B30EE9" w15:done="0"/>
  <w15:commentEx w15:paraId="384FDEFB" w15:done="0"/>
  <w15:commentEx w15:paraId="7C842C42" w15:done="0"/>
  <w15:commentEx w15:paraId="3BB977E7" w15:done="0"/>
  <w15:commentEx w15:paraId="55399C34" w15:done="0"/>
  <w15:commentEx w15:paraId="1E2A5514" w15:done="0"/>
  <w15:commentEx w15:paraId="590EA01A" w15:done="0"/>
  <w15:commentEx w15:paraId="2120FC5C" w15:done="0"/>
  <w15:commentEx w15:paraId="097E1304" w15:done="0"/>
  <w15:commentEx w15:paraId="44AC3FC4" w15:done="0"/>
  <w15:commentEx w15:paraId="1F172EB4" w15:done="0"/>
  <w15:commentEx w15:paraId="57676377" w15:done="0"/>
  <w15:commentEx w15:paraId="345FAF49" w15:done="0"/>
  <w15:commentEx w15:paraId="55D4624E" w15:done="0"/>
  <w15:commentEx w15:paraId="4FCC1B8F" w15:done="0"/>
  <w15:commentEx w15:paraId="644A12E4" w15:done="0"/>
  <w15:commentEx w15:paraId="533C1129" w15:done="0"/>
  <w15:commentEx w15:paraId="426B3300" w15:done="0"/>
  <w15:commentEx w15:paraId="2590706D" w15:done="0"/>
  <w15:commentEx w15:paraId="784E59F0" w15:done="0"/>
  <w15:commentEx w15:paraId="70DD41F9" w15:done="0"/>
  <w15:commentEx w15:paraId="7338DBF9" w15:done="0"/>
  <w15:commentEx w15:paraId="505983AE" w15:done="0"/>
  <w15:commentEx w15:paraId="151D901E" w15:done="0"/>
  <w15:commentEx w15:paraId="2A2E8393" w15:done="0"/>
  <w15:commentEx w15:paraId="15CD5663" w15:done="0"/>
  <w15:commentEx w15:paraId="0177C619" w15:done="0"/>
  <w15:commentEx w15:paraId="1CF5FD5B" w15:done="0"/>
  <w15:commentEx w15:paraId="7D17A640" w15:done="0"/>
  <w15:commentEx w15:paraId="53BCC63C" w15:done="0"/>
  <w15:commentEx w15:paraId="15190D58" w15:done="0"/>
  <w15:commentEx w15:paraId="75CA5DEA" w15:done="0"/>
  <w15:commentEx w15:paraId="6F81D257" w15:done="0"/>
  <w15:commentEx w15:paraId="626F4904" w15:done="0"/>
  <w15:commentEx w15:paraId="62511091" w15:done="0"/>
  <w15:commentEx w15:paraId="5A232EC3" w15:done="0"/>
  <w15:commentEx w15:paraId="12C5C47C" w15:done="0"/>
  <w15:commentEx w15:paraId="0F8A8BA6" w15:done="0"/>
  <w15:commentEx w15:paraId="511C0A17" w15:done="0"/>
  <w15:commentEx w15:paraId="43544BDC" w15:done="0"/>
  <w15:commentEx w15:paraId="55FB33A8" w15:done="0"/>
  <w15:commentEx w15:paraId="298F6A6C" w15:done="0"/>
  <w15:commentEx w15:paraId="7DF280F4" w15:done="0"/>
  <w15:commentEx w15:paraId="5B4A1B08" w15:done="0"/>
  <w15:commentEx w15:paraId="2CA1554A" w15:done="0"/>
  <w15:commentEx w15:paraId="4451B16E" w15:done="0"/>
  <w15:commentEx w15:paraId="0D108F9F" w15:done="0"/>
  <w15:commentEx w15:paraId="4F628540" w15:done="0"/>
  <w15:commentEx w15:paraId="119ED4D3" w15:done="0"/>
  <w15:commentEx w15:paraId="527A56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B168B9" w16cid:durableId="7280AC97"/>
  <w16cid:commentId w16cid:paraId="19AAF6A0" w16cid:durableId="274CA40B"/>
  <w16cid:commentId w16cid:paraId="4EC41890" w16cid:durableId="274B3C45"/>
  <w16cid:commentId w16cid:paraId="76B344B4" w16cid:durableId="274B3E5C"/>
  <w16cid:commentId w16cid:paraId="3B013BAD" w16cid:durableId="274B4116"/>
  <w16cid:commentId w16cid:paraId="78780CD8" w16cid:durableId="274B45FE"/>
  <w16cid:commentId w16cid:paraId="7436BF3D" w16cid:durableId="274B4EF2"/>
  <w16cid:commentId w16cid:paraId="7353747A" w16cid:durableId="274B4F0B"/>
  <w16cid:commentId w16cid:paraId="78632F5C" w16cid:durableId="274B4F45"/>
  <w16cid:commentId w16cid:paraId="190C4598" w16cid:durableId="274B4F93"/>
  <w16cid:commentId w16cid:paraId="7D6361FC" w16cid:durableId="2810CEA5"/>
  <w16cid:commentId w16cid:paraId="68B30EE9" w16cid:durableId="0641096A"/>
  <w16cid:commentId w16cid:paraId="384FDEFB" w16cid:durableId="274B56A7"/>
  <w16cid:commentId w16cid:paraId="7C842C42" w16cid:durableId="274B57A7"/>
  <w16cid:commentId w16cid:paraId="3BB977E7" w16cid:durableId="62BE0F90"/>
  <w16cid:commentId w16cid:paraId="55399C34" w16cid:durableId="03246A98"/>
  <w16cid:commentId w16cid:paraId="1E2A5514" w16cid:durableId="274B585F"/>
  <w16cid:commentId w16cid:paraId="590EA01A" w16cid:durableId="1EA4F660"/>
  <w16cid:commentId w16cid:paraId="2120FC5C" w16cid:durableId="274B590C"/>
  <w16cid:commentId w16cid:paraId="097E1304" w16cid:durableId="274B597A"/>
  <w16cid:commentId w16cid:paraId="44AC3FC4" w16cid:durableId="274B59F5"/>
  <w16cid:commentId w16cid:paraId="1F172EB4" w16cid:durableId="5EF0CEE5"/>
  <w16cid:commentId w16cid:paraId="57676377" w16cid:durableId="2810BBB1"/>
  <w16cid:commentId w16cid:paraId="345FAF49" w16cid:durableId="274B5C84"/>
  <w16cid:commentId w16cid:paraId="55D4624E" w16cid:durableId="274B5CE1"/>
  <w16cid:commentId w16cid:paraId="4FCC1B8F" w16cid:durableId="274B60FC"/>
  <w16cid:commentId w16cid:paraId="644A12E4" w16cid:durableId="274B6137"/>
  <w16cid:commentId w16cid:paraId="533C1129" w16cid:durableId="274B61A4"/>
  <w16cid:commentId w16cid:paraId="426B3300" w16cid:durableId="274B6224"/>
  <w16cid:commentId w16cid:paraId="2590706D" w16cid:durableId="274B6259"/>
  <w16cid:commentId w16cid:paraId="784E59F0" w16cid:durableId="274B6325"/>
  <w16cid:commentId w16cid:paraId="70DD41F9" w16cid:durableId="274B6348"/>
  <w16cid:commentId w16cid:paraId="7338DBF9" w16cid:durableId="274B635D"/>
  <w16cid:commentId w16cid:paraId="505983AE" w16cid:durableId="274B6458"/>
  <w16cid:commentId w16cid:paraId="151D901E" w16cid:durableId="274C1CEC"/>
  <w16cid:commentId w16cid:paraId="2A2E8393" w16cid:durableId="292F10BE"/>
  <w16cid:commentId w16cid:paraId="15CD5663" w16cid:durableId="36431F64"/>
  <w16cid:commentId w16cid:paraId="0177C619" w16cid:durableId="274C9FE2"/>
  <w16cid:commentId w16cid:paraId="1CF5FD5B" w16cid:durableId="274B685E"/>
  <w16cid:commentId w16cid:paraId="7D17A640" w16cid:durableId="249CE6B4"/>
  <w16cid:commentId w16cid:paraId="53BCC63C" w16cid:durableId="01CD7A77"/>
  <w16cid:commentId w16cid:paraId="15190D58" w16cid:durableId="274B694B"/>
  <w16cid:commentId w16cid:paraId="75CA5DEA" w16cid:durableId="274B6A55"/>
  <w16cid:commentId w16cid:paraId="6F81D257" w16cid:durableId="274B6BE8"/>
  <w16cid:commentId w16cid:paraId="626F4904" w16cid:durableId="274B6CCD"/>
  <w16cid:commentId w16cid:paraId="62511091" w16cid:durableId="274B6CEC"/>
  <w16cid:commentId w16cid:paraId="5A232EC3" w16cid:durableId="274B6D4B"/>
  <w16cid:commentId w16cid:paraId="12C5C47C" w16cid:durableId="3DA9133A"/>
  <w16cid:commentId w16cid:paraId="0F8A8BA6" w16cid:durableId="274B6E0C"/>
  <w16cid:commentId w16cid:paraId="511C0A17" w16cid:durableId="274B6E4B"/>
  <w16cid:commentId w16cid:paraId="43544BDC" w16cid:durableId="274B6EC3"/>
  <w16cid:commentId w16cid:paraId="55FB33A8" w16cid:durableId="274B6EF0"/>
  <w16cid:commentId w16cid:paraId="298F6A6C" w16cid:durableId="274B6FCB"/>
  <w16cid:commentId w16cid:paraId="7DF280F4" w16cid:durableId="274B6FE7"/>
  <w16cid:commentId w16cid:paraId="5B4A1B08" w16cid:durableId="274B7103"/>
  <w16cid:commentId w16cid:paraId="2CA1554A" w16cid:durableId="274B7561"/>
  <w16cid:commentId w16cid:paraId="4451B16E" w16cid:durableId="274B757E"/>
  <w16cid:commentId w16cid:paraId="0D108F9F" w16cid:durableId="274B75D4"/>
  <w16cid:commentId w16cid:paraId="4F628540" w16cid:durableId="274B75F4"/>
  <w16cid:commentId w16cid:paraId="119ED4D3" w16cid:durableId="274B762E"/>
  <w16cid:commentId w16cid:paraId="527A56B9" w16cid:durableId="274B77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5547F" w14:textId="77777777" w:rsidR="002E4963" w:rsidRDefault="002E4963">
      <w:r>
        <w:separator/>
      </w:r>
    </w:p>
  </w:endnote>
  <w:endnote w:type="continuationSeparator" w:id="0">
    <w:p w14:paraId="4F192609" w14:textId="77777777" w:rsidR="002E4963" w:rsidRDefault="002E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8BC27" w14:textId="73B5FFC4" w:rsidR="004C4082" w:rsidRDefault="004C4082">
    <w:pPr>
      <w:pStyle w:val="Corpodetexto"/>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D34E2" w14:textId="450BE0A5" w:rsidR="004C4082" w:rsidRDefault="004C4082">
    <w:pPr>
      <w:pStyle w:val="Corpodetexto"/>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68BA8" w14:textId="77777777" w:rsidR="002E4963" w:rsidRDefault="002E4963">
      <w:r>
        <w:separator/>
      </w:r>
    </w:p>
  </w:footnote>
  <w:footnote w:type="continuationSeparator" w:id="0">
    <w:p w14:paraId="726F0A01" w14:textId="77777777" w:rsidR="002E4963" w:rsidRDefault="002E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EBC66" w14:textId="66909322" w:rsidR="004C4082" w:rsidRDefault="004C4082">
    <w:pPr>
      <w:pStyle w:val="Corpodetexto"/>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7CD1C" w14:textId="704DA8C3" w:rsidR="004C4082" w:rsidRPr="001E79FE" w:rsidRDefault="001E79FE" w:rsidP="001E79FE">
    <w:pPr>
      <w:pStyle w:val="Cabealho"/>
    </w:pPr>
    <w:r>
      <w:rPr>
        <w:noProof/>
      </w:rPr>
      <w:drawing>
        <wp:anchor distT="0" distB="0" distL="114300" distR="114300" simplePos="0" relativeHeight="251658240" behindDoc="1" locked="0" layoutInCell="1" allowOverlap="1" wp14:anchorId="6E503AAC" wp14:editId="58C67162">
          <wp:simplePos x="0" y="0"/>
          <wp:positionH relativeFrom="column">
            <wp:posOffset>1976120</wp:posOffset>
          </wp:positionH>
          <wp:positionV relativeFrom="paragraph">
            <wp:posOffset>-3175</wp:posOffset>
          </wp:positionV>
          <wp:extent cx="2170225" cy="801687"/>
          <wp:effectExtent l="0" t="0" r="1905" b="0"/>
          <wp:wrapNone/>
          <wp:docPr id="16074773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170225" cy="801687"/>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D5ACB"/>
    <w:multiLevelType w:val="hybridMultilevel"/>
    <w:tmpl w:val="462EC0C8"/>
    <w:lvl w:ilvl="0" w:tplc="72A822B0">
      <w:start w:val="1"/>
      <w:numFmt w:val="lowerLetter"/>
      <w:lvlText w:val="%1)"/>
      <w:lvlJc w:val="left"/>
      <w:pPr>
        <w:ind w:left="800" w:hanging="360"/>
      </w:pPr>
      <w:rPr>
        <w:rFonts w:ascii="Arial" w:eastAsia="Calibri" w:hAnsi="Arial" w:cs="Arial" w:hint="default"/>
        <w:color w:val="231F20"/>
        <w:w w:val="100"/>
        <w:sz w:val="22"/>
        <w:szCs w:val="22"/>
        <w:lang w:val="pt-BR" w:eastAsia="en-US" w:bidi="ar-SA"/>
      </w:rPr>
    </w:lvl>
    <w:lvl w:ilvl="1" w:tplc="091CCAF0">
      <w:numFmt w:val="bullet"/>
      <w:lvlText w:val="•"/>
      <w:lvlJc w:val="left"/>
      <w:pPr>
        <w:ind w:left="3260" w:hanging="360"/>
      </w:pPr>
      <w:rPr>
        <w:rFonts w:hint="default"/>
        <w:lang w:val="pt-BR" w:eastAsia="en-US" w:bidi="ar-SA"/>
      </w:rPr>
    </w:lvl>
    <w:lvl w:ilvl="2" w:tplc="F2FE87E2">
      <w:numFmt w:val="bullet"/>
      <w:lvlText w:val="•"/>
      <w:lvlJc w:val="left"/>
      <w:pPr>
        <w:ind w:left="3967" w:hanging="360"/>
      </w:pPr>
      <w:rPr>
        <w:rFonts w:hint="default"/>
        <w:lang w:val="pt-BR" w:eastAsia="en-US" w:bidi="ar-SA"/>
      </w:rPr>
    </w:lvl>
    <w:lvl w:ilvl="3" w:tplc="6B4E1DE2">
      <w:numFmt w:val="bullet"/>
      <w:lvlText w:val="•"/>
      <w:lvlJc w:val="left"/>
      <w:pPr>
        <w:ind w:left="4675" w:hanging="360"/>
      </w:pPr>
      <w:rPr>
        <w:rFonts w:hint="default"/>
        <w:lang w:val="pt-BR" w:eastAsia="en-US" w:bidi="ar-SA"/>
      </w:rPr>
    </w:lvl>
    <w:lvl w:ilvl="4" w:tplc="D31EAB2A">
      <w:numFmt w:val="bullet"/>
      <w:lvlText w:val="•"/>
      <w:lvlJc w:val="left"/>
      <w:pPr>
        <w:ind w:left="5383" w:hanging="360"/>
      </w:pPr>
      <w:rPr>
        <w:rFonts w:hint="default"/>
        <w:lang w:val="pt-BR" w:eastAsia="en-US" w:bidi="ar-SA"/>
      </w:rPr>
    </w:lvl>
    <w:lvl w:ilvl="5" w:tplc="1288673C">
      <w:numFmt w:val="bullet"/>
      <w:lvlText w:val="•"/>
      <w:lvlJc w:val="left"/>
      <w:pPr>
        <w:ind w:left="6091" w:hanging="360"/>
      </w:pPr>
      <w:rPr>
        <w:rFonts w:hint="default"/>
        <w:lang w:val="pt-BR" w:eastAsia="en-US" w:bidi="ar-SA"/>
      </w:rPr>
    </w:lvl>
    <w:lvl w:ilvl="6" w:tplc="E0001D82">
      <w:numFmt w:val="bullet"/>
      <w:lvlText w:val="•"/>
      <w:lvlJc w:val="left"/>
      <w:pPr>
        <w:ind w:left="6798" w:hanging="360"/>
      </w:pPr>
      <w:rPr>
        <w:rFonts w:hint="default"/>
        <w:lang w:val="pt-BR" w:eastAsia="en-US" w:bidi="ar-SA"/>
      </w:rPr>
    </w:lvl>
    <w:lvl w:ilvl="7" w:tplc="8E8CF83E">
      <w:numFmt w:val="bullet"/>
      <w:lvlText w:val="•"/>
      <w:lvlJc w:val="left"/>
      <w:pPr>
        <w:ind w:left="7506" w:hanging="360"/>
      </w:pPr>
      <w:rPr>
        <w:rFonts w:hint="default"/>
        <w:lang w:val="pt-BR" w:eastAsia="en-US" w:bidi="ar-SA"/>
      </w:rPr>
    </w:lvl>
    <w:lvl w:ilvl="8" w:tplc="FA680DDE">
      <w:numFmt w:val="bullet"/>
      <w:lvlText w:val="•"/>
      <w:lvlJc w:val="left"/>
      <w:pPr>
        <w:ind w:left="8214" w:hanging="360"/>
      </w:pPr>
      <w:rPr>
        <w:rFonts w:hint="default"/>
        <w:lang w:val="pt-BR" w:eastAsia="en-US" w:bidi="ar-SA"/>
      </w:rPr>
    </w:lvl>
  </w:abstractNum>
  <w:abstractNum w:abstractNumId="1" w15:restartNumberingAfterBreak="0">
    <w:nsid w:val="15162399"/>
    <w:multiLevelType w:val="multilevel"/>
    <w:tmpl w:val="C9F8A930"/>
    <w:lvl w:ilvl="0">
      <w:start w:val="11"/>
      <w:numFmt w:val="decimal"/>
      <w:lvlText w:val="%1"/>
      <w:lvlJc w:val="left"/>
      <w:pPr>
        <w:ind w:left="146" w:hanging="502"/>
      </w:pPr>
      <w:rPr>
        <w:rFonts w:hint="default"/>
        <w:lang w:val="pt-PT" w:eastAsia="en-US" w:bidi="ar-SA"/>
      </w:rPr>
    </w:lvl>
    <w:lvl w:ilvl="1">
      <w:start w:val="1"/>
      <w:numFmt w:val="decimal"/>
      <w:lvlText w:val="%1.%2"/>
      <w:lvlJc w:val="left"/>
      <w:pPr>
        <w:ind w:left="146" w:hanging="502"/>
      </w:pPr>
      <w:rPr>
        <w:rFonts w:hint="default"/>
        <w:spacing w:val="-13"/>
        <w:w w:val="100"/>
        <w:lang w:val="pt-PT" w:eastAsia="en-US" w:bidi="ar-SA"/>
      </w:rPr>
    </w:lvl>
    <w:lvl w:ilvl="2">
      <w:start w:val="1"/>
      <w:numFmt w:val="decimal"/>
      <w:lvlText w:val="%1.%2.%3"/>
      <w:lvlJc w:val="left"/>
      <w:pPr>
        <w:ind w:left="866" w:hanging="690"/>
      </w:pPr>
      <w:rPr>
        <w:rFonts w:ascii="Arial" w:eastAsia="Arial" w:hAnsi="Arial" w:cs="Arial" w:hint="default"/>
        <w:b/>
        <w:bCs/>
        <w:i w:val="0"/>
        <w:iCs w:val="0"/>
        <w:spacing w:val="-13"/>
        <w:w w:val="100"/>
        <w:sz w:val="22"/>
        <w:szCs w:val="22"/>
        <w:lang w:val="pt-PT" w:eastAsia="en-US" w:bidi="ar-SA"/>
      </w:rPr>
    </w:lvl>
    <w:lvl w:ilvl="3">
      <w:numFmt w:val="bullet"/>
      <w:lvlText w:val="•"/>
      <w:lvlJc w:val="left"/>
      <w:pPr>
        <w:ind w:left="3016" w:hanging="690"/>
      </w:pPr>
      <w:rPr>
        <w:rFonts w:hint="default"/>
        <w:lang w:val="pt-PT" w:eastAsia="en-US" w:bidi="ar-SA"/>
      </w:rPr>
    </w:lvl>
    <w:lvl w:ilvl="4">
      <w:numFmt w:val="bullet"/>
      <w:lvlText w:val="•"/>
      <w:lvlJc w:val="left"/>
      <w:pPr>
        <w:ind w:left="4095" w:hanging="690"/>
      </w:pPr>
      <w:rPr>
        <w:rFonts w:hint="default"/>
        <w:lang w:val="pt-PT" w:eastAsia="en-US" w:bidi="ar-SA"/>
      </w:rPr>
    </w:lvl>
    <w:lvl w:ilvl="5">
      <w:numFmt w:val="bullet"/>
      <w:lvlText w:val="•"/>
      <w:lvlJc w:val="left"/>
      <w:pPr>
        <w:ind w:left="5173" w:hanging="690"/>
      </w:pPr>
      <w:rPr>
        <w:rFonts w:hint="default"/>
        <w:lang w:val="pt-PT" w:eastAsia="en-US" w:bidi="ar-SA"/>
      </w:rPr>
    </w:lvl>
    <w:lvl w:ilvl="6">
      <w:numFmt w:val="bullet"/>
      <w:lvlText w:val="•"/>
      <w:lvlJc w:val="left"/>
      <w:pPr>
        <w:ind w:left="6252" w:hanging="690"/>
      </w:pPr>
      <w:rPr>
        <w:rFonts w:hint="default"/>
        <w:lang w:val="pt-PT" w:eastAsia="en-US" w:bidi="ar-SA"/>
      </w:rPr>
    </w:lvl>
    <w:lvl w:ilvl="7">
      <w:numFmt w:val="bullet"/>
      <w:lvlText w:val="•"/>
      <w:lvlJc w:val="left"/>
      <w:pPr>
        <w:ind w:left="7330" w:hanging="690"/>
      </w:pPr>
      <w:rPr>
        <w:rFonts w:hint="default"/>
        <w:lang w:val="pt-PT" w:eastAsia="en-US" w:bidi="ar-SA"/>
      </w:rPr>
    </w:lvl>
    <w:lvl w:ilvl="8">
      <w:numFmt w:val="bullet"/>
      <w:lvlText w:val="•"/>
      <w:lvlJc w:val="left"/>
      <w:pPr>
        <w:ind w:left="8409" w:hanging="690"/>
      </w:pPr>
      <w:rPr>
        <w:rFonts w:hint="default"/>
        <w:lang w:val="pt-PT" w:eastAsia="en-US" w:bidi="ar-SA"/>
      </w:rPr>
    </w:lvl>
  </w:abstractNum>
  <w:abstractNum w:abstractNumId="2" w15:restartNumberingAfterBreak="0">
    <w:nsid w:val="1D5C100D"/>
    <w:multiLevelType w:val="multilevel"/>
    <w:tmpl w:val="E9027560"/>
    <w:lvl w:ilvl="0">
      <w:start w:val="1"/>
      <w:numFmt w:val="decimal"/>
      <w:pStyle w:val="Nivel01"/>
      <w:lvlText w:val="%1."/>
      <w:lvlJc w:val="left"/>
      <w:pPr>
        <w:ind w:left="360" w:hanging="360"/>
      </w:pPr>
      <w:rPr>
        <w:b/>
      </w:rPr>
    </w:lvl>
    <w:lvl w:ilvl="1">
      <w:start w:val="1"/>
      <w:numFmt w:val="decimal"/>
      <w:pStyle w:val="Nivel2"/>
      <w:lvlText w:val="%1.%2."/>
      <w:lvlJc w:val="left"/>
      <w:pPr>
        <w:ind w:left="999" w:hanging="432"/>
      </w:pPr>
      <w:rPr>
        <w:b w:val="0"/>
        <w:i w:val="0"/>
        <w:strike w:val="0"/>
        <w:color w:val="auto"/>
        <w:sz w:val="20"/>
        <w:szCs w:val="20"/>
        <w:u w:val="none"/>
      </w:rPr>
    </w:lvl>
    <w:lvl w:ilvl="2">
      <w:start w:val="1"/>
      <w:numFmt w:val="decimal"/>
      <w:pStyle w:val="Nivel3"/>
      <w:lvlText w:val="%1.%2.%3."/>
      <w:lvlJc w:val="left"/>
      <w:pPr>
        <w:ind w:left="1781" w:hanging="504"/>
      </w:pPr>
      <w:rPr>
        <w:b w:val="0"/>
        <w:i w:val="0"/>
        <w:strike w:val="0"/>
        <w:color w:val="auto"/>
        <w:sz w:val="20"/>
        <w:szCs w:val="20"/>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6829B4"/>
    <w:multiLevelType w:val="multilevel"/>
    <w:tmpl w:val="E25A3582"/>
    <w:lvl w:ilvl="0">
      <w:start w:val="1"/>
      <w:numFmt w:val="decimal"/>
      <w:lvlText w:val="%1."/>
      <w:lvlJc w:val="left"/>
      <w:pPr>
        <w:ind w:left="391" w:hanging="246"/>
      </w:pPr>
      <w:rPr>
        <w:rFonts w:hint="default"/>
        <w:spacing w:val="-1"/>
        <w:w w:val="100"/>
        <w:sz w:val="22"/>
        <w:szCs w:val="22"/>
        <w:lang w:val="pt-PT" w:eastAsia="en-US" w:bidi="ar-SA"/>
      </w:rPr>
    </w:lvl>
    <w:lvl w:ilvl="1">
      <w:start w:val="1"/>
      <w:numFmt w:val="decimal"/>
      <w:lvlText w:val="%1.%2."/>
      <w:lvlJc w:val="left"/>
      <w:pPr>
        <w:ind w:left="146" w:hanging="502"/>
      </w:pPr>
      <w:rPr>
        <w:rFonts w:ascii="Arial" w:eastAsia="Arial" w:hAnsi="Arial" w:cs="Arial" w:hint="default"/>
        <w:b/>
        <w:bCs/>
        <w:i w:val="0"/>
        <w:iCs w:val="0"/>
        <w:spacing w:val="-1"/>
        <w:w w:val="100"/>
        <w:sz w:val="22"/>
        <w:szCs w:val="22"/>
        <w:lang w:val="pt-PT" w:eastAsia="en-US" w:bidi="ar-SA"/>
      </w:rPr>
    </w:lvl>
    <w:lvl w:ilvl="2">
      <w:start w:val="1"/>
      <w:numFmt w:val="decimal"/>
      <w:lvlText w:val="%1.%2.%3."/>
      <w:lvlJc w:val="left"/>
      <w:pPr>
        <w:ind w:left="866" w:hanging="632"/>
      </w:pPr>
      <w:rPr>
        <w:rFonts w:ascii="Arial" w:eastAsia="Arial" w:hAnsi="Arial" w:cs="Arial" w:hint="default"/>
        <w:b/>
        <w:bCs/>
        <w:i w:val="0"/>
        <w:iCs w:val="0"/>
        <w:spacing w:val="-1"/>
        <w:w w:val="100"/>
        <w:sz w:val="22"/>
        <w:szCs w:val="22"/>
        <w:lang w:val="pt-PT" w:eastAsia="en-US" w:bidi="ar-SA"/>
      </w:rPr>
    </w:lvl>
    <w:lvl w:ilvl="3">
      <w:numFmt w:val="bullet"/>
      <w:lvlText w:val="•"/>
      <w:lvlJc w:val="left"/>
      <w:pPr>
        <w:ind w:left="700" w:hanging="632"/>
      </w:pPr>
      <w:rPr>
        <w:rFonts w:hint="default"/>
        <w:lang w:val="pt-PT" w:eastAsia="en-US" w:bidi="ar-SA"/>
      </w:rPr>
    </w:lvl>
    <w:lvl w:ilvl="4">
      <w:numFmt w:val="bullet"/>
      <w:lvlText w:val="•"/>
      <w:lvlJc w:val="left"/>
      <w:pPr>
        <w:ind w:left="860" w:hanging="632"/>
      </w:pPr>
      <w:rPr>
        <w:rFonts w:hint="default"/>
        <w:lang w:val="pt-PT" w:eastAsia="en-US" w:bidi="ar-SA"/>
      </w:rPr>
    </w:lvl>
    <w:lvl w:ilvl="5">
      <w:numFmt w:val="bullet"/>
      <w:lvlText w:val="•"/>
      <w:lvlJc w:val="left"/>
      <w:pPr>
        <w:ind w:left="1280" w:hanging="632"/>
      </w:pPr>
      <w:rPr>
        <w:rFonts w:hint="default"/>
        <w:lang w:val="pt-PT" w:eastAsia="en-US" w:bidi="ar-SA"/>
      </w:rPr>
    </w:lvl>
    <w:lvl w:ilvl="6">
      <w:numFmt w:val="bullet"/>
      <w:lvlText w:val="•"/>
      <w:lvlJc w:val="left"/>
      <w:pPr>
        <w:ind w:left="1340" w:hanging="632"/>
      </w:pPr>
      <w:rPr>
        <w:rFonts w:hint="default"/>
        <w:lang w:val="pt-PT" w:eastAsia="en-US" w:bidi="ar-SA"/>
      </w:rPr>
    </w:lvl>
    <w:lvl w:ilvl="7">
      <w:numFmt w:val="bullet"/>
      <w:lvlText w:val="•"/>
      <w:lvlJc w:val="left"/>
      <w:pPr>
        <w:ind w:left="3646" w:hanging="632"/>
      </w:pPr>
      <w:rPr>
        <w:rFonts w:hint="default"/>
        <w:lang w:val="pt-PT" w:eastAsia="en-US" w:bidi="ar-SA"/>
      </w:rPr>
    </w:lvl>
    <w:lvl w:ilvl="8">
      <w:numFmt w:val="bullet"/>
      <w:lvlText w:val="•"/>
      <w:lvlJc w:val="left"/>
      <w:pPr>
        <w:ind w:left="5953" w:hanging="632"/>
      </w:pPr>
      <w:rPr>
        <w:rFonts w:hint="default"/>
        <w:lang w:val="pt-PT" w:eastAsia="en-US" w:bidi="ar-SA"/>
      </w:rPr>
    </w:lvl>
  </w:abstractNum>
  <w:abstractNum w:abstractNumId="4" w15:restartNumberingAfterBreak="0">
    <w:nsid w:val="45340CAA"/>
    <w:multiLevelType w:val="hybridMultilevel"/>
    <w:tmpl w:val="02D4ED2C"/>
    <w:lvl w:ilvl="0" w:tplc="5228502A">
      <w:start w:val="1"/>
      <w:numFmt w:val="lowerLetter"/>
      <w:lvlText w:val="%1)"/>
      <w:lvlJc w:val="left"/>
      <w:pPr>
        <w:ind w:left="1562" w:hanging="304"/>
      </w:pPr>
      <w:rPr>
        <w:rFonts w:ascii="Arial" w:eastAsia="Arial" w:hAnsi="Arial" w:cs="Arial" w:hint="default"/>
        <w:b w:val="0"/>
        <w:bCs w:val="0"/>
        <w:i w:val="0"/>
        <w:iCs w:val="0"/>
        <w:spacing w:val="-1"/>
        <w:w w:val="100"/>
        <w:sz w:val="22"/>
        <w:szCs w:val="22"/>
        <w:lang w:val="pt-PT" w:eastAsia="en-US" w:bidi="ar-SA"/>
      </w:rPr>
    </w:lvl>
    <w:lvl w:ilvl="1" w:tplc="E28A751A">
      <w:numFmt w:val="bullet"/>
      <w:lvlText w:val="•"/>
      <w:lvlJc w:val="left"/>
      <w:pPr>
        <w:ind w:left="2460" w:hanging="304"/>
      </w:pPr>
      <w:rPr>
        <w:rFonts w:hint="default"/>
        <w:lang w:val="pt-PT" w:eastAsia="en-US" w:bidi="ar-SA"/>
      </w:rPr>
    </w:lvl>
    <w:lvl w:ilvl="2" w:tplc="E8FCD178">
      <w:numFmt w:val="bullet"/>
      <w:lvlText w:val="•"/>
      <w:lvlJc w:val="left"/>
      <w:pPr>
        <w:ind w:left="3361" w:hanging="304"/>
      </w:pPr>
      <w:rPr>
        <w:rFonts w:hint="default"/>
        <w:lang w:val="pt-PT" w:eastAsia="en-US" w:bidi="ar-SA"/>
      </w:rPr>
    </w:lvl>
    <w:lvl w:ilvl="3" w:tplc="A420D9EC">
      <w:numFmt w:val="bullet"/>
      <w:lvlText w:val="•"/>
      <w:lvlJc w:val="left"/>
      <w:pPr>
        <w:ind w:left="4261" w:hanging="304"/>
      </w:pPr>
      <w:rPr>
        <w:rFonts w:hint="default"/>
        <w:lang w:val="pt-PT" w:eastAsia="en-US" w:bidi="ar-SA"/>
      </w:rPr>
    </w:lvl>
    <w:lvl w:ilvl="4" w:tplc="F3468D16">
      <w:numFmt w:val="bullet"/>
      <w:lvlText w:val="•"/>
      <w:lvlJc w:val="left"/>
      <w:pPr>
        <w:ind w:left="5162" w:hanging="304"/>
      </w:pPr>
      <w:rPr>
        <w:rFonts w:hint="default"/>
        <w:lang w:val="pt-PT" w:eastAsia="en-US" w:bidi="ar-SA"/>
      </w:rPr>
    </w:lvl>
    <w:lvl w:ilvl="5" w:tplc="28BE59AC">
      <w:numFmt w:val="bullet"/>
      <w:lvlText w:val="•"/>
      <w:lvlJc w:val="left"/>
      <w:pPr>
        <w:ind w:left="6063" w:hanging="304"/>
      </w:pPr>
      <w:rPr>
        <w:rFonts w:hint="default"/>
        <w:lang w:val="pt-PT" w:eastAsia="en-US" w:bidi="ar-SA"/>
      </w:rPr>
    </w:lvl>
    <w:lvl w:ilvl="6" w:tplc="B0D0C44C">
      <w:numFmt w:val="bullet"/>
      <w:lvlText w:val="•"/>
      <w:lvlJc w:val="left"/>
      <w:pPr>
        <w:ind w:left="6963" w:hanging="304"/>
      </w:pPr>
      <w:rPr>
        <w:rFonts w:hint="default"/>
        <w:lang w:val="pt-PT" w:eastAsia="en-US" w:bidi="ar-SA"/>
      </w:rPr>
    </w:lvl>
    <w:lvl w:ilvl="7" w:tplc="375C3A58">
      <w:numFmt w:val="bullet"/>
      <w:lvlText w:val="•"/>
      <w:lvlJc w:val="left"/>
      <w:pPr>
        <w:ind w:left="7864" w:hanging="304"/>
      </w:pPr>
      <w:rPr>
        <w:rFonts w:hint="default"/>
        <w:lang w:val="pt-PT" w:eastAsia="en-US" w:bidi="ar-SA"/>
      </w:rPr>
    </w:lvl>
    <w:lvl w:ilvl="8" w:tplc="B4DC0262">
      <w:numFmt w:val="bullet"/>
      <w:lvlText w:val="•"/>
      <w:lvlJc w:val="left"/>
      <w:pPr>
        <w:ind w:left="8764" w:hanging="304"/>
      </w:pPr>
      <w:rPr>
        <w:rFonts w:hint="default"/>
        <w:lang w:val="pt-PT" w:eastAsia="en-US" w:bidi="ar-SA"/>
      </w:rPr>
    </w:lvl>
  </w:abstractNum>
  <w:abstractNum w:abstractNumId="5" w15:restartNumberingAfterBreak="0">
    <w:nsid w:val="4691757A"/>
    <w:multiLevelType w:val="hybridMultilevel"/>
    <w:tmpl w:val="1270C3B8"/>
    <w:lvl w:ilvl="0" w:tplc="69E4F120">
      <w:start w:val="1"/>
      <w:numFmt w:val="upp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6" w15:restartNumberingAfterBreak="0">
    <w:nsid w:val="497F4F9B"/>
    <w:multiLevelType w:val="hybridMultilevel"/>
    <w:tmpl w:val="F40CF162"/>
    <w:lvl w:ilvl="0" w:tplc="E24AD774">
      <w:start w:val="1"/>
      <w:numFmt w:val="upperRoman"/>
      <w:lvlText w:val="%1)"/>
      <w:lvlJc w:val="left"/>
      <w:pPr>
        <w:ind w:left="2136" w:hanging="72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15:restartNumberingAfterBreak="0">
    <w:nsid w:val="544A539A"/>
    <w:multiLevelType w:val="multilevel"/>
    <w:tmpl w:val="0F84B2FA"/>
    <w:lvl w:ilvl="0">
      <w:start w:val="13"/>
      <w:numFmt w:val="decimal"/>
      <w:lvlText w:val="%1"/>
      <w:lvlJc w:val="left"/>
      <w:pPr>
        <w:ind w:left="146" w:hanging="538"/>
      </w:pPr>
      <w:rPr>
        <w:rFonts w:hint="default"/>
        <w:lang w:val="pt-PT" w:eastAsia="en-US" w:bidi="ar-SA"/>
      </w:rPr>
    </w:lvl>
    <w:lvl w:ilvl="1">
      <w:start w:val="1"/>
      <w:numFmt w:val="decimal"/>
      <w:lvlText w:val="%1.%2"/>
      <w:lvlJc w:val="left"/>
      <w:pPr>
        <w:ind w:left="146" w:hanging="538"/>
      </w:pPr>
      <w:rPr>
        <w:rFonts w:ascii="Arial" w:eastAsia="Arial" w:hAnsi="Arial" w:cs="Arial" w:hint="default"/>
        <w:b/>
        <w:bCs/>
        <w:i w:val="0"/>
        <w:iCs w:val="0"/>
        <w:spacing w:val="-1"/>
        <w:w w:val="100"/>
        <w:sz w:val="22"/>
        <w:szCs w:val="22"/>
        <w:lang w:val="pt-PT" w:eastAsia="en-US" w:bidi="ar-SA"/>
      </w:rPr>
    </w:lvl>
    <w:lvl w:ilvl="2">
      <w:start w:val="1"/>
      <w:numFmt w:val="decimal"/>
      <w:lvlText w:val="%1.%2.%3"/>
      <w:lvlJc w:val="left"/>
      <w:pPr>
        <w:ind w:left="866" w:hanging="698"/>
      </w:pPr>
      <w:rPr>
        <w:rFonts w:ascii="Arial" w:eastAsia="Arial" w:hAnsi="Arial" w:cs="Arial" w:hint="default"/>
        <w:b w:val="0"/>
        <w:bCs w:val="0"/>
        <w:i w:val="0"/>
        <w:iCs w:val="0"/>
        <w:spacing w:val="-1"/>
        <w:w w:val="100"/>
        <w:sz w:val="22"/>
        <w:szCs w:val="22"/>
        <w:lang w:val="pt-PT" w:eastAsia="en-US" w:bidi="ar-SA"/>
      </w:rPr>
    </w:lvl>
    <w:lvl w:ilvl="3">
      <w:numFmt w:val="bullet"/>
      <w:lvlText w:val="•"/>
      <w:lvlJc w:val="left"/>
      <w:pPr>
        <w:ind w:left="3016" w:hanging="698"/>
      </w:pPr>
      <w:rPr>
        <w:rFonts w:hint="default"/>
        <w:lang w:val="pt-PT" w:eastAsia="en-US" w:bidi="ar-SA"/>
      </w:rPr>
    </w:lvl>
    <w:lvl w:ilvl="4">
      <w:numFmt w:val="bullet"/>
      <w:lvlText w:val="•"/>
      <w:lvlJc w:val="left"/>
      <w:pPr>
        <w:ind w:left="4095" w:hanging="698"/>
      </w:pPr>
      <w:rPr>
        <w:rFonts w:hint="default"/>
        <w:lang w:val="pt-PT" w:eastAsia="en-US" w:bidi="ar-SA"/>
      </w:rPr>
    </w:lvl>
    <w:lvl w:ilvl="5">
      <w:numFmt w:val="bullet"/>
      <w:lvlText w:val="•"/>
      <w:lvlJc w:val="left"/>
      <w:pPr>
        <w:ind w:left="5173" w:hanging="698"/>
      </w:pPr>
      <w:rPr>
        <w:rFonts w:hint="default"/>
        <w:lang w:val="pt-PT" w:eastAsia="en-US" w:bidi="ar-SA"/>
      </w:rPr>
    </w:lvl>
    <w:lvl w:ilvl="6">
      <w:numFmt w:val="bullet"/>
      <w:lvlText w:val="•"/>
      <w:lvlJc w:val="left"/>
      <w:pPr>
        <w:ind w:left="6252" w:hanging="698"/>
      </w:pPr>
      <w:rPr>
        <w:rFonts w:hint="default"/>
        <w:lang w:val="pt-PT" w:eastAsia="en-US" w:bidi="ar-SA"/>
      </w:rPr>
    </w:lvl>
    <w:lvl w:ilvl="7">
      <w:numFmt w:val="bullet"/>
      <w:lvlText w:val="•"/>
      <w:lvlJc w:val="left"/>
      <w:pPr>
        <w:ind w:left="7330" w:hanging="698"/>
      </w:pPr>
      <w:rPr>
        <w:rFonts w:hint="default"/>
        <w:lang w:val="pt-PT" w:eastAsia="en-US" w:bidi="ar-SA"/>
      </w:rPr>
    </w:lvl>
    <w:lvl w:ilvl="8">
      <w:numFmt w:val="bullet"/>
      <w:lvlText w:val="•"/>
      <w:lvlJc w:val="left"/>
      <w:pPr>
        <w:ind w:left="8409" w:hanging="698"/>
      </w:pPr>
      <w:rPr>
        <w:rFonts w:hint="default"/>
        <w:lang w:val="pt-PT" w:eastAsia="en-US" w:bidi="ar-SA"/>
      </w:rPr>
    </w:lvl>
  </w:abstractNum>
  <w:abstractNum w:abstractNumId="8" w15:restartNumberingAfterBreak="0">
    <w:nsid w:val="5BAA4851"/>
    <w:multiLevelType w:val="hybridMultilevel"/>
    <w:tmpl w:val="2F262AFA"/>
    <w:lvl w:ilvl="0" w:tplc="3B5A6C28">
      <w:start w:val="1"/>
      <w:numFmt w:val="lowerLetter"/>
      <w:lvlText w:val="%1)"/>
      <w:lvlJc w:val="left"/>
      <w:pPr>
        <w:ind w:left="1586" w:hanging="306"/>
      </w:pPr>
      <w:rPr>
        <w:rFonts w:ascii="Arial" w:eastAsia="Arial" w:hAnsi="Arial" w:cs="Arial" w:hint="default"/>
        <w:b w:val="0"/>
        <w:bCs w:val="0"/>
        <w:i w:val="0"/>
        <w:iCs w:val="0"/>
        <w:spacing w:val="-1"/>
        <w:w w:val="100"/>
        <w:sz w:val="22"/>
        <w:szCs w:val="22"/>
        <w:lang w:val="pt-PT" w:eastAsia="en-US" w:bidi="ar-SA"/>
      </w:rPr>
    </w:lvl>
    <w:lvl w:ilvl="1" w:tplc="AC4EB882">
      <w:numFmt w:val="bullet"/>
      <w:lvlText w:val="•"/>
      <w:lvlJc w:val="left"/>
      <w:pPr>
        <w:ind w:left="2478" w:hanging="306"/>
      </w:pPr>
      <w:rPr>
        <w:rFonts w:hint="default"/>
        <w:lang w:val="pt-PT" w:eastAsia="en-US" w:bidi="ar-SA"/>
      </w:rPr>
    </w:lvl>
    <w:lvl w:ilvl="2" w:tplc="FE4411D4">
      <w:numFmt w:val="bullet"/>
      <w:lvlText w:val="•"/>
      <w:lvlJc w:val="left"/>
      <w:pPr>
        <w:ind w:left="3377" w:hanging="306"/>
      </w:pPr>
      <w:rPr>
        <w:rFonts w:hint="default"/>
        <w:lang w:val="pt-PT" w:eastAsia="en-US" w:bidi="ar-SA"/>
      </w:rPr>
    </w:lvl>
    <w:lvl w:ilvl="3" w:tplc="46382C22">
      <w:numFmt w:val="bullet"/>
      <w:lvlText w:val="•"/>
      <w:lvlJc w:val="left"/>
      <w:pPr>
        <w:ind w:left="4275" w:hanging="306"/>
      </w:pPr>
      <w:rPr>
        <w:rFonts w:hint="default"/>
        <w:lang w:val="pt-PT" w:eastAsia="en-US" w:bidi="ar-SA"/>
      </w:rPr>
    </w:lvl>
    <w:lvl w:ilvl="4" w:tplc="9B00FE40">
      <w:numFmt w:val="bullet"/>
      <w:lvlText w:val="•"/>
      <w:lvlJc w:val="left"/>
      <w:pPr>
        <w:ind w:left="5174" w:hanging="306"/>
      </w:pPr>
      <w:rPr>
        <w:rFonts w:hint="default"/>
        <w:lang w:val="pt-PT" w:eastAsia="en-US" w:bidi="ar-SA"/>
      </w:rPr>
    </w:lvl>
    <w:lvl w:ilvl="5" w:tplc="69B81708">
      <w:numFmt w:val="bullet"/>
      <w:lvlText w:val="•"/>
      <w:lvlJc w:val="left"/>
      <w:pPr>
        <w:ind w:left="6073" w:hanging="306"/>
      </w:pPr>
      <w:rPr>
        <w:rFonts w:hint="default"/>
        <w:lang w:val="pt-PT" w:eastAsia="en-US" w:bidi="ar-SA"/>
      </w:rPr>
    </w:lvl>
    <w:lvl w:ilvl="6" w:tplc="0232A44E">
      <w:numFmt w:val="bullet"/>
      <w:lvlText w:val="•"/>
      <w:lvlJc w:val="left"/>
      <w:pPr>
        <w:ind w:left="6971" w:hanging="306"/>
      </w:pPr>
      <w:rPr>
        <w:rFonts w:hint="default"/>
        <w:lang w:val="pt-PT" w:eastAsia="en-US" w:bidi="ar-SA"/>
      </w:rPr>
    </w:lvl>
    <w:lvl w:ilvl="7" w:tplc="F522BA52">
      <w:numFmt w:val="bullet"/>
      <w:lvlText w:val="•"/>
      <w:lvlJc w:val="left"/>
      <w:pPr>
        <w:ind w:left="7870" w:hanging="306"/>
      </w:pPr>
      <w:rPr>
        <w:rFonts w:hint="default"/>
        <w:lang w:val="pt-PT" w:eastAsia="en-US" w:bidi="ar-SA"/>
      </w:rPr>
    </w:lvl>
    <w:lvl w:ilvl="8" w:tplc="7B26F544">
      <w:numFmt w:val="bullet"/>
      <w:lvlText w:val="•"/>
      <w:lvlJc w:val="left"/>
      <w:pPr>
        <w:ind w:left="8768" w:hanging="306"/>
      </w:pPr>
      <w:rPr>
        <w:rFonts w:hint="default"/>
        <w:lang w:val="pt-PT" w:eastAsia="en-US" w:bidi="ar-SA"/>
      </w:rPr>
    </w:lvl>
  </w:abstractNum>
  <w:abstractNum w:abstractNumId="9" w15:restartNumberingAfterBreak="0">
    <w:nsid w:val="603652D5"/>
    <w:multiLevelType w:val="multilevel"/>
    <w:tmpl w:val="14CEA9E8"/>
    <w:lvl w:ilvl="0">
      <w:start w:val="5"/>
      <w:numFmt w:val="decimal"/>
      <w:lvlText w:val="%1"/>
      <w:lvlJc w:val="left"/>
      <w:pPr>
        <w:ind w:left="146" w:hanging="440"/>
      </w:pPr>
      <w:rPr>
        <w:rFonts w:hint="default"/>
        <w:lang w:val="pt-PT" w:eastAsia="en-US" w:bidi="ar-SA"/>
      </w:rPr>
    </w:lvl>
    <w:lvl w:ilvl="1">
      <w:start w:val="5"/>
      <w:numFmt w:val="decimal"/>
      <w:lvlText w:val="%1.%2."/>
      <w:lvlJc w:val="left"/>
      <w:pPr>
        <w:ind w:left="146" w:hanging="440"/>
      </w:pPr>
      <w:rPr>
        <w:rFonts w:ascii="Arial" w:eastAsia="Arial" w:hAnsi="Arial" w:cs="Arial" w:hint="default"/>
        <w:b/>
        <w:bCs/>
        <w:i w:val="0"/>
        <w:iCs w:val="0"/>
        <w:spacing w:val="-1"/>
        <w:w w:val="100"/>
        <w:sz w:val="22"/>
        <w:szCs w:val="22"/>
        <w:lang w:val="pt-PT" w:eastAsia="en-US" w:bidi="ar-SA"/>
      </w:rPr>
    </w:lvl>
    <w:lvl w:ilvl="2">
      <w:numFmt w:val="bullet"/>
      <w:lvlText w:val="•"/>
      <w:lvlJc w:val="left"/>
      <w:pPr>
        <w:ind w:left="2225" w:hanging="440"/>
      </w:pPr>
      <w:rPr>
        <w:rFonts w:hint="default"/>
        <w:lang w:val="pt-PT" w:eastAsia="en-US" w:bidi="ar-SA"/>
      </w:rPr>
    </w:lvl>
    <w:lvl w:ilvl="3">
      <w:numFmt w:val="bullet"/>
      <w:lvlText w:val="•"/>
      <w:lvlJc w:val="left"/>
      <w:pPr>
        <w:ind w:left="3267" w:hanging="440"/>
      </w:pPr>
      <w:rPr>
        <w:rFonts w:hint="default"/>
        <w:lang w:val="pt-PT" w:eastAsia="en-US" w:bidi="ar-SA"/>
      </w:rPr>
    </w:lvl>
    <w:lvl w:ilvl="4">
      <w:numFmt w:val="bullet"/>
      <w:lvlText w:val="•"/>
      <w:lvlJc w:val="left"/>
      <w:pPr>
        <w:ind w:left="4310" w:hanging="440"/>
      </w:pPr>
      <w:rPr>
        <w:rFonts w:hint="default"/>
        <w:lang w:val="pt-PT" w:eastAsia="en-US" w:bidi="ar-SA"/>
      </w:rPr>
    </w:lvl>
    <w:lvl w:ilvl="5">
      <w:numFmt w:val="bullet"/>
      <w:lvlText w:val="•"/>
      <w:lvlJc w:val="left"/>
      <w:pPr>
        <w:ind w:left="5353" w:hanging="440"/>
      </w:pPr>
      <w:rPr>
        <w:rFonts w:hint="default"/>
        <w:lang w:val="pt-PT" w:eastAsia="en-US" w:bidi="ar-SA"/>
      </w:rPr>
    </w:lvl>
    <w:lvl w:ilvl="6">
      <w:numFmt w:val="bullet"/>
      <w:lvlText w:val="•"/>
      <w:lvlJc w:val="left"/>
      <w:pPr>
        <w:ind w:left="6395" w:hanging="440"/>
      </w:pPr>
      <w:rPr>
        <w:rFonts w:hint="default"/>
        <w:lang w:val="pt-PT" w:eastAsia="en-US" w:bidi="ar-SA"/>
      </w:rPr>
    </w:lvl>
    <w:lvl w:ilvl="7">
      <w:numFmt w:val="bullet"/>
      <w:lvlText w:val="•"/>
      <w:lvlJc w:val="left"/>
      <w:pPr>
        <w:ind w:left="7438" w:hanging="440"/>
      </w:pPr>
      <w:rPr>
        <w:rFonts w:hint="default"/>
        <w:lang w:val="pt-PT" w:eastAsia="en-US" w:bidi="ar-SA"/>
      </w:rPr>
    </w:lvl>
    <w:lvl w:ilvl="8">
      <w:numFmt w:val="bullet"/>
      <w:lvlText w:val="•"/>
      <w:lvlJc w:val="left"/>
      <w:pPr>
        <w:ind w:left="8480" w:hanging="440"/>
      </w:pPr>
      <w:rPr>
        <w:rFonts w:hint="default"/>
        <w:lang w:val="pt-PT" w:eastAsia="en-US" w:bidi="ar-SA"/>
      </w:rPr>
    </w:lvl>
  </w:abstractNum>
  <w:abstractNum w:abstractNumId="10" w15:restartNumberingAfterBreak="0">
    <w:nsid w:val="6E6E4E59"/>
    <w:multiLevelType w:val="multilevel"/>
    <w:tmpl w:val="D58E376A"/>
    <w:lvl w:ilvl="0">
      <w:start w:val="1"/>
      <w:numFmt w:val="decimal"/>
      <w:lvlText w:val="%1."/>
      <w:lvlJc w:val="left"/>
      <w:pPr>
        <w:ind w:left="380" w:hanging="220"/>
      </w:pPr>
      <w:rPr>
        <w:rFonts w:ascii="Arial" w:eastAsia="Times New Roman" w:hAnsi="Arial" w:cs="Arial" w:hint="default"/>
        <w:b/>
        <w:bCs/>
        <w:w w:val="100"/>
        <w:sz w:val="22"/>
        <w:szCs w:val="22"/>
      </w:rPr>
    </w:lvl>
    <w:lvl w:ilvl="1">
      <w:start w:val="1"/>
      <w:numFmt w:val="decimal"/>
      <w:lvlText w:val="%1.%2"/>
      <w:lvlJc w:val="left"/>
      <w:pPr>
        <w:ind w:left="490" w:hanging="330"/>
        <w:jc w:val="right"/>
      </w:pPr>
      <w:rPr>
        <w:rFonts w:hint="default"/>
        <w:b/>
        <w:bCs/>
        <w:w w:val="100"/>
      </w:rPr>
    </w:lvl>
    <w:lvl w:ilvl="2">
      <w:start w:val="1"/>
      <w:numFmt w:val="decimal"/>
      <w:lvlText w:val="%1.%2.%3"/>
      <w:lvlJc w:val="left"/>
      <w:pPr>
        <w:ind w:left="100" w:hanging="541"/>
      </w:pPr>
      <w:rPr>
        <w:rFonts w:hint="default"/>
        <w:w w:val="100"/>
      </w:rPr>
    </w:lvl>
    <w:lvl w:ilvl="3">
      <w:start w:val="1"/>
      <w:numFmt w:val="decimal"/>
      <w:lvlText w:val="%1.%2.%3.%4."/>
      <w:lvlJc w:val="left"/>
      <w:pPr>
        <w:ind w:left="880" w:hanging="541"/>
      </w:pPr>
      <w:rPr>
        <w:rFonts w:ascii="Arial" w:eastAsia="Times New Roman" w:hAnsi="Arial" w:cs="Arial" w:hint="default"/>
        <w:w w:val="100"/>
        <w:sz w:val="24"/>
        <w:szCs w:val="24"/>
      </w:rPr>
    </w:lvl>
    <w:lvl w:ilvl="4">
      <w:numFmt w:val="bullet"/>
      <w:lvlText w:val="•"/>
      <w:lvlJc w:val="left"/>
      <w:pPr>
        <w:ind w:left="880" w:hanging="541"/>
      </w:pPr>
      <w:rPr>
        <w:rFonts w:hint="default"/>
      </w:rPr>
    </w:lvl>
    <w:lvl w:ilvl="5">
      <w:numFmt w:val="bullet"/>
      <w:lvlText w:val="•"/>
      <w:lvlJc w:val="left"/>
      <w:pPr>
        <w:ind w:left="2523" w:hanging="541"/>
      </w:pPr>
      <w:rPr>
        <w:rFonts w:hint="default"/>
      </w:rPr>
    </w:lvl>
    <w:lvl w:ilvl="6">
      <w:numFmt w:val="bullet"/>
      <w:lvlText w:val="•"/>
      <w:lvlJc w:val="left"/>
      <w:pPr>
        <w:ind w:left="4166" w:hanging="541"/>
      </w:pPr>
      <w:rPr>
        <w:rFonts w:hint="default"/>
      </w:rPr>
    </w:lvl>
    <w:lvl w:ilvl="7">
      <w:numFmt w:val="bullet"/>
      <w:lvlText w:val="•"/>
      <w:lvlJc w:val="left"/>
      <w:pPr>
        <w:ind w:left="5809" w:hanging="541"/>
      </w:pPr>
      <w:rPr>
        <w:rFonts w:hint="default"/>
      </w:rPr>
    </w:lvl>
    <w:lvl w:ilvl="8">
      <w:numFmt w:val="bullet"/>
      <w:lvlText w:val="•"/>
      <w:lvlJc w:val="left"/>
      <w:pPr>
        <w:ind w:left="7452" w:hanging="541"/>
      </w:pPr>
      <w:rPr>
        <w:rFonts w:hint="default"/>
      </w:rPr>
    </w:lvl>
  </w:abstractNum>
  <w:abstractNum w:abstractNumId="11" w15:restartNumberingAfterBreak="0">
    <w:nsid w:val="78DF50A5"/>
    <w:multiLevelType w:val="hybridMultilevel"/>
    <w:tmpl w:val="24F2D354"/>
    <w:lvl w:ilvl="0" w:tplc="C368FC0E">
      <w:start w:val="1"/>
      <w:numFmt w:val="lowerLetter"/>
      <w:lvlText w:val="%1)"/>
      <w:lvlJc w:val="left"/>
      <w:pPr>
        <w:ind w:left="1620" w:hanging="340"/>
      </w:pPr>
      <w:rPr>
        <w:rFonts w:ascii="Arial" w:eastAsia="Arial" w:hAnsi="Arial" w:cs="Arial" w:hint="default"/>
        <w:b w:val="0"/>
        <w:bCs w:val="0"/>
        <w:i w:val="0"/>
        <w:iCs w:val="0"/>
        <w:spacing w:val="-1"/>
        <w:w w:val="100"/>
        <w:sz w:val="22"/>
        <w:szCs w:val="22"/>
        <w:lang w:val="pt-PT" w:eastAsia="en-US" w:bidi="ar-SA"/>
      </w:rPr>
    </w:lvl>
    <w:lvl w:ilvl="1" w:tplc="4F8AC604">
      <w:numFmt w:val="bullet"/>
      <w:lvlText w:val="•"/>
      <w:lvlJc w:val="left"/>
      <w:pPr>
        <w:ind w:left="2514" w:hanging="340"/>
      </w:pPr>
      <w:rPr>
        <w:rFonts w:hint="default"/>
        <w:lang w:val="pt-PT" w:eastAsia="en-US" w:bidi="ar-SA"/>
      </w:rPr>
    </w:lvl>
    <w:lvl w:ilvl="2" w:tplc="356CC582">
      <w:numFmt w:val="bullet"/>
      <w:lvlText w:val="•"/>
      <w:lvlJc w:val="left"/>
      <w:pPr>
        <w:ind w:left="3409" w:hanging="340"/>
      </w:pPr>
      <w:rPr>
        <w:rFonts w:hint="default"/>
        <w:lang w:val="pt-PT" w:eastAsia="en-US" w:bidi="ar-SA"/>
      </w:rPr>
    </w:lvl>
    <w:lvl w:ilvl="3" w:tplc="A928EC5A">
      <w:numFmt w:val="bullet"/>
      <w:lvlText w:val="•"/>
      <w:lvlJc w:val="left"/>
      <w:pPr>
        <w:ind w:left="4303" w:hanging="340"/>
      </w:pPr>
      <w:rPr>
        <w:rFonts w:hint="default"/>
        <w:lang w:val="pt-PT" w:eastAsia="en-US" w:bidi="ar-SA"/>
      </w:rPr>
    </w:lvl>
    <w:lvl w:ilvl="4" w:tplc="D4905386">
      <w:numFmt w:val="bullet"/>
      <w:lvlText w:val="•"/>
      <w:lvlJc w:val="left"/>
      <w:pPr>
        <w:ind w:left="5198" w:hanging="340"/>
      </w:pPr>
      <w:rPr>
        <w:rFonts w:hint="default"/>
        <w:lang w:val="pt-PT" w:eastAsia="en-US" w:bidi="ar-SA"/>
      </w:rPr>
    </w:lvl>
    <w:lvl w:ilvl="5" w:tplc="A5D433C0">
      <w:numFmt w:val="bullet"/>
      <w:lvlText w:val="•"/>
      <w:lvlJc w:val="left"/>
      <w:pPr>
        <w:ind w:left="6093" w:hanging="340"/>
      </w:pPr>
      <w:rPr>
        <w:rFonts w:hint="default"/>
        <w:lang w:val="pt-PT" w:eastAsia="en-US" w:bidi="ar-SA"/>
      </w:rPr>
    </w:lvl>
    <w:lvl w:ilvl="6" w:tplc="D3108886">
      <w:numFmt w:val="bullet"/>
      <w:lvlText w:val="•"/>
      <w:lvlJc w:val="left"/>
      <w:pPr>
        <w:ind w:left="6987" w:hanging="340"/>
      </w:pPr>
      <w:rPr>
        <w:rFonts w:hint="default"/>
        <w:lang w:val="pt-PT" w:eastAsia="en-US" w:bidi="ar-SA"/>
      </w:rPr>
    </w:lvl>
    <w:lvl w:ilvl="7" w:tplc="E2F44CFA">
      <w:numFmt w:val="bullet"/>
      <w:lvlText w:val="•"/>
      <w:lvlJc w:val="left"/>
      <w:pPr>
        <w:ind w:left="7882" w:hanging="340"/>
      </w:pPr>
      <w:rPr>
        <w:rFonts w:hint="default"/>
        <w:lang w:val="pt-PT" w:eastAsia="en-US" w:bidi="ar-SA"/>
      </w:rPr>
    </w:lvl>
    <w:lvl w:ilvl="8" w:tplc="878230A2">
      <w:numFmt w:val="bullet"/>
      <w:lvlText w:val="•"/>
      <w:lvlJc w:val="left"/>
      <w:pPr>
        <w:ind w:left="8776" w:hanging="340"/>
      </w:pPr>
      <w:rPr>
        <w:rFonts w:hint="default"/>
        <w:lang w:val="pt-PT" w:eastAsia="en-US" w:bidi="ar-SA"/>
      </w:rPr>
    </w:lvl>
  </w:abstractNum>
  <w:abstractNum w:abstractNumId="12" w15:restartNumberingAfterBreak="0">
    <w:nsid w:val="7DA46342"/>
    <w:multiLevelType w:val="hybridMultilevel"/>
    <w:tmpl w:val="AC48F650"/>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16cid:durableId="1737360043">
    <w:abstractNumId w:val="4"/>
  </w:num>
  <w:num w:numId="2" w16cid:durableId="1635678638">
    <w:abstractNumId w:val="7"/>
  </w:num>
  <w:num w:numId="3" w16cid:durableId="1808007724">
    <w:abstractNumId w:val="11"/>
  </w:num>
  <w:num w:numId="4" w16cid:durableId="1904487662">
    <w:abstractNumId w:val="1"/>
  </w:num>
  <w:num w:numId="5" w16cid:durableId="1224831679">
    <w:abstractNumId w:val="8"/>
  </w:num>
  <w:num w:numId="6" w16cid:durableId="396125876">
    <w:abstractNumId w:val="9"/>
  </w:num>
  <w:num w:numId="7" w16cid:durableId="1190728275">
    <w:abstractNumId w:val="3"/>
  </w:num>
  <w:num w:numId="8" w16cid:durableId="1135177603">
    <w:abstractNumId w:val="0"/>
  </w:num>
  <w:num w:numId="9" w16cid:durableId="628509312">
    <w:abstractNumId w:val="10"/>
  </w:num>
  <w:num w:numId="10" w16cid:durableId="1832481042">
    <w:abstractNumId w:val="2"/>
  </w:num>
  <w:num w:numId="11" w16cid:durableId="1794441647">
    <w:abstractNumId w:val="6"/>
  </w:num>
  <w:num w:numId="12" w16cid:durableId="636229292">
    <w:abstractNumId w:val="5"/>
  </w:num>
  <w:num w:numId="13" w16cid:durableId="5347793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82"/>
    <w:rsid w:val="00004156"/>
    <w:rsid w:val="00025940"/>
    <w:rsid w:val="00055455"/>
    <w:rsid w:val="00060F44"/>
    <w:rsid w:val="000B1356"/>
    <w:rsid w:val="000D2680"/>
    <w:rsid w:val="000F6E7B"/>
    <w:rsid w:val="00146DC5"/>
    <w:rsid w:val="001519BA"/>
    <w:rsid w:val="00176856"/>
    <w:rsid w:val="001D06B5"/>
    <w:rsid w:val="001E79FE"/>
    <w:rsid w:val="001F4A00"/>
    <w:rsid w:val="0022194B"/>
    <w:rsid w:val="00225CC6"/>
    <w:rsid w:val="002548D7"/>
    <w:rsid w:val="00266BC2"/>
    <w:rsid w:val="002828A3"/>
    <w:rsid w:val="002D7DDD"/>
    <w:rsid w:val="002E4963"/>
    <w:rsid w:val="00326B24"/>
    <w:rsid w:val="003427F5"/>
    <w:rsid w:val="003542F6"/>
    <w:rsid w:val="003B5FC6"/>
    <w:rsid w:val="004A0028"/>
    <w:rsid w:val="004A10FF"/>
    <w:rsid w:val="004C4082"/>
    <w:rsid w:val="004F0A38"/>
    <w:rsid w:val="00507AFF"/>
    <w:rsid w:val="00541478"/>
    <w:rsid w:val="00584873"/>
    <w:rsid w:val="00657D81"/>
    <w:rsid w:val="00670E52"/>
    <w:rsid w:val="0069477C"/>
    <w:rsid w:val="006B2525"/>
    <w:rsid w:val="006D43FD"/>
    <w:rsid w:val="006E6B2B"/>
    <w:rsid w:val="006F4F4B"/>
    <w:rsid w:val="007473C5"/>
    <w:rsid w:val="00785FE1"/>
    <w:rsid w:val="007D0461"/>
    <w:rsid w:val="007E2F25"/>
    <w:rsid w:val="00812D18"/>
    <w:rsid w:val="00822CA2"/>
    <w:rsid w:val="00886A8B"/>
    <w:rsid w:val="008C3022"/>
    <w:rsid w:val="008C3366"/>
    <w:rsid w:val="00910D1A"/>
    <w:rsid w:val="009166EE"/>
    <w:rsid w:val="0093607C"/>
    <w:rsid w:val="00937C80"/>
    <w:rsid w:val="00952E08"/>
    <w:rsid w:val="009758B4"/>
    <w:rsid w:val="0097686B"/>
    <w:rsid w:val="00997589"/>
    <w:rsid w:val="00A435B5"/>
    <w:rsid w:val="00A92D36"/>
    <w:rsid w:val="00A979EA"/>
    <w:rsid w:val="00AC0197"/>
    <w:rsid w:val="00AC7F87"/>
    <w:rsid w:val="00AD3CF2"/>
    <w:rsid w:val="00B229A0"/>
    <w:rsid w:val="00B45767"/>
    <w:rsid w:val="00B83C22"/>
    <w:rsid w:val="00BD72A6"/>
    <w:rsid w:val="00C67872"/>
    <w:rsid w:val="00D849ED"/>
    <w:rsid w:val="00DA7886"/>
    <w:rsid w:val="00DE587F"/>
    <w:rsid w:val="00DE70BB"/>
    <w:rsid w:val="00E33CD5"/>
    <w:rsid w:val="00E641B6"/>
    <w:rsid w:val="00E733EA"/>
    <w:rsid w:val="00ED1712"/>
    <w:rsid w:val="00ED31E0"/>
    <w:rsid w:val="00ED3BDA"/>
    <w:rsid w:val="00F07002"/>
    <w:rsid w:val="00F33E0F"/>
    <w:rsid w:val="00F634B2"/>
    <w:rsid w:val="00F937DD"/>
    <w:rsid w:val="00FC3CE8"/>
    <w:rsid w:val="00FF410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7D15F"/>
  <w15:docId w15:val="{2F6F723E-65F4-F440-8045-3420D4D3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391" w:hanging="247"/>
      <w:outlineLvl w:val="0"/>
    </w:pPr>
    <w:rPr>
      <w:b/>
      <w:bCs/>
    </w:rPr>
  </w:style>
  <w:style w:type="paragraph" w:styleId="Ttulo2">
    <w:name w:val="heading 2"/>
    <w:basedOn w:val="Normal"/>
    <w:next w:val="Normal"/>
    <w:link w:val="Ttulo2Char"/>
    <w:uiPriority w:val="9"/>
    <w:semiHidden/>
    <w:unhideWhenUsed/>
    <w:qFormat/>
    <w:rsid w:val="00952E0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link w:val="PargrafodaListaChar"/>
    <w:uiPriority w:val="34"/>
    <w:qFormat/>
    <w:pPr>
      <w:ind w:left="145"/>
      <w:jc w:val="both"/>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A435B5"/>
    <w:pPr>
      <w:tabs>
        <w:tab w:val="center" w:pos="4252"/>
        <w:tab w:val="right" w:pos="8504"/>
      </w:tabs>
    </w:pPr>
  </w:style>
  <w:style w:type="character" w:customStyle="1" w:styleId="CabealhoChar">
    <w:name w:val="Cabeçalho Char"/>
    <w:basedOn w:val="Fontepargpadro"/>
    <w:link w:val="Cabealho"/>
    <w:uiPriority w:val="99"/>
    <w:rsid w:val="00A435B5"/>
    <w:rPr>
      <w:rFonts w:ascii="Arial" w:eastAsia="Arial" w:hAnsi="Arial" w:cs="Arial"/>
      <w:lang w:val="pt-PT"/>
    </w:rPr>
  </w:style>
  <w:style w:type="paragraph" w:styleId="Rodap">
    <w:name w:val="footer"/>
    <w:basedOn w:val="Normal"/>
    <w:link w:val="RodapChar"/>
    <w:uiPriority w:val="99"/>
    <w:unhideWhenUsed/>
    <w:rsid w:val="00A435B5"/>
    <w:pPr>
      <w:tabs>
        <w:tab w:val="center" w:pos="4252"/>
        <w:tab w:val="right" w:pos="8504"/>
      </w:tabs>
    </w:pPr>
  </w:style>
  <w:style w:type="character" w:customStyle="1" w:styleId="RodapChar">
    <w:name w:val="Rodapé Char"/>
    <w:basedOn w:val="Fontepargpadro"/>
    <w:link w:val="Rodap"/>
    <w:uiPriority w:val="99"/>
    <w:rsid w:val="00A435B5"/>
    <w:rPr>
      <w:rFonts w:ascii="Arial" w:eastAsia="Arial" w:hAnsi="Arial" w:cs="Arial"/>
      <w:lang w:val="pt-PT"/>
    </w:rPr>
  </w:style>
  <w:style w:type="character" w:customStyle="1" w:styleId="Ttulo2Char">
    <w:name w:val="Título 2 Char"/>
    <w:basedOn w:val="Fontepargpadro"/>
    <w:link w:val="Ttulo2"/>
    <w:rsid w:val="00952E08"/>
    <w:rPr>
      <w:rFonts w:asciiTheme="majorHAnsi" w:eastAsiaTheme="majorEastAsia" w:hAnsiTheme="majorHAnsi" w:cstheme="majorBidi"/>
      <w:color w:val="365F91" w:themeColor="accent1" w:themeShade="BF"/>
      <w:sz w:val="26"/>
      <w:szCs w:val="26"/>
      <w:lang w:val="pt-PT"/>
    </w:rPr>
  </w:style>
  <w:style w:type="character" w:styleId="Hyperlink">
    <w:name w:val="Hyperlink"/>
    <w:rsid w:val="00952E08"/>
    <w:rPr>
      <w:color w:val="000080"/>
      <w:u w:val="single"/>
    </w:rPr>
  </w:style>
  <w:style w:type="character" w:styleId="Refdecomentrio">
    <w:name w:val="annotation reference"/>
    <w:basedOn w:val="Fontepargpadro"/>
    <w:unhideWhenUsed/>
    <w:rsid w:val="00952E08"/>
    <w:rPr>
      <w:sz w:val="16"/>
      <w:szCs w:val="16"/>
    </w:rPr>
  </w:style>
  <w:style w:type="paragraph" w:styleId="Textodecomentrio">
    <w:name w:val="annotation text"/>
    <w:basedOn w:val="Normal"/>
    <w:link w:val="TextodecomentrioChar"/>
    <w:uiPriority w:val="99"/>
    <w:unhideWhenUsed/>
    <w:rsid w:val="00952E08"/>
    <w:pPr>
      <w:widowControl/>
      <w:autoSpaceDE/>
      <w:autoSpaceDN/>
    </w:pPr>
    <w:rPr>
      <w:rFonts w:ascii="Ecofont_Spranq_eco_Sans" w:eastAsiaTheme="minorEastAsia" w:hAnsi="Ecofont_Spranq_eco_Sans" w:cs="Tahoma"/>
      <w:sz w:val="20"/>
      <w:szCs w:val="20"/>
      <w:lang w:val="pt-BR" w:eastAsia="pt-BR"/>
    </w:rPr>
  </w:style>
  <w:style w:type="character" w:customStyle="1" w:styleId="TextodecomentrioChar">
    <w:name w:val="Texto de comentário Char"/>
    <w:basedOn w:val="Fontepargpadro"/>
    <w:link w:val="Textodecomentrio"/>
    <w:uiPriority w:val="99"/>
    <w:qFormat/>
    <w:rsid w:val="00952E08"/>
    <w:rPr>
      <w:rFonts w:ascii="Ecofont_Spranq_eco_Sans" w:eastAsiaTheme="minorEastAsia" w:hAnsi="Ecofont_Spranq_eco_Sans" w:cs="Tahoma"/>
      <w:sz w:val="20"/>
      <w:szCs w:val="20"/>
      <w:lang w:val="pt-BR" w:eastAsia="pt-BR"/>
    </w:rPr>
  </w:style>
  <w:style w:type="paragraph" w:customStyle="1" w:styleId="Nivel01">
    <w:name w:val="Nivel 01"/>
    <w:basedOn w:val="Ttulo1"/>
    <w:next w:val="Normal"/>
    <w:link w:val="Nivel01Char"/>
    <w:autoRedefine/>
    <w:qFormat/>
    <w:rsid w:val="00952E08"/>
    <w:pPr>
      <w:keepNext/>
      <w:keepLines/>
      <w:widowControl/>
      <w:numPr>
        <w:numId w:val="10"/>
      </w:numPr>
      <w:tabs>
        <w:tab w:val="left" w:pos="567"/>
      </w:tabs>
      <w:autoSpaceDE/>
      <w:autoSpaceDN/>
      <w:spacing w:before="240" w:after="120" w:line="276" w:lineRule="auto"/>
      <w:ind w:left="0" w:firstLine="0"/>
      <w:jc w:val="both"/>
    </w:pPr>
    <w:rPr>
      <w:rFonts w:eastAsiaTheme="majorEastAsia"/>
      <w:sz w:val="20"/>
      <w:szCs w:val="20"/>
      <w:lang w:val="pt-BR" w:eastAsia="pt-BR"/>
    </w:rPr>
  </w:style>
  <w:style w:type="character" w:customStyle="1" w:styleId="Nivel01Char">
    <w:name w:val="Nivel 01 Char"/>
    <w:basedOn w:val="Fontepargpadro"/>
    <w:link w:val="Nivel01"/>
    <w:rsid w:val="00952E08"/>
    <w:rPr>
      <w:rFonts w:ascii="Arial" w:eastAsiaTheme="majorEastAsia" w:hAnsi="Arial" w:cs="Arial"/>
      <w:b/>
      <w:bCs/>
      <w:sz w:val="20"/>
      <w:szCs w:val="20"/>
      <w:lang w:val="pt-BR" w:eastAsia="pt-BR"/>
    </w:rPr>
  </w:style>
  <w:style w:type="table" w:styleId="Tabelacomgrade">
    <w:name w:val="Table Grid"/>
    <w:basedOn w:val="Tabelanormal"/>
    <w:uiPriority w:val="39"/>
    <w:rsid w:val="00952E08"/>
    <w:pPr>
      <w:widowControl/>
      <w:autoSpaceDE/>
      <w:autoSpaceDN/>
    </w:pPr>
    <w:rPr>
      <w:rFonts w:ascii="Times New Roman" w:eastAsiaTheme="minorEastAsia" w:hAnsi="Times New Roman" w:cs="Times New Roman"/>
      <w:sz w:val="20"/>
      <w:szCs w:val="20"/>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ontepargpadro"/>
    <w:rsid w:val="00952E08"/>
  </w:style>
  <w:style w:type="paragraph" w:customStyle="1" w:styleId="Nivel2">
    <w:name w:val="Nivel 2"/>
    <w:basedOn w:val="Normal"/>
    <w:link w:val="Nivel2Char"/>
    <w:autoRedefine/>
    <w:qFormat/>
    <w:rsid w:val="00952E08"/>
    <w:pPr>
      <w:widowControl/>
      <w:numPr>
        <w:ilvl w:val="1"/>
        <w:numId w:val="10"/>
      </w:numPr>
      <w:autoSpaceDE/>
      <w:autoSpaceDN/>
      <w:spacing w:before="120" w:after="120" w:line="276" w:lineRule="auto"/>
      <w:ind w:left="0" w:firstLine="0"/>
      <w:jc w:val="both"/>
    </w:pPr>
    <w:rPr>
      <w:color w:val="000000"/>
      <w:sz w:val="20"/>
      <w:szCs w:val="20"/>
      <w:lang w:val="pt-BR" w:eastAsia="pt-BR"/>
    </w:rPr>
  </w:style>
  <w:style w:type="paragraph" w:customStyle="1" w:styleId="Nivel3">
    <w:name w:val="Nivel 3"/>
    <w:basedOn w:val="Normal"/>
    <w:link w:val="Nivel3Char"/>
    <w:autoRedefine/>
    <w:qFormat/>
    <w:rsid w:val="00952E08"/>
    <w:pPr>
      <w:widowControl/>
      <w:numPr>
        <w:ilvl w:val="2"/>
        <w:numId w:val="10"/>
      </w:numPr>
      <w:autoSpaceDE/>
      <w:autoSpaceDN/>
      <w:spacing w:before="120" w:after="120" w:line="276" w:lineRule="auto"/>
      <w:ind w:left="284" w:firstLine="0"/>
      <w:jc w:val="both"/>
    </w:pPr>
    <w:rPr>
      <w:rFonts w:eastAsiaTheme="minorEastAsia"/>
      <w:color w:val="000000"/>
      <w:sz w:val="20"/>
      <w:szCs w:val="20"/>
      <w:lang w:val="pt-BR" w:eastAsia="pt-BR"/>
    </w:rPr>
  </w:style>
  <w:style w:type="paragraph" w:customStyle="1" w:styleId="Nivel4">
    <w:name w:val="Nivel 4"/>
    <w:basedOn w:val="Nivel3"/>
    <w:autoRedefine/>
    <w:qFormat/>
    <w:rsid w:val="00952E08"/>
    <w:pPr>
      <w:numPr>
        <w:ilvl w:val="3"/>
      </w:numPr>
      <w:ind w:left="567" w:firstLine="0"/>
    </w:pPr>
    <w:rPr>
      <w:color w:val="auto"/>
    </w:rPr>
  </w:style>
  <w:style w:type="paragraph" w:customStyle="1" w:styleId="Nivel5">
    <w:name w:val="Nivel 5"/>
    <w:basedOn w:val="Nivel4"/>
    <w:autoRedefine/>
    <w:qFormat/>
    <w:rsid w:val="00952E08"/>
    <w:pPr>
      <w:numPr>
        <w:ilvl w:val="4"/>
      </w:numPr>
      <w:tabs>
        <w:tab w:val="num" w:pos="360"/>
      </w:tabs>
      <w:ind w:left="851" w:firstLine="0"/>
    </w:pPr>
  </w:style>
  <w:style w:type="character" w:customStyle="1" w:styleId="Nivel2Char">
    <w:name w:val="Nivel 2 Char"/>
    <w:basedOn w:val="Fontepargpadro"/>
    <w:link w:val="Nivel2"/>
    <w:locked/>
    <w:rsid w:val="00952E08"/>
    <w:rPr>
      <w:rFonts w:ascii="Arial" w:eastAsia="Arial" w:hAnsi="Arial" w:cs="Arial"/>
      <w:color w:val="000000"/>
      <w:sz w:val="20"/>
      <w:szCs w:val="20"/>
      <w:lang w:val="pt-BR" w:eastAsia="pt-BR"/>
    </w:rPr>
  </w:style>
  <w:style w:type="character" w:customStyle="1" w:styleId="PargrafodaListaChar">
    <w:name w:val="Parágrafo da Lista Char"/>
    <w:basedOn w:val="Fontepargpadro"/>
    <w:link w:val="PargrafodaLista"/>
    <w:uiPriority w:val="34"/>
    <w:rsid w:val="00952E08"/>
    <w:rPr>
      <w:rFonts w:ascii="Arial" w:eastAsia="Arial" w:hAnsi="Arial" w:cs="Arial"/>
      <w:lang w:val="pt-PT"/>
    </w:rPr>
  </w:style>
  <w:style w:type="paragraph" w:customStyle="1" w:styleId="ou">
    <w:name w:val="ou"/>
    <w:basedOn w:val="PargrafodaLista"/>
    <w:link w:val="ouChar"/>
    <w:qFormat/>
    <w:rsid w:val="00952E08"/>
    <w:pPr>
      <w:widowControl/>
      <w:autoSpaceDE/>
      <w:autoSpaceDN/>
      <w:spacing w:before="60" w:after="60" w:line="259" w:lineRule="auto"/>
      <w:ind w:left="0"/>
      <w:jc w:val="center"/>
    </w:pPr>
    <w:rPr>
      <w:b/>
      <w:bCs/>
      <w:i/>
      <w:iCs/>
      <w:color w:val="FF0000"/>
      <w:sz w:val="24"/>
      <w:szCs w:val="24"/>
      <w:u w:val="single"/>
      <w:lang w:val="pt-BR" w:eastAsia="pt-BR"/>
    </w:rPr>
  </w:style>
  <w:style w:type="character" w:customStyle="1" w:styleId="ouChar">
    <w:name w:val="ou Char"/>
    <w:basedOn w:val="PargrafodaListaChar"/>
    <w:link w:val="ou"/>
    <w:rsid w:val="00952E08"/>
    <w:rPr>
      <w:rFonts w:ascii="Arial" w:eastAsia="Arial" w:hAnsi="Arial" w:cs="Arial"/>
      <w:b/>
      <w:bCs/>
      <w:i/>
      <w:iCs/>
      <w:color w:val="FF0000"/>
      <w:sz w:val="24"/>
      <w:szCs w:val="24"/>
      <w:u w:val="single"/>
      <w:lang w:val="pt-BR" w:eastAsia="pt-BR"/>
    </w:rPr>
  </w:style>
  <w:style w:type="paragraph" w:customStyle="1" w:styleId="Nvel2-Red">
    <w:name w:val="Nível 2 -Red"/>
    <w:basedOn w:val="Nivel2"/>
    <w:link w:val="Nvel2-RedChar"/>
    <w:qFormat/>
    <w:rsid w:val="00952E08"/>
    <w:rPr>
      <w:i/>
      <w:iCs/>
      <w:color w:val="FF0000"/>
    </w:rPr>
  </w:style>
  <w:style w:type="paragraph" w:customStyle="1" w:styleId="Nvel3-R">
    <w:name w:val="Nível 3-R"/>
    <w:basedOn w:val="Nivel3"/>
    <w:link w:val="Nvel3-RChar"/>
    <w:autoRedefine/>
    <w:qFormat/>
    <w:rsid w:val="000B1356"/>
    <w:pPr>
      <w:numPr>
        <w:ilvl w:val="1"/>
        <w:numId w:val="0"/>
      </w:numPr>
    </w:pPr>
    <w:rPr>
      <w:i/>
      <w:iCs/>
      <w:color w:val="FFFFFF" w:themeColor="background1"/>
    </w:rPr>
  </w:style>
  <w:style w:type="character" w:customStyle="1" w:styleId="Nvel2-RedChar">
    <w:name w:val="Nível 2 -Red Char"/>
    <w:basedOn w:val="Nivel2Char"/>
    <w:link w:val="Nvel2-Red"/>
    <w:rsid w:val="00952E08"/>
    <w:rPr>
      <w:rFonts w:ascii="Arial" w:eastAsia="Arial" w:hAnsi="Arial" w:cs="Arial"/>
      <w:i/>
      <w:iCs/>
      <w:color w:val="FF0000"/>
      <w:sz w:val="20"/>
      <w:szCs w:val="20"/>
      <w:lang w:val="pt-BR" w:eastAsia="pt-BR"/>
    </w:rPr>
  </w:style>
  <w:style w:type="paragraph" w:customStyle="1" w:styleId="Nvel4-R">
    <w:name w:val="Nível 4-R"/>
    <w:basedOn w:val="Nivel4"/>
    <w:link w:val="Nvel4-RChar"/>
    <w:autoRedefine/>
    <w:qFormat/>
    <w:rsid w:val="00952E08"/>
    <w:rPr>
      <w:i/>
      <w:iCs/>
      <w:color w:val="FF0000"/>
    </w:rPr>
  </w:style>
  <w:style w:type="character" w:customStyle="1" w:styleId="Nivel3Char">
    <w:name w:val="Nivel 3 Char"/>
    <w:basedOn w:val="Fontepargpadro"/>
    <w:link w:val="Nivel3"/>
    <w:rsid w:val="00952E08"/>
    <w:rPr>
      <w:rFonts w:ascii="Arial" w:eastAsiaTheme="minorEastAsia" w:hAnsi="Arial" w:cs="Arial"/>
      <w:color w:val="000000"/>
      <w:sz w:val="20"/>
      <w:szCs w:val="20"/>
      <w:lang w:val="pt-BR" w:eastAsia="pt-BR"/>
    </w:rPr>
  </w:style>
  <w:style w:type="character" w:customStyle="1" w:styleId="Nvel3-RChar">
    <w:name w:val="Nível 3-R Char"/>
    <w:basedOn w:val="Nivel3Char"/>
    <w:link w:val="Nvel3-R"/>
    <w:rsid w:val="000B1356"/>
    <w:rPr>
      <w:rFonts w:ascii="Arial" w:eastAsiaTheme="minorEastAsia" w:hAnsi="Arial" w:cs="Arial"/>
      <w:i/>
      <w:iCs/>
      <w:color w:val="FFFFFF" w:themeColor="background1"/>
      <w:sz w:val="20"/>
      <w:szCs w:val="20"/>
      <w:lang w:val="pt-BR" w:eastAsia="pt-BR"/>
    </w:rPr>
  </w:style>
  <w:style w:type="paragraph" w:customStyle="1" w:styleId="Nvel1-SemNum">
    <w:name w:val="Nível 1-Sem Num"/>
    <w:basedOn w:val="Nivel01"/>
    <w:link w:val="Nvel1-SemNumChar"/>
    <w:autoRedefine/>
    <w:qFormat/>
    <w:rsid w:val="00FF4109"/>
    <w:pPr>
      <w:numPr>
        <w:numId w:val="0"/>
      </w:numPr>
      <w:outlineLvl w:val="1"/>
    </w:pPr>
  </w:style>
  <w:style w:type="character" w:customStyle="1" w:styleId="Nvel4-RChar">
    <w:name w:val="Nível 4-R Char"/>
    <w:basedOn w:val="Fontepargpadro"/>
    <w:link w:val="Nvel4-R"/>
    <w:rsid w:val="00952E08"/>
    <w:rPr>
      <w:rFonts w:ascii="Arial" w:eastAsiaTheme="minorEastAsia" w:hAnsi="Arial" w:cs="Arial"/>
      <w:i/>
      <w:iCs/>
      <w:color w:val="FF0000"/>
      <w:sz w:val="20"/>
      <w:szCs w:val="20"/>
      <w:lang w:val="pt-BR" w:eastAsia="pt-BR"/>
    </w:rPr>
  </w:style>
  <w:style w:type="character" w:customStyle="1" w:styleId="Nvel1-SemNumChar">
    <w:name w:val="Nível 1-Sem Num Char"/>
    <w:basedOn w:val="Nivel01Char"/>
    <w:link w:val="Nvel1-SemNum"/>
    <w:rsid w:val="00FF4109"/>
    <w:rPr>
      <w:rFonts w:ascii="Arial" w:eastAsiaTheme="majorEastAsia" w:hAnsi="Arial" w:cs="Arial"/>
      <w:b/>
      <w:bCs/>
      <w:sz w:val="20"/>
      <w:szCs w:val="20"/>
      <w:lang w:val="pt-BR" w:eastAsia="pt-BR"/>
    </w:rPr>
  </w:style>
  <w:style w:type="character" w:customStyle="1" w:styleId="findhit">
    <w:name w:val="findhit"/>
    <w:basedOn w:val="Fontepargpadro"/>
    <w:rsid w:val="00952E08"/>
  </w:style>
  <w:style w:type="paragraph" w:customStyle="1" w:styleId="Nvel1-SemNumPreto">
    <w:name w:val="Nível 1-Sem Num Preto"/>
    <w:basedOn w:val="Nvel1-SemNum"/>
    <w:link w:val="Nvel1-SemNumPretoChar"/>
    <w:qFormat/>
    <w:rsid w:val="00952E08"/>
    <w:rPr>
      <w:lang w:eastAsia="zh-CN" w:bidi="hi-IN"/>
    </w:rPr>
  </w:style>
  <w:style w:type="character" w:customStyle="1" w:styleId="Nvel1-SemNumPretoChar">
    <w:name w:val="Nível 1-Sem Num Preto Char"/>
    <w:basedOn w:val="Nvel1-SemNumChar"/>
    <w:link w:val="Nvel1-SemNumPreto"/>
    <w:rsid w:val="00952E08"/>
    <w:rPr>
      <w:rFonts w:ascii="Arial" w:eastAsiaTheme="majorEastAsia" w:hAnsi="Arial" w:cs="Arial"/>
      <w:b/>
      <w:bCs/>
      <w:sz w:val="20"/>
      <w:szCs w:val="20"/>
      <w:lang w:val="pt-BR" w:eastAsia="zh-CN" w:bidi="hi-IN"/>
    </w:rPr>
  </w:style>
  <w:style w:type="paragraph" w:styleId="TextosemFormatao">
    <w:name w:val="Plain Text"/>
    <w:basedOn w:val="Normal"/>
    <w:link w:val="TextosemFormataoChar"/>
    <w:uiPriority w:val="99"/>
    <w:semiHidden/>
    <w:unhideWhenUsed/>
    <w:rsid w:val="00146DC5"/>
    <w:rPr>
      <w:rFonts w:ascii="Consolas" w:hAnsi="Consolas"/>
      <w:sz w:val="21"/>
      <w:szCs w:val="21"/>
    </w:rPr>
  </w:style>
  <w:style w:type="character" w:customStyle="1" w:styleId="TextosemFormataoChar">
    <w:name w:val="Texto sem Formatação Char"/>
    <w:basedOn w:val="Fontepargpadro"/>
    <w:link w:val="TextosemFormatao"/>
    <w:uiPriority w:val="99"/>
    <w:semiHidden/>
    <w:rsid w:val="00146DC5"/>
    <w:rPr>
      <w:rFonts w:ascii="Consolas" w:eastAsia="Arial" w:hAnsi="Consolas" w:cs="Arial"/>
      <w:sz w:val="21"/>
      <w:szCs w:val="21"/>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3222">
      <w:bodyDiv w:val="1"/>
      <w:marLeft w:val="0"/>
      <w:marRight w:val="0"/>
      <w:marTop w:val="0"/>
      <w:marBottom w:val="0"/>
      <w:divBdr>
        <w:top w:val="none" w:sz="0" w:space="0" w:color="auto"/>
        <w:left w:val="none" w:sz="0" w:space="0" w:color="auto"/>
        <w:bottom w:val="none" w:sz="0" w:space="0" w:color="auto"/>
        <w:right w:val="none" w:sz="0" w:space="0" w:color="auto"/>
      </w:divBdr>
    </w:div>
    <w:div w:id="159275823">
      <w:bodyDiv w:val="1"/>
      <w:marLeft w:val="0"/>
      <w:marRight w:val="0"/>
      <w:marTop w:val="0"/>
      <w:marBottom w:val="0"/>
      <w:divBdr>
        <w:top w:val="none" w:sz="0" w:space="0" w:color="auto"/>
        <w:left w:val="none" w:sz="0" w:space="0" w:color="auto"/>
        <w:bottom w:val="none" w:sz="0" w:space="0" w:color="auto"/>
        <w:right w:val="none" w:sz="0" w:space="0" w:color="auto"/>
      </w:divBdr>
    </w:div>
    <w:div w:id="170486470">
      <w:bodyDiv w:val="1"/>
      <w:marLeft w:val="0"/>
      <w:marRight w:val="0"/>
      <w:marTop w:val="0"/>
      <w:marBottom w:val="0"/>
      <w:divBdr>
        <w:top w:val="none" w:sz="0" w:space="0" w:color="auto"/>
        <w:left w:val="none" w:sz="0" w:space="0" w:color="auto"/>
        <w:bottom w:val="none" w:sz="0" w:space="0" w:color="auto"/>
        <w:right w:val="none" w:sz="0" w:space="0" w:color="auto"/>
      </w:divBdr>
    </w:div>
    <w:div w:id="629214930">
      <w:bodyDiv w:val="1"/>
      <w:marLeft w:val="0"/>
      <w:marRight w:val="0"/>
      <w:marTop w:val="0"/>
      <w:marBottom w:val="0"/>
      <w:divBdr>
        <w:top w:val="none" w:sz="0" w:space="0" w:color="auto"/>
        <w:left w:val="none" w:sz="0" w:space="0" w:color="auto"/>
        <w:bottom w:val="none" w:sz="0" w:space="0" w:color="auto"/>
        <w:right w:val="none" w:sz="0" w:space="0" w:color="auto"/>
      </w:divBdr>
    </w:div>
    <w:div w:id="995719475">
      <w:bodyDiv w:val="1"/>
      <w:marLeft w:val="0"/>
      <w:marRight w:val="0"/>
      <w:marTop w:val="0"/>
      <w:marBottom w:val="0"/>
      <w:divBdr>
        <w:top w:val="none" w:sz="0" w:space="0" w:color="auto"/>
        <w:left w:val="none" w:sz="0" w:space="0" w:color="auto"/>
        <w:bottom w:val="none" w:sz="0" w:space="0" w:color="auto"/>
        <w:right w:val="none" w:sz="0" w:space="0" w:color="auto"/>
      </w:divBdr>
    </w:div>
    <w:div w:id="1715619178">
      <w:bodyDiv w:val="1"/>
      <w:marLeft w:val="0"/>
      <w:marRight w:val="0"/>
      <w:marTop w:val="0"/>
      <w:marBottom w:val="0"/>
      <w:divBdr>
        <w:top w:val="none" w:sz="0" w:space="0" w:color="auto"/>
        <w:left w:val="none" w:sz="0" w:space="0" w:color="auto"/>
        <w:bottom w:val="none" w:sz="0" w:space="0" w:color="auto"/>
        <w:right w:val="none" w:sz="0" w:space="0" w:color="auto"/>
      </w:divBdr>
    </w:div>
    <w:div w:id="1737314078">
      <w:bodyDiv w:val="1"/>
      <w:marLeft w:val="0"/>
      <w:marRight w:val="0"/>
      <w:marTop w:val="0"/>
      <w:marBottom w:val="0"/>
      <w:divBdr>
        <w:top w:val="none" w:sz="0" w:space="0" w:color="auto"/>
        <w:left w:val="none" w:sz="0" w:space="0" w:color="auto"/>
        <w:bottom w:val="none" w:sz="0" w:space="0" w:color="auto"/>
        <w:right w:val="none" w:sz="0" w:space="0" w:color="auto"/>
      </w:divBdr>
    </w:div>
    <w:div w:id="1852839808">
      <w:bodyDiv w:val="1"/>
      <w:marLeft w:val="0"/>
      <w:marRight w:val="0"/>
      <w:marTop w:val="0"/>
      <w:marBottom w:val="0"/>
      <w:divBdr>
        <w:top w:val="none" w:sz="0" w:space="0" w:color="auto"/>
        <w:left w:val="none" w:sz="0" w:space="0" w:color="auto"/>
        <w:bottom w:val="none" w:sz="0" w:space="0" w:color="auto"/>
        <w:right w:val="none" w:sz="0" w:space="0" w:color="auto"/>
      </w:divBdr>
    </w:div>
    <w:div w:id="1861091798">
      <w:bodyDiv w:val="1"/>
      <w:marLeft w:val="0"/>
      <w:marRight w:val="0"/>
      <w:marTop w:val="0"/>
      <w:marBottom w:val="0"/>
      <w:divBdr>
        <w:top w:val="none" w:sz="0" w:space="0" w:color="auto"/>
        <w:left w:val="none" w:sz="0" w:space="0" w:color="auto"/>
        <w:bottom w:val="none" w:sz="0" w:space="0" w:color="auto"/>
        <w:right w:val="none" w:sz="0" w:space="0" w:color="auto"/>
      </w:divBdr>
    </w:div>
    <w:div w:id="2125221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www.gov.br/compras/pt-br/acesso-a-informacao/legislacao/instrucoes-normativas/instrucao-normativa-seges-me-no-81-de-25-de-novembro-de-2022" TargetMode="External"/><Relationship Id="rId18" Type="http://schemas.openxmlformats.org/officeDocument/2006/relationships/hyperlink" Target="https://www.gov.br/compras/pt-br/acesso-a-informacao/legislacao/instrucoes-normativas/instrucao-normativa-seges-me-no-77-de-4-de-novembro-de-2022" TargetMode="External"/><Relationship Id="rId26" Type="http://schemas.openxmlformats.org/officeDocument/2006/relationships/hyperlink" Target="http://www.planalto.gov.br/ccivil_03/_ato2019-2022/2021/lei/L14133.htm" TargetMode="External"/><Relationship Id="rId39" Type="http://schemas.openxmlformats.org/officeDocument/2006/relationships/hyperlink" Target="http://www.planalto.gov.br/ccivil_03/_ato2019-2022/2021/lei/L14133.htm" TargetMode="External"/><Relationship Id="rId21" Type="http://schemas.openxmlformats.org/officeDocument/2006/relationships/hyperlink" Target="https://www.gov.br/compras/pt-br/acesso-a-informacao/legislacao/instrucoes-normativas/instrucao-normativa-seges-me-no-77-de-4-de-novembro-de-2022" TargetMode="External"/><Relationship Id="rId34" Type="http://schemas.openxmlformats.org/officeDocument/2006/relationships/hyperlink" Target="http://www.planalto.gov.br/ccivil_03/_ato2019-2022/2021/lei/L14133.htm" TargetMode="External"/><Relationship Id="rId42" Type="http://schemas.openxmlformats.org/officeDocument/2006/relationships/hyperlink" Target="http://www.planalto.gov.br/ccivil_03/_ato2019-2022/2021/lei/L14133.htm" TargetMode="External"/><Relationship Id="rId47" Type="http://schemas.openxmlformats.org/officeDocument/2006/relationships/hyperlink" Target="http://www.planalto.gov.br/ccivil_03/_ato2019-2022/2021/lei/L14133.htm" TargetMode="External"/><Relationship Id="rId50" Type="http://schemas.openxmlformats.org/officeDocument/2006/relationships/hyperlink" Target="http://www.planalto.gov.br/ccivil_03/_ato2019-2022/2021/lei/L14133.htm" TargetMode="External"/><Relationship Id="rId55" Type="http://schemas.openxmlformats.org/officeDocument/2006/relationships/hyperlink" Target="http://www.planalto.gov.br/ccivil_03/_ato2019-2022/2021/lei/L14133.htm" TargetMode="External"/><Relationship Id="rId7" Type="http://schemas.openxmlformats.org/officeDocument/2006/relationships/hyperlink" Target="http://www.planalto.gov.br/ccivil_03/_ato2019-2022/2021/lei/L14133.htm" TargetMode="External"/><Relationship Id="rId2" Type="http://schemas.openxmlformats.org/officeDocument/2006/relationships/hyperlink" Target="https://www.gov.br/agu/pt-br/composicao/cgu/cgu/guias/gncs_082022.pdf" TargetMode="External"/><Relationship Id="rId16" Type="http://schemas.openxmlformats.org/officeDocument/2006/relationships/hyperlink" Target="http://www.planalto.gov.br/ccivil_03/_ato2019-2022/2021/lei/L14133.htm" TargetMode="External"/><Relationship Id="rId29" Type="http://schemas.openxmlformats.org/officeDocument/2006/relationships/hyperlink" Target="https://www.gov.br/compras/pt-br/acesso-a-informacao/legislacao/instrucoes-normativas/instrucao-normativa-seges-me-no-116-de-21-de-dezembro-de-2021" TargetMode="External"/><Relationship Id="rId11" Type="http://schemas.openxmlformats.org/officeDocument/2006/relationships/hyperlink" Target="https://www.gov.br/compras/pt-br/acesso-a-informacao/legislacao/instrucoes-normativas/instrucao-normativa-seges-me-no-81-de-25-de-novembro-de-2022" TargetMode="External"/><Relationship Id="rId24" Type="http://schemas.openxmlformats.org/officeDocument/2006/relationships/hyperlink" Target="https://www.gov.br/compras/pt-br/acesso-a-informacao/legislacao/instrucoes-normativas/instrucao-normativa-no-53-de-8-de-julho-de-2020" TargetMode="External"/><Relationship Id="rId32" Type="http://schemas.openxmlformats.org/officeDocument/2006/relationships/hyperlink" Target="http://www.planalto.gov.br/ccivil_03/_ato2019-2022/2022/lei/L14382.htm" TargetMode="External"/><Relationship Id="rId37" Type="http://schemas.openxmlformats.org/officeDocument/2006/relationships/hyperlink" Target="http://www.planalto.gov.br/ccivil_03/_ato2019-2022/2021/lei/L14133.htm" TargetMode="External"/><Relationship Id="rId40" Type="http://schemas.openxmlformats.org/officeDocument/2006/relationships/hyperlink" Target="http://www.planalto.gov.br/ccivil_03/_ato2019-2022/2021/lei/L14133.htm" TargetMode="External"/><Relationship Id="rId45" Type="http://schemas.openxmlformats.org/officeDocument/2006/relationships/hyperlink" Target="https://sapiens.agu.gov.br/valida_publico?id=701283242" TargetMode="External"/><Relationship Id="rId53" Type="http://schemas.openxmlformats.org/officeDocument/2006/relationships/hyperlink" Target="http://www.planalto.gov.br/ccivil_03/_ato2019-2022/2021/lei/L14133.htm" TargetMode="External"/><Relationship Id="rId58" Type="http://schemas.openxmlformats.org/officeDocument/2006/relationships/hyperlink" Target="https://www.planalto.gov.br/ccivil_03/_ato2011-2014/2011/lei/l12527.htm" TargetMode="External"/><Relationship Id="rId5" Type="http://schemas.openxmlformats.org/officeDocument/2006/relationships/hyperlink" Target="https://www.gov.br/compras/pt-br/acesso-a-informacao/legislacao/instrucoes-normativas/instrucao-normativa-seges-me-no-73-de-30-de-setembro-de-2022" TargetMode="External"/><Relationship Id="rId19" Type="http://schemas.openxmlformats.org/officeDocument/2006/relationships/hyperlink" Target="http://www.planalto.gov.br/ccivil_03/_ato2019-2022/2021/lei/L14133.htm" TargetMode="External"/><Relationship Id="rId4" Type="http://schemas.openxmlformats.org/officeDocument/2006/relationships/hyperlink" Target="http://www.planalto.gov.br/ccivil_03/_ato2019-2022/2021/lei/L14133.htm" TargetMode="External"/><Relationship Id="rId9" Type="http://schemas.openxmlformats.org/officeDocument/2006/relationships/hyperlink" Target="http://www.planalto.gov.br/ccivil_03/_ato2019-2022/2021/lei/L14133.htm" TargetMode="Externa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www.planalto.gov.br/ccivil_03/_ato2019-2022/2021/lei/L14133.htm" TargetMode="External"/><Relationship Id="rId27" Type="http://schemas.openxmlformats.org/officeDocument/2006/relationships/hyperlink" Target="https://www.gov.br/compras/pt-br/acesso-a-informacao/legislacao/instrucoes-normativas/instrucao-normativa-seges-me-no-116-de-21-de-dezembro-de-2021" TargetMode="External"/><Relationship Id="rId30" Type="http://schemas.openxmlformats.org/officeDocument/2006/relationships/hyperlink" Target="https://www.planalto.gov.br/ccivil_03/_ato2019-2022/2022/decreto/d10977.htm" TargetMode="External"/><Relationship Id="rId35" Type="http://schemas.openxmlformats.org/officeDocument/2006/relationships/hyperlink" Target="https://www.planalto.gov.br/ccivil_03/leis/l5172compilado.htm" TargetMode="External"/><Relationship Id="rId43" Type="http://schemas.openxmlformats.org/officeDocument/2006/relationships/hyperlink" Target="https://www.gov.br/compras/pt-br/acesso-a-informacao/legislacao/instrucoes-normativas/instrucao-normativa-seges-me-no-116-de-21-de-dezembro-de-2021" TargetMode="External"/><Relationship Id="rId48" Type="http://schemas.openxmlformats.org/officeDocument/2006/relationships/hyperlink" Target="http://www.planalto.gov.br/ccivil_03/leis/l6360.htm" TargetMode="External"/><Relationship Id="rId56" Type="http://schemas.openxmlformats.org/officeDocument/2006/relationships/hyperlink" Target="http://www.planalto.gov.br/ccivil_03/_ato2019-2022/2021/lei/L14133.htm" TargetMode="External"/><Relationship Id="rId8" Type="http://schemas.openxmlformats.org/officeDocument/2006/relationships/hyperlink" Target="http://www.planalto.gov.br/ccivil_03/_ato2019-2022/2021/lei/L14133.htm" TargetMode="External"/><Relationship Id="rId51" Type="http://schemas.openxmlformats.org/officeDocument/2006/relationships/hyperlink" Target="https://www.gov.br/compras/pt-br/acesso-a-informacao/legislacao/instrucoes-normativas/instrucao-normativa-seges-me-no-65-de-7-de-julho-de-2021" TargetMode="External"/><Relationship Id="rId3" Type="http://schemas.openxmlformats.org/officeDocument/2006/relationships/hyperlink" Target="https://www.gov.br/agu/pt-br/composicao/cgu/cgu/guias/gncs_082022.pdf" TargetMode="External"/><Relationship Id="rId12" Type="http://schemas.openxmlformats.org/officeDocument/2006/relationships/hyperlink" Target="https://www.gov.br/compras/pt-br/acesso-a-informacao/legislacao/instrucoes-normativas/instrucao-normativa-seges-me-no-81-de-25-de-novembro-de-2022" TargetMode="External"/><Relationship Id="rId17" Type="http://schemas.openxmlformats.org/officeDocument/2006/relationships/hyperlink" Target="https://www.planalto.gov.br/ccivil_03/_ato2019-2022/2022/Decreto/D11246.htm" TargetMode="External"/><Relationship Id="rId25" Type="http://schemas.openxmlformats.org/officeDocument/2006/relationships/hyperlink" Target="https://www.planalto.gov.br/ccivil_03/constituicao/constituicao.htm" TargetMode="External"/><Relationship Id="rId33" Type="http://schemas.openxmlformats.org/officeDocument/2006/relationships/hyperlink" Target="https://legislacao.presidencia.gov.br/atos/?tipo=LEI&amp;numero=10406&amp;ano=2002&amp;ato=ac5gXVE5ENNpWT07a" TargetMode="External"/><Relationship Id="rId38" Type="http://schemas.openxmlformats.org/officeDocument/2006/relationships/hyperlink" Target="https://www.planalto.gov.br/ccivil_03/constituicao/constituicao.htm" TargetMode="External"/><Relationship Id="rId46" Type="http://schemas.openxmlformats.org/officeDocument/2006/relationships/hyperlink" Target="https://antigo.agu.gov.br/page/atos/detalhe/idato/1778660" TargetMode="External"/><Relationship Id="rId59" Type="http://schemas.openxmlformats.org/officeDocument/2006/relationships/hyperlink" Target="https://www.gov.br/compras/pt-br/acesso-a-informacao/legislacao/instrucoes-normativas/instrucao-normativa-seges-me-no-81-de-25-de-novembro-de-2022" TargetMode="External"/><Relationship Id="rId20" Type="http://schemas.openxmlformats.org/officeDocument/2006/relationships/hyperlink" Target="https://www.gov.br/compras/pt-br/acesso-a-informacao/legislacao/instrucoes-normativas/instrucao-normativa-seges-me-no-77-de-4-de-novembro-de-2022" TargetMode="External"/><Relationship Id="rId41" Type="http://schemas.openxmlformats.org/officeDocument/2006/relationships/hyperlink" Target="https://www.planalto.gov.br/ccivil_03/constituicao/constituicao.htm" TargetMode="External"/><Relationship Id="rId54" Type="http://schemas.openxmlformats.org/officeDocument/2006/relationships/hyperlink" Target="https://www.gov.br/compras/pt-br/acesso-a-informacao/legislacao/instrucoes-normativas/instrucao-normativa-seges-me-no-73-de-30-de-setembro-de-2022" TargetMode="External"/><Relationship Id="rId1" Type="http://schemas.openxmlformats.org/officeDocument/2006/relationships/hyperlink" Target="mailto:cgu.modeloscontratacao@agu.gov.br" TargetMode="External"/><Relationship Id="rId6" Type="http://schemas.openxmlformats.org/officeDocument/2006/relationships/hyperlink" Target="http://www.planalto.gov.br/ccivil_03/_ato2019-2022/2021/lei/L14133.htm" TargetMode="External"/><Relationship Id="rId15" Type="http://schemas.openxmlformats.org/officeDocument/2006/relationships/hyperlink" Target="https://www.in.gov.br/en/web/dou/-/instrucao-normativa-seges-n-58-de-8-de-agosto-de-2022-421221597%23"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www.planalto.gov.br/ccivil_03/_ato2019-2022/2021/lei/L14133.htm" TargetMode="External"/><Relationship Id="rId36" Type="http://schemas.openxmlformats.org/officeDocument/2006/relationships/hyperlink" Target="http://www.planalto.gov.br/ccivil_03/_ato2019-2022/2021/lei/L14133.htm" TargetMode="External"/><Relationship Id="rId49" Type="http://schemas.openxmlformats.org/officeDocument/2006/relationships/hyperlink" Target="http://antigo.anvisa.gov.br/documents/10181/2718376/RDC_16_2014_COMP.pdf/542cc137-b331-4596-9c87-7426c0ae77b7" TargetMode="External"/><Relationship Id="rId57" Type="http://schemas.openxmlformats.org/officeDocument/2006/relationships/hyperlink" Target="https://www.gov.br/compras/pt-br/acesso-a-informacao/legislacao/instrucoes-normativas/instrucao-normativa-seges-me-no-81-de-25-de-novembro-de-2022" TargetMode="External"/><Relationship Id="rId10" Type="http://schemas.openxmlformats.org/officeDocument/2006/relationships/hyperlink" Target="http://www.planalto.gov.br/ccivil_03/_ato2019-2022/2021/lei/L14133.htm" TargetMode="External"/><Relationship Id="rId31" Type="http://schemas.openxmlformats.org/officeDocument/2006/relationships/hyperlink" Target="https://www.in.gov.br/en/web/dou/-/lei-n-14.195-de-26-de-agosto-de-2021-341049135" TargetMode="External"/><Relationship Id="rId44" Type="http://schemas.openxmlformats.org/officeDocument/2006/relationships/hyperlink" Target="http://www.planalto.gov.br/ccivil_03/_ato2019-2022/2021/lei/L14133.htm" TargetMode="External"/><Relationship Id="rId52" Type="http://schemas.openxmlformats.org/officeDocument/2006/relationships/hyperlink" Target="https://www.gov.br/compras/pt-br/acesso-a-informacao/legislacao/instrucoes-normativas/instrucao-normativa-seges-me-no-81-de-25-de-novembro-de-2022"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s://www.planalto.gov.br/ccivil_03/_ato2019-2022/2022/Decreto/D11246.htm" TargetMode="External"/><Relationship Id="rId26" Type="http://schemas.openxmlformats.org/officeDocument/2006/relationships/hyperlink" Target="https://www.planalto.gov.br/ccivil_03/leis/lcp/lcp123.htm" TargetMode="External"/><Relationship Id="rId39" Type="http://schemas.openxmlformats.org/officeDocument/2006/relationships/hyperlink" Target="https://www.planalto.gov.br/ccivil_03/leis/l5764.htm" TargetMode="External"/><Relationship Id="rId21" Type="http://schemas.openxmlformats.org/officeDocument/2006/relationships/hyperlink" Target="http://www.planalto.gov.br/ccivil_03/_ato2019-2022/2021/lei/L14133.htm" TargetMode="External"/><Relationship Id="rId34" Type="http://schemas.openxmlformats.org/officeDocument/2006/relationships/hyperlink" Target="https://www.gov.br/trabalho-e-previdencia/pt-br/servicos/empregador/programa-de-alimentacao-do-trabalhador-pat/arquivos-legislacao/instrucoes-normativas/pat_in_971_2009.pdf"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www.planalto.gov.br/ccivil_03/_ato2019-2022/2022/Decreto/D11246.htm" TargetMode="External"/><Relationship Id="rId29" Type="http://schemas.openxmlformats.org/officeDocument/2006/relationships/hyperlink" Target="http://www.planalto.gov.br/ccivil_03/AGU/Pareceres/2019-2022/PRC-JL-01-2020.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nalto.gov.br/ccivil_03/_ato2019-2022/2021/lei/L14133.htm" TargetMode="External"/><Relationship Id="rId24" Type="http://schemas.openxmlformats.org/officeDocument/2006/relationships/hyperlink" Target="http://www.planalto.gov.br/ccivil_03/_ato2019-2022/2021/lei/L14133.htm" TargetMode="External"/><Relationship Id="rId32" Type="http://schemas.openxmlformats.org/officeDocument/2006/relationships/hyperlink" Target="https://www.planalto.gov.br/ccivil_03/leis/l5764.htm" TargetMode="External"/><Relationship Id="rId37" Type="http://schemas.openxmlformats.org/officeDocument/2006/relationships/hyperlink" Target="https://www.planalto.gov.br/ccivil_03/leis/l5764.htm" TargetMode="External"/><Relationship Id="rId40" Type="http://schemas.openxmlformats.org/officeDocument/2006/relationships/hyperlink" Target="https://www.planalto.gov.br/ccivil_03/leis/l5764.htm"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planalto.gov.br/ccivil_03/_ato2019-2022/2022/Decreto/D11246.htm"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s://www.planalto.gov.br/ccivil_03/leis/l8429.htm" TargetMode="External"/><Relationship Id="rId36" Type="http://schemas.openxmlformats.org/officeDocument/2006/relationships/hyperlink" Target="http://www.planalto.gov.br/ccivil_03/_ato2019-2022/2021/lei/L14133.htm" TargetMode="External"/><Relationship Id="rId10" Type="http://schemas.openxmlformats.org/officeDocument/2006/relationships/hyperlink" Target="http://www.planalto.gov.br/ccivil_03/_ato2019-2022/2021/lei/L14133.htm" TargetMode="External"/><Relationship Id="rId19" Type="http://schemas.openxmlformats.org/officeDocument/2006/relationships/hyperlink" Target="https://www.planalto.gov.br/ccivil_03/_ato2019-2022/2022/Decreto/D11246.htm" TargetMode="External"/><Relationship Id="rId31" Type="http://schemas.openxmlformats.org/officeDocument/2006/relationships/hyperlink" Target="https://www.gov.br/economia/pt-br/assuntos/drei/legislacao/arquivos/legislacoes-federais/indrei772020.pdf" TargetMode="External"/><Relationship Id="rId44"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planalto.gov.br/ccivil_03/_ato2019-2022/2022/Decreto/D11246.htm" TargetMode="External"/><Relationship Id="rId22" Type="http://schemas.openxmlformats.org/officeDocument/2006/relationships/hyperlink" Target="http://www.planalto.gov.br/ccivil_03/_ato2019-2022/2021/lei/L14133.htm" TargetMode="External"/><Relationship Id="rId27" Type="http://schemas.openxmlformats.org/officeDocument/2006/relationships/hyperlink" Target="https://www.gov.br/compras/pt-br/acesso-a-informacao/legislacao/instrucoes-normativas/instrucao-normativa-no-53-de-8-de-julho-de-2020" TargetMode="External"/><Relationship Id="rId30" Type="http://schemas.openxmlformats.org/officeDocument/2006/relationships/hyperlink" Target="https://www.gov.br/empresas-e-negocios/pt-br/empreendedor" TargetMode="External"/><Relationship Id="rId35" Type="http://schemas.openxmlformats.org/officeDocument/2006/relationships/hyperlink" Target="https://www.gov.br/compras/pt-br/acesso-a-informacao/legislacao/instrucoes-normativas/instrucao-normativa-seges-me-no-116-de-21-de-dezembro-de-2021" TargetMode="External"/><Relationship Id="rId43" Type="http://schemas.openxmlformats.org/officeDocument/2006/relationships/header" Target="header2.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s://www.planalto.gov.br/ccivil_03/_ato2019-2022/2022/Decreto/D11246.htm" TargetMode="External"/><Relationship Id="rId25" Type="http://schemas.openxmlformats.org/officeDocument/2006/relationships/hyperlink" Target="https://in.gov.br/en/web/dou/-/instrucao-normativa-seges/me-n-77-de-4-de-novembro-de-2022-441681061" TargetMode="External"/><Relationship Id="rId33" Type="http://schemas.openxmlformats.org/officeDocument/2006/relationships/hyperlink" Target="https://www.planalto.gov.br/ccivil_03/_ato2019-2022/2021/decreto/d10880.htm" TargetMode="External"/><Relationship Id="rId38" Type="http://schemas.openxmlformats.org/officeDocument/2006/relationships/hyperlink" Target="https://www.planalto.gov.br/ccivil_03/leis/l5764.htm" TargetMode="External"/><Relationship Id="rId46" Type="http://schemas.openxmlformats.org/officeDocument/2006/relationships/fontTable" Target="fontTable.xml"/><Relationship Id="rId20" Type="http://schemas.openxmlformats.org/officeDocument/2006/relationships/hyperlink" Target="https://www.planalto.gov.br/ccivil_03/_ato2019-2022/2022/Decreto/D11246.htm" TargetMode="External"/><Relationship Id="rId41" Type="http://schemas.openxmlformats.org/officeDocument/2006/relationships/hyperlink" Target="http://www.planalto.gov.br/ccivil_03/_Ato2019-2022/2021/Lei/L14133.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15</Pages>
  <Words>7424</Words>
  <Characters>40095</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dc:creator>
  <cp:lastModifiedBy>Anderson Clayton</cp:lastModifiedBy>
  <cp:revision>8</cp:revision>
  <dcterms:created xsi:type="dcterms:W3CDTF">2025-01-15T22:18:00Z</dcterms:created>
  <dcterms:modified xsi:type="dcterms:W3CDTF">2025-01-16T06:20:00Z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2019-07-25T00:00:00Z</vt:filetime>
  </property>
  <property fmtid="{D5CDD505-2E9C-101B-9397-08002B2CF9AE}" pid="3" name="Creator">
    <vt:lpwstr>Writer</vt:lpwstr>
  </property>
  <property fmtid="{D5CDD505-2E9C-101B-9397-08002B2CF9AE}" pid="4" name="LastSaved">
    <vt:filetime>2019-07-25T00:00:00Z</vt:filetime>
  </property>
</Properties>
</file>