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Mechanisms</w:t>
      </w:r>
      <w:r>
        <w:t xml:space="preserve"> </w:t>
      </w:r>
      <w:r>
        <w:t xml:space="preserve">of</w:t>
      </w:r>
      <w:r>
        <w:t xml:space="preserve"> </w:t>
      </w:r>
      <w:r>
        <w:t xml:space="preserve">bacterial</w:t>
      </w:r>
      <w:r>
        <w:t xml:space="preserve"> </w:t>
      </w:r>
      <w:r>
        <w:t xml:space="preserve">colonization</w:t>
      </w:r>
      <w:r>
        <w:t xml:space="preserve"> </w:t>
      </w:r>
      <w:r>
        <w:t xml:space="preserve">patterns</w:t>
      </w:r>
      <w:r>
        <w:t xml:space="preserve"> </w:t>
      </w:r>
      <w:r>
        <w:t xml:space="preserve">in</w:t>
      </w:r>
      <w:r>
        <w:t xml:space="preserve"> </w:t>
      </w:r>
      <w:r>
        <w:t xml:space="preserve">atopic</w:t>
      </w:r>
      <w:r>
        <w:t xml:space="preserve"> </w:t>
      </w:r>
      <w:r>
        <w:t xml:space="preserve">skin</w:t>
      </w:r>
    </w:p>
    <w:p>
      <w:pPr>
        <w:pStyle w:val="Author"/>
      </w:pPr>
      <w:r>
        <w:t xml:space="preserve">Wojciech</w:t>
      </w:r>
      <w:r>
        <w:t xml:space="preserve"> </w:t>
      </w:r>
      <w:r>
        <w:t xml:space="preserve">Francuzik,</w:t>
      </w:r>
      <w:r>
        <w:t xml:space="preserve"> </w:t>
      </w:r>
      <w:r>
        <w:t xml:space="preserve">MD</w:t>
      </w:r>
    </w:p>
    <w:p>
      <w:pPr>
        <w:pStyle w:val="Heading1"/>
      </w:pPr>
      <w:bookmarkStart w:id="21" w:name="background"/>
      <w:bookmarkEnd w:id="21"/>
      <w:r>
        <w:t xml:space="preserve">Background</w:t>
      </w:r>
    </w:p>
    <w:p>
      <w:pPr>
        <w:pStyle w:val="FirstParagraph"/>
      </w:pPr>
      <w:r>
        <w:t xml:space="preserve">Atopic dermatitis (AD) is a chronic, pruritic inflammatory cutaneous disease and the incidence of this allergic illness has dramatically increased during the last two decades. It is estimated that 10% to 20% of the children and up to 2-3% of the adults are affected by AD</w:t>
      </w:r>
      <w:r>
        <w:t xml:space="preserve"> </w:t>
      </w:r>
      <w:r>
        <w:t xml:space="preserve">(Asher et al. 2006)</w:t>
      </w:r>
      <w:r>
        <w:t xml:space="preserve">.</w:t>
      </w:r>
    </w:p>
    <w:p>
      <w:pPr>
        <w:pStyle w:val="BodyText"/>
      </w:pPr>
      <w:r>
        <w:t xml:space="preserve">The Human Microbiome study has revealed that imbalance between skin microbiota and skin pathogens might undermine local and systemic regulatory immune responses</w:t>
      </w:r>
      <w:r>
        <w:t xml:space="preserve"> </w:t>
      </w:r>
      <w:r>
        <w:t xml:space="preserve">(Naik et al. 2015)</w:t>
      </w:r>
      <w:r>
        <w:t xml:space="preserve"> </w:t>
      </w:r>
      <w:r>
        <w:t xml:space="preserve">and that</w:t>
      </w:r>
      <w:r>
        <w:t xml:space="preserve"> </w:t>
      </w:r>
      <w:r>
        <w:rPr>
          <w:i/>
        </w:rPr>
        <w:t xml:space="preserve">S. aureus</w:t>
      </w:r>
      <w:r>
        <w:t xml:space="preserve"> </w:t>
      </w:r>
      <w:r>
        <w:t xml:space="preserve">overgrowth correlates with neurodermitis flares</w:t>
      </w:r>
      <w:r>
        <w:t xml:space="preserve"> </w:t>
      </w:r>
      <w:r>
        <w:t xml:space="preserve">(Cole et al. 2014)</w:t>
      </w:r>
      <w:r>
        <w:t xml:space="preserve">. Accordingly, it has been shown that</w:t>
      </w:r>
      <w:r>
        <w:t xml:space="preserve"> </w:t>
      </w:r>
      <w:r>
        <w:rPr>
          <w:i/>
        </w:rPr>
        <w:t xml:space="preserve">S. epidermidis</w:t>
      </w:r>
      <w:r>
        <w:t xml:space="preserve"> </w:t>
      </w:r>
      <w:r>
        <w:t xml:space="preserve">(harmless skin commensal) not only inhibits the growth of</w:t>
      </w:r>
      <w:r>
        <w:t xml:space="preserve"> </w:t>
      </w:r>
      <w:r>
        <w:rPr>
          <w:i/>
        </w:rPr>
        <w:t xml:space="preserve">S. aureus</w:t>
      </w:r>
      <w:r>
        <w:t xml:space="preserve"> </w:t>
      </w:r>
      <w:r>
        <w:t xml:space="preserve">and</w:t>
      </w:r>
      <w:r>
        <w:t xml:space="preserve"> </w:t>
      </w:r>
      <w:r>
        <w:rPr>
          <w:i/>
        </w:rPr>
        <w:t xml:space="preserve">P. acnes</w:t>
      </w:r>
      <w:r>
        <w:t xml:space="preserve"> </w:t>
      </w:r>
      <w:r>
        <w:t xml:space="preserve">(Wang et al. 2013)</w:t>
      </w:r>
      <w:r>
        <w:t xml:space="preserve">, but also modulates local skin immunity</w:t>
      </w:r>
      <w:r>
        <w:t xml:space="preserve"> </w:t>
      </w:r>
      <w:r>
        <w:t xml:space="preserve">(Y. Lai et al. 2010)</w:t>
      </w:r>
      <w:r>
        <w:t xml:space="preserve"> </w:t>
      </w:r>
      <w:r>
        <w:t xml:space="preserve">via increasing defense against skin infections</w:t>
      </w:r>
      <w:r>
        <w:t xml:space="preserve"> </w:t>
      </w:r>
      <w:r>
        <w:t xml:space="preserve">(Cogen et al. 2010)</w:t>
      </w:r>
      <w:r>
        <w:t xml:space="preserve">. Founded on this data we are currently evaluating microbiome differences in AD patients in our clinical department and the resulting data derived from this ongoing study will be published during the upcoming months. We have identified potential bacterial candidates that may have the highest impact on the composition of the microbiome during the course of AD.</w:t>
      </w:r>
    </w:p>
    <w:p>
      <w:pPr>
        <w:pStyle w:val="BodyText"/>
      </w:pPr>
      <w:r>
        <w:t xml:space="preserve">However, little is known about the colonization patterns of skin microbes in the lesional skin of atopic dermatitis patients, and in particular why</w:t>
      </w:r>
      <w:r>
        <w:t xml:space="preserve"> </w:t>
      </w:r>
      <w:r>
        <w:rPr>
          <w:i/>
        </w:rPr>
        <w:t xml:space="preserve">S. aureus</w:t>
      </w:r>
      <w:r>
        <w:t xml:space="preserve"> </w:t>
      </w:r>
      <w:r>
        <w:t xml:space="preserve">abundance correlates with the flares.</w:t>
      </w:r>
    </w:p>
    <w:p>
      <w:pPr>
        <w:pStyle w:val="BodyText"/>
      </w:pPr>
      <w:r>
        <w:t xml:space="preserve">The skin barrier is mechanically destroyed by scratching and extracellular matrix molecules (e.g. fibronectin, fibrinogen or collagen) which act as binding partners for the microbial surface components recognizing adhesive matrix molecules (MSCRAMMs) of</w:t>
      </w:r>
      <w:r>
        <w:t xml:space="preserve"> </w:t>
      </w:r>
      <w:r>
        <w:rPr>
          <w:i/>
        </w:rPr>
        <w:t xml:space="preserve">S.aureus</w:t>
      </w:r>
      <w:r>
        <w:t xml:space="preserve"> </w:t>
      </w:r>
      <w:r>
        <w:t xml:space="preserve">are enriched at the lesional skin sites</w:t>
      </w:r>
      <w:r>
        <w:t xml:space="preserve"> </w:t>
      </w:r>
      <w:r>
        <w:t xml:space="preserve">(Cho et al. 2001; Novak 2003)</w:t>
      </w:r>
      <w:r>
        <w:t xml:space="preserve">. As a result despite the antimicrobial activity mediated by the immune system,</w:t>
      </w:r>
      <w:r>
        <w:t xml:space="preserve"> </w:t>
      </w:r>
      <w:r>
        <w:rPr>
          <w:i/>
        </w:rPr>
        <w:t xml:space="preserve">S. aureus</w:t>
      </w:r>
      <w:r>
        <w:t xml:space="preserve"> </w:t>
      </w:r>
      <w:r>
        <w:t xml:space="preserve">might be more prone to adhere to lesional skin sites of AD patients than other bacteria.</w:t>
      </w:r>
    </w:p>
    <w:p>
      <w:pPr>
        <w:pStyle w:val="BodyText"/>
      </w:pPr>
      <w:r>
        <w:t xml:space="preserve">Diminished antimicrobial peptides (AMPs) production by keratinocytes in AD skin may contribute to the increased adherence of</w:t>
      </w:r>
      <w:r>
        <w:t xml:space="preserve"> </w:t>
      </w:r>
      <w:r>
        <w:rPr>
          <w:i/>
        </w:rPr>
        <w:t xml:space="preserve">S. aureus</w:t>
      </w:r>
      <w:r>
        <w:t xml:space="preserve"> </w:t>
      </w:r>
      <w:r>
        <w:t xml:space="preserve">(Harder et al. 2010)</w:t>
      </w:r>
      <w:r>
        <w:t xml:space="preserve">.</w:t>
      </w:r>
    </w:p>
    <w:p>
      <w:pPr>
        <w:pStyle w:val="BodyText"/>
      </w:pPr>
      <w:r>
        <w:t xml:space="preserve">Increase in the observed pH skin levels in AD patients</w:t>
      </w:r>
      <w:r>
        <w:t xml:space="preserve"> </w:t>
      </w:r>
      <w:r>
        <w:t xml:space="preserve">(Knor, Meholjić-Fetahović, and Mehmedagić 2010)</w:t>
      </w:r>
      <w:r>
        <w:t xml:space="preserve"> </w:t>
      </w:r>
      <w:r>
        <w:t xml:space="preserve">diminish the efficacy of AMPs</w:t>
      </w:r>
      <w:r>
        <w:t xml:space="preserve"> </w:t>
      </w:r>
      <w:r>
        <w:t xml:space="preserve">(Ong et al. 2002)</w:t>
      </w:r>
      <w:r>
        <w:t xml:space="preserve"> </w:t>
      </w:r>
      <w:r>
        <w:t xml:space="preserve">and therefore contribute to increased bacterial colonization. If this mechanism promotes the colonization with</w:t>
      </w:r>
      <w:r>
        <w:t xml:space="preserve"> </w:t>
      </w:r>
      <w:r>
        <w:rPr>
          <w:i/>
        </w:rPr>
        <w:t xml:space="preserve">S. aureus</w:t>
      </w:r>
      <w:r>
        <w:t xml:space="preserve"> </w:t>
      </w:r>
      <w:r>
        <w:t xml:space="preserve">more than the other skin commensals remains to be investigated.</w:t>
      </w:r>
    </w:p>
    <w:p>
      <w:pPr>
        <w:pStyle w:val="BodyText"/>
      </w:pPr>
      <w:r>
        <w:t xml:space="preserve">It is speculated that the increased expression of extracellular matrix proteins and their distribution within skin layers is influenced by the Th2 cytokine milieu</w:t>
      </w:r>
      <w:r>
        <w:t xml:space="preserve"> </w:t>
      </w:r>
      <w:r>
        <w:t xml:space="preserve">(Cho et al. 2001)</w:t>
      </w:r>
      <w:r>
        <w:t xml:space="preserve">.</w:t>
      </w:r>
    </w:p>
    <w:p>
      <w:pPr>
        <w:pStyle w:val="Heading1"/>
      </w:pPr>
      <w:bookmarkStart w:id="22" w:name="hypothesis-and-aims"/>
      <w:bookmarkEnd w:id="22"/>
      <w:r>
        <w:t xml:space="preserve">Hypothesis and aims</w:t>
      </w:r>
    </w:p>
    <w:p>
      <w:pPr>
        <w:pStyle w:val="FirstParagraph"/>
      </w:pPr>
      <w:r>
        <w:t xml:space="preserve">We hypothesize that human skin exposed to a Th2 cytokine milieu expresses MSCRAMMs ligands and in effect promotes the colonization and superficial infections with</w:t>
      </w:r>
      <w:r>
        <w:t xml:space="preserve"> </w:t>
      </w:r>
      <w:r>
        <w:rPr>
          <w:i/>
        </w:rPr>
        <w:t xml:space="preserve">S. aureus</w:t>
      </w:r>
      <w:r>
        <w:t xml:space="preserve">. This may contribute to the observed microbiome composition in AD patients and why</w:t>
      </w:r>
      <w:r>
        <w:t xml:space="preserve"> </w:t>
      </w:r>
      <w:r>
        <w:rPr>
          <w:i/>
        </w:rPr>
        <w:t xml:space="preserve">S. aureus</w:t>
      </w:r>
      <w:r>
        <w:t xml:space="preserve"> </w:t>
      </w:r>
      <w:r>
        <w:t xml:space="preserve">dominates the lesions of AD patients.</w:t>
      </w:r>
    </w:p>
    <w:p>
      <w:pPr>
        <w:pStyle w:val="BodyText"/>
      </w:pPr>
      <w:r>
        <w:t xml:space="preserve">The primary aim of this study is to prove that atopic cytokine milieu stimulates the formation of MSCRAMMs ligands, therefore promoting the adhesion of</w:t>
      </w:r>
      <w:r>
        <w:t xml:space="preserve"> </w:t>
      </w:r>
      <w:r>
        <w:rPr>
          <w:i/>
        </w:rPr>
        <w:t xml:space="preserve">S. aureus</w:t>
      </w:r>
      <w:r>
        <w:t xml:space="preserve">.</w:t>
      </w:r>
    </w:p>
    <w:p>
      <w:pPr>
        <w:pStyle w:val="BodyText"/>
      </w:pPr>
      <w:r>
        <w:t xml:space="preserve">This data will build the basis for the development of topical preparations containing MSCRAMMs ligands.</w:t>
      </w:r>
    </w:p>
    <w:p>
      <w:pPr>
        <w:pStyle w:val="Heading1"/>
      </w:pPr>
      <w:bookmarkStart w:id="23" w:name="working-program"/>
      <w:bookmarkEnd w:id="23"/>
      <w:r>
        <w:t xml:space="preserve">Working program</w:t>
      </w:r>
    </w:p>
    <w:p>
      <w:pPr>
        <w:pStyle w:val="FirstParagraph"/>
      </w:pPr>
      <w:r>
        <w:t xml:space="preserve">The experiments in the course of this trial will answer the following research questions:</w:t>
      </w:r>
    </w:p>
    <w:p>
      <w:pPr>
        <w:pStyle w:val="Compact"/>
        <w:numPr>
          <w:numId w:val="1001"/>
          <w:ilvl w:val="0"/>
        </w:numPr>
      </w:pPr>
      <w:r>
        <w:t xml:space="preserve">What is the expression pattern of fibronectin during the course of AD (considering the acute and chronic phase)?</w:t>
      </w:r>
    </w:p>
    <w:p>
      <w:pPr>
        <w:pStyle w:val="Compact"/>
        <w:numPr>
          <w:numId w:val="1001"/>
          <w:ilvl w:val="0"/>
        </w:numPr>
      </w:pPr>
      <w:r>
        <w:t xml:space="preserve">Which mechanisms (e.g. which cytokines) affect the expression of fibronectin in the skin?</w:t>
      </w:r>
    </w:p>
    <w:p>
      <w:pPr>
        <w:pStyle w:val="Compact"/>
        <w:numPr>
          <w:numId w:val="1001"/>
          <w:ilvl w:val="0"/>
        </w:numPr>
      </w:pPr>
      <w:r>
        <w:t xml:space="preserve">Does increased fibronectin expression promote</w:t>
      </w:r>
      <w:r>
        <w:t xml:space="preserve"> </w:t>
      </w:r>
      <w:r>
        <w:rPr>
          <w:i/>
        </w:rPr>
        <w:t xml:space="preserve">S. aureus</w:t>
      </w:r>
      <w:r>
        <w:t xml:space="preserve"> </w:t>
      </w:r>
      <w:r>
        <w:t xml:space="preserve">colonization?</w:t>
      </w:r>
    </w:p>
    <w:p>
      <w:pPr>
        <w:pStyle w:val="Compact"/>
        <w:numPr>
          <w:numId w:val="1001"/>
          <w:ilvl w:val="0"/>
        </w:numPr>
      </w:pPr>
      <w:r>
        <w:t xml:space="preserve">Which other compounds may be plausible</w:t>
      </w:r>
      <w:r>
        <w:t xml:space="preserve"> </w:t>
      </w:r>
      <w:r>
        <w:rPr>
          <w:i/>
        </w:rPr>
        <w:t xml:space="preserve">S. aureus</w:t>
      </w:r>
      <w:r>
        <w:t xml:space="preserve"> </w:t>
      </w:r>
      <w:r>
        <w:t xml:space="preserve">MSCRAMMs ligands in AD?</w:t>
      </w:r>
    </w:p>
    <w:p>
      <w:pPr>
        <w:pStyle w:val="Heading2"/>
      </w:pPr>
      <w:bookmarkStart w:id="24" w:name="ad-1."/>
      <w:bookmarkEnd w:id="24"/>
      <w:r>
        <w:t xml:space="preserve">Ad 1.</w:t>
      </w:r>
    </w:p>
    <w:p>
      <w:pPr>
        <w:pStyle w:val="FirstParagraph"/>
      </w:pPr>
      <w:r>
        <w:t xml:space="preserve">Using the skin biopsies from AD patients and healthy controls we will determine and compare the distribution patterns of fibronectin using immunohistochemistry (for the protein quantification) and qPCR (for the mRNA quantification).</w:t>
      </w:r>
    </w:p>
    <w:p>
      <w:pPr>
        <w:pStyle w:val="Heading2"/>
      </w:pPr>
      <w:bookmarkStart w:id="25" w:name="ad-2."/>
      <w:bookmarkEnd w:id="25"/>
      <w:r>
        <w:t xml:space="preserve">Ad 2.</w:t>
      </w:r>
    </w:p>
    <w:p>
      <w:pPr>
        <w:pStyle w:val="FirstParagraph"/>
      </w:pPr>
      <w:r>
        <w:t xml:space="preserve">Using either ex vivo skin or skin equivalents in cultures we will investigate which cytokines stimulate the expression of fibronectin using the above-mentioned methods.</w:t>
      </w:r>
    </w:p>
    <w:p>
      <w:pPr>
        <w:pStyle w:val="Heading2"/>
      </w:pPr>
      <w:bookmarkStart w:id="26" w:name="ad-3."/>
      <w:bookmarkEnd w:id="26"/>
      <w:r>
        <w:t xml:space="preserve">Ad 3.</w:t>
      </w:r>
    </w:p>
    <w:p>
      <w:pPr>
        <w:pStyle w:val="FirstParagraph"/>
      </w:pPr>
      <w:r>
        <w:t xml:space="preserve">Using fibronectin cell adhesion assay we will determine the adhesion of various bacteria to fibronectin. This will help to investigate which of skin commensals are predisposed to colonize skin during an increased fibronectin expression. This step will be repeated for other discovered MSCRAMMs ligands.</w:t>
      </w:r>
    </w:p>
    <w:p>
      <w:pPr>
        <w:pStyle w:val="BodyText"/>
      </w:pPr>
      <w:r>
        <w:t xml:space="preserve">Afterward, using skin equivalents or ex vivo skin we will recreate the conditions resembling healthy human skin surface and subsequently introduce the cytokine milieu similar to AD (Th2 type of response). The observed changes in potential ligands for MSCRAMMs will lead to the subsequent phase - evaluation if</w:t>
      </w:r>
      <w:r>
        <w:t xml:space="preserve"> </w:t>
      </w:r>
      <w:r>
        <w:rPr>
          <w:i/>
        </w:rPr>
        <w:t xml:space="preserve">S. aureus</w:t>
      </w:r>
      <w:r>
        <w:t xml:space="preserve"> </w:t>
      </w:r>
      <w:r>
        <w:t xml:space="preserve">introduced in these cultures will show an increased adherence to the treated skin.</w:t>
      </w:r>
    </w:p>
    <w:p>
      <w:pPr>
        <w:pStyle w:val="Heading2"/>
      </w:pPr>
      <w:bookmarkStart w:id="27" w:name="ad-4."/>
      <w:bookmarkEnd w:id="27"/>
      <w:r>
        <w:t xml:space="preserve">Ad 4.</w:t>
      </w:r>
    </w:p>
    <w:p>
      <w:pPr>
        <w:pStyle w:val="FirstParagraph"/>
      </w:pPr>
      <w:r>
        <w:t xml:space="preserve">To identify further potential MSCRAMMs ligands we will perform in silico experiments based on the literature search. After identification of plausible candidates, we will perform binding assays to prove their interaction. We will repeat steps 1-3 to verify their clinical significance.</w:t>
      </w:r>
    </w:p>
    <w:p>
      <w:pPr>
        <w:pStyle w:val="BodyText"/>
      </w:pPr>
      <w:r>
        <w:t xml:space="preserve">The results of these experiments will subsequently be used in further studies to evaluate the changes in the composition of the skin microbiome after challenge with topical application of MSCRAMMs ligands by performing our already established protocol for the quantification of selected bacterial species in skin samples (qPCR).</w:t>
      </w:r>
    </w:p>
    <w:p>
      <w:pPr>
        <w:pStyle w:val="Heading1"/>
      </w:pPr>
      <w:bookmarkStart w:id="28" w:name="implementation-of-existing-research-structures"/>
      <w:bookmarkEnd w:id="28"/>
      <w:r>
        <w:t xml:space="preserve">Implementation of existing research structures</w:t>
      </w:r>
    </w:p>
    <w:p>
      <w:pPr>
        <w:pStyle w:val="FirstParagraph"/>
      </w:pPr>
      <w:r>
        <w:t xml:space="preserve">The study will be conducted in the AG Prof. M. Worm. The clinical unit will contribute to the personnel costs e.g. a study nurse, great part of the research personnel and will provide part of the consumables for clinical data acquisition (i. e. for blood and skin sampling as well as skin parameters measuring equipment i. e. TEWL, pH, corneometer by Courage &amp; Kazaka).</w:t>
      </w:r>
    </w:p>
    <w:p>
      <w:pPr>
        <w:pStyle w:val="BodyText"/>
      </w:pPr>
      <w:r>
        <w:t xml:space="preserve">On top of that we are confident that we will be able to reduce the cost of this study by utilizing skills that already lie in our expertise and are crucial for completing this trial: Bioinformatic data analysis, qPCR quantification of selected skin microbiota, and electronic data capture software administration are free in this trial due to the above fact.</w:t>
      </w:r>
    </w:p>
    <w:p>
      <w:pPr>
        <w:pStyle w:val="Heading1"/>
      </w:pPr>
      <w:bookmarkStart w:id="29" w:name="budget-calculation"/>
      <w:bookmarkEnd w:id="29"/>
      <w:r>
        <w:t xml:space="preserve">Budget calculation:</w:t>
      </w:r>
    </w:p>
    <w:tbl>
      <w:tblPr>
        <w:tblStyle w:val="TableNormal"/>
        <w:tblW w:type="pct" w:w="5000.0"/>
        <w:tblLook w:firstRow="1"/>
      </w:tblPr>
      <w:tblGrid>
        <w:gridCol w:w="2255"/>
        <w:gridCol w:w="5112"/>
        <w:gridCol w:w="551"/>
      </w:tblGrid>
      <w:tr>
        <w:trPr>
          <w:cnfStyle w:firstRow="1"/>
        </w:trPr>
        <w:tc>
          <w:tcPr>
            <w:tcBorders>
              <w:bottom w:val="single"/>
            </w:tcBorders>
            <w:vAlign w:val="bottom"/>
          </w:tcPr>
          <w:p>
            <w:pPr>
              <w:pStyle w:val="Compact"/>
              <w:jc w:val="left"/>
            </w:pPr>
            <w:r>
              <w:t xml:space="preserve">Expense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Amount</w:t>
            </w:r>
          </w:p>
        </w:tc>
      </w:tr>
      <w:tr>
        <w:tc>
          <w:p>
            <w:pPr>
              <w:pStyle w:val="Compact"/>
              <w:jc w:val="left"/>
            </w:pPr>
            <w:r>
              <w:t xml:space="preserve">Commercially available cell adhesion assay</w:t>
            </w:r>
          </w:p>
        </w:tc>
        <w:tc>
          <w:p>
            <w:pPr>
              <w:pStyle w:val="Compact"/>
              <w:jc w:val="left"/>
            </w:pPr>
            <w:r>
              <w:t xml:space="preserve">Fibronectin binding assays</w:t>
            </w:r>
          </w:p>
        </w:tc>
        <w:tc>
          <w:p>
            <w:pPr>
              <w:pStyle w:val="Compact"/>
              <w:jc w:val="left"/>
            </w:pPr>
            <w:r>
              <w:t xml:space="preserve">3.500</w:t>
            </w:r>
          </w:p>
        </w:tc>
      </w:tr>
      <w:tr>
        <w:tc>
          <w:p>
            <w:pPr>
              <w:pStyle w:val="Compact"/>
              <w:jc w:val="left"/>
            </w:pPr>
            <w:r>
              <w:t xml:space="preserve">Skin equivalents supplies</w:t>
            </w:r>
          </w:p>
        </w:tc>
        <w:tc>
          <w:p>
            <w:pStyle w:val="Compact"/>
          </w:p>
        </w:tc>
        <w:tc>
          <w:p>
            <w:pPr>
              <w:pStyle w:val="Compact"/>
              <w:jc w:val="left"/>
            </w:pPr>
            <w:r>
              <w:t xml:space="preserve">2.500</w:t>
            </w:r>
          </w:p>
        </w:tc>
      </w:tr>
      <w:tr>
        <w:tc>
          <w:p>
            <w:pPr>
              <w:pStyle w:val="Compact"/>
              <w:jc w:val="left"/>
            </w:pPr>
            <w:r>
              <w:t xml:space="preserve">Lab consumables</w:t>
            </w:r>
          </w:p>
        </w:tc>
        <w:tc>
          <w:p>
            <w:pPr>
              <w:pStyle w:val="Compact"/>
              <w:jc w:val="left"/>
            </w:pPr>
            <w:r>
              <w:t xml:space="preserve">used during sample preparation, handling and storage</w:t>
            </w:r>
          </w:p>
        </w:tc>
        <w:tc>
          <w:p>
            <w:pPr>
              <w:pStyle w:val="Compact"/>
              <w:jc w:val="left"/>
            </w:pPr>
            <w:r>
              <w:t xml:space="preserve">1.000</w:t>
            </w:r>
          </w:p>
        </w:tc>
      </w:tr>
      <w:tr>
        <w:tc>
          <w:p>
            <w:pPr>
              <w:pStyle w:val="Compact"/>
              <w:jc w:val="left"/>
            </w:pPr>
            <w:r>
              <w:t xml:space="preserve">qPCR materials</w:t>
            </w:r>
          </w:p>
        </w:tc>
        <w:tc>
          <w:p>
            <w:pPr>
              <w:pStyle w:val="Compact"/>
              <w:jc w:val="left"/>
            </w:pPr>
            <w:r>
              <w:t xml:space="preserve">for the quantification of bacteria</w:t>
            </w:r>
          </w:p>
        </w:tc>
        <w:tc>
          <w:p>
            <w:pPr>
              <w:pStyle w:val="Compact"/>
              <w:jc w:val="left"/>
            </w:pPr>
            <w:r>
              <w:t xml:space="preserve">2.000</w:t>
            </w:r>
          </w:p>
        </w:tc>
      </w:tr>
      <w:tr>
        <w:tc>
          <w:p>
            <w:pPr>
              <w:pStyle w:val="Compact"/>
              <w:jc w:val="left"/>
            </w:pPr>
            <w:r>
              <w:t xml:space="preserve">RNA extraction kits</w:t>
            </w:r>
          </w:p>
        </w:tc>
        <w:tc>
          <w:p>
            <w:pPr>
              <w:pStyle w:val="Compact"/>
              <w:jc w:val="left"/>
            </w:pPr>
            <w:r>
              <w:t xml:space="preserve">Kits are needed for the skin transcription analysis</w:t>
            </w:r>
          </w:p>
        </w:tc>
        <w:tc>
          <w:p>
            <w:pPr>
              <w:pStyle w:val="Compact"/>
              <w:jc w:val="left"/>
            </w:pPr>
            <w:r>
              <w:t xml:space="preserve">2000</w:t>
            </w:r>
          </w:p>
        </w:tc>
      </w:tr>
      <w:tr>
        <w:tc>
          <w:p>
            <w:pPr>
              <w:pStyle w:val="Compact"/>
              <w:jc w:val="left"/>
            </w:pPr>
            <w:r>
              <w:t xml:space="preserve">Skin biopsy materials</w:t>
            </w:r>
          </w:p>
        </w:tc>
        <w:tc>
          <w:p>
            <w:pPr>
              <w:pStyle w:val="Compact"/>
              <w:jc w:val="left"/>
            </w:pPr>
            <w:r>
              <w:t xml:space="preserve">Excision materials, containers, storage preparation</w:t>
            </w:r>
          </w:p>
        </w:tc>
        <w:tc>
          <w:p>
            <w:pPr>
              <w:pStyle w:val="Compact"/>
              <w:jc w:val="left"/>
            </w:pPr>
            <w:r>
              <w:t xml:space="preserve">500</w:t>
            </w:r>
          </w:p>
        </w:tc>
      </w:tr>
      <w:tr>
        <w:tc>
          <w:p>
            <w:pPr>
              <w:pStyle w:val="Compact"/>
              <w:jc w:val="left"/>
            </w:pPr>
            <w:r>
              <w:t xml:space="preserve">Biostatistics and data analysis</w:t>
            </w:r>
          </w:p>
        </w:tc>
        <w:tc>
          <w:p>
            <w:pStyle w:val="Compact"/>
          </w:p>
        </w:tc>
        <w:tc>
          <w:p>
            <w:pPr>
              <w:pStyle w:val="Compact"/>
              <w:jc w:val="left"/>
            </w:pPr>
            <w:r>
              <w:t xml:space="preserve">0</w:t>
            </w:r>
          </w:p>
        </w:tc>
      </w:tr>
      <w:tr>
        <w:tc>
          <w:p>
            <w:pPr>
              <w:pStyle w:val="Compact"/>
              <w:jc w:val="left"/>
            </w:pPr>
            <w:r>
              <w:t xml:space="preserve">Clinical Trial EDC System administration</w:t>
            </w:r>
          </w:p>
        </w:tc>
        <w:tc>
          <w:p>
            <w:pPr>
              <w:pStyle w:val="Compact"/>
              <w:jc w:val="left"/>
            </w:pPr>
            <w:r>
              <w:t xml:space="preserve">Monitoring and support of the trial (e.g. RedCap)</w:t>
            </w:r>
          </w:p>
        </w:tc>
        <w:tc>
          <w:p>
            <w:pPr>
              <w:pStyle w:val="Compact"/>
              <w:jc w:val="left"/>
            </w:pPr>
            <w:r>
              <w:t xml:space="preserve">0</w:t>
            </w:r>
          </w:p>
        </w:tc>
      </w:tr>
      <w:tr>
        <w:tc>
          <w:p>
            <w:pPr>
              <w:pStyle w:val="Compact"/>
              <w:jc w:val="left"/>
            </w:pPr>
            <w:r>
              <w:t xml:space="preserve">Total costs</w:t>
            </w:r>
          </w:p>
        </w:tc>
        <w:tc>
          <w:p>
            <w:pStyle w:val="Compact"/>
          </w:p>
        </w:tc>
        <w:tc>
          <w:p>
            <w:pPr>
              <w:pStyle w:val="Compact"/>
              <w:jc w:val="left"/>
            </w:pPr>
            <w:r>
              <w:t xml:space="preserve">11.500</w:t>
            </w:r>
          </w:p>
        </w:tc>
      </w:tr>
    </w:tbl>
    <w:p>
      <w:pPr>
        <w:pStyle w:val="Heading1"/>
      </w:pPr>
      <w:bookmarkStart w:id="30" w:name="references"/>
      <w:bookmarkEnd w:id="30"/>
      <w:r>
        <w:t xml:space="preserve">References</w:t>
      </w:r>
    </w:p>
    <w:p>
      <w:pPr>
        <w:pStyle w:val="Bibliography"/>
      </w:pPr>
      <w:r>
        <w:t xml:space="preserve">Asher, M Innes, Stephen Montefort, Bengt Björkstén, Christopher KW Lai, David P Strachan, Stephan K Weiland, and Hywel Williams. 2006. “Worldwide Time Trends in the Prevalence of Symptoms of Asthma, Allergic Rhinoconjunctivitis, and Eczema in Childhood: ISAAC Phases One and Three Repeat Multicountry Cross-Sectional Surveys.”</w:t>
      </w:r>
      <w:r>
        <w:t xml:space="preserve"> </w:t>
      </w:r>
      <w:r>
        <w:rPr>
          <w:i/>
        </w:rPr>
        <w:t xml:space="preserve">The Lancet</w:t>
      </w:r>
      <w:r>
        <w:t xml:space="preserve"> </w:t>
      </w:r>
      <w:r>
        <w:t xml:space="preserve">368 (9537). Elsevier BV: 733–43. doi:</w:t>
      </w:r>
      <w:hyperlink r:id="rId31">
        <w:r>
          <w:rPr>
            <w:rStyle w:val="Hyperlink"/>
          </w:rPr>
          <w:t xml:space="preserve">10.1016/s0140-6736(06)69283-0</w:t>
        </w:r>
      </w:hyperlink>
      <w:r>
        <w:t xml:space="preserve">.</w:t>
      </w:r>
    </w:p>
    <w:p>
      <w:pPr>
        <w:pStyle w:val="Bibliography"/>
      </w:pPr>
      <w:r>
        <w:t xml:space="preserve">Cho, Sang-Hyun, Ian Strickland, Mark Boguniewicz, and Donald Y.M. Leung. 2001. “Fibronectin and Fibrinogen Contribute to the Enhanced Binding of Staphylococcus Aureus to Atopic Skin.”</w:t>
      </w:r>
      <w:r>
        <w:t xml:space="preserve"> </w:t>
      </w:r>
      <w:r>
        <w:rPr>
          <w:i/>
        </w:rPr>
        <w:t xml:space="preserve">Journal of Allergy and Clinical Immunology</w:t>
      </w:r>
      <w:r>
        <w:t xml:space="preserve"> </w:t>
      </w:r>
      <w:r>
        <w:t xml:space="preserve">108 (2). Elsevier BV: 269–74. doi:</w:t>
      </w:r>
      <w:hyperlink r:id="rId32">
        <w:r>
          <w:rPr>
            <w:rStyle w:val="Hyperlink"/>
          </w:rPr>
          <w:t xml:space="preserve">10.1067/mai.2001.117455</w:t>
        </w:r>
      </w:hyperlink>
      <w:r>
        <w:t xml:space="preserve">.</w:t>
      </w:r>
    </w:p>
    <w:p>
      <w:pPr>
        <w:pStyle w:val="Bibliography"/>
      </w:pPr>
      <w:r>
        <w:t xml:space="preserve">Cogen, Anna L., Kenshi Yamasaki, Katheryn M. Sanchez, Robert A. Dorschner, Yuping Lai, Daniel T. MacLeod, Justin W. Torpey, et al. 2010. “Selective Antimicrobial Action Is Provided by Phenol-Soluble Modulins Derived from Staphylococcus Epidermidis, a Normal Resident of the Skin.”</w:t>
      </w:r>
      <w:r>
        <w:t xml:space="preserve"> </w:t>
      </w:r>
      <w:r>
        <w:rPr>
          <w:i/>
        </w:rPr>
        <w:t xml:space="preserve">Journal of Investigative Dermatology</w:t>
      </w:r>
      <w:r>
        <w:t xml:space="preserve"> </w:t>
      </w:r>
      <w:r>
        <w:t xml:space="preserve">130 (1). Elsevier BV: 192–200. doi:</w:t>
      </w:r>
      <w:hyperlink r:id="rId33">
        <w:r>
          <w:rPr>
            <w:rStyle w:val="Hyperlink"/>
          </w:rPr>
          <w:t xml:space="preserve">10.1038/jid.2009.243</w:t>
        </w:r>
      </w:hyperlink>
      <w:r>
        <w:t xml:space="preserve">.</w:t>
      </w:r>
    </w:p>
    <w:p>
      <w:pPr>
        <w:pStyle w:val="Bibliography"/>
      </w:pPr>
      <w:r>
        <w:t xml:space="preserve">Cole, Christian, Karin Kroboth, Nicholas J. Schurch, Aileen Sandilands, Alexander Sherstnev, Grainne M. O</w:t>
      </w:r>
      <w:r>
        <w:t xml:space="preserve">Regan, Rosemarie M. Watson, et al. 2014. “Filaggrin-Stratified Transcriptomic Analysis of Pediatric Skin Identifies Mechanistic Pathways in Patients with Atopic Dermatitis.”</w:t>
      </w:r>
      <w:r>
        <w:t xml:space="preserve"> </w:t>
      </w:r>
      <w:r>
        <w:rPr>
          <w:i/>
        </w:rPr>
        <w:t xml:space="preserve">Journal of Allergy and Clinical Immunology</w:t>
      </w:r>
      <w:r>
        <w:t xml:space="preserve"> </w:t>
      </w:r>
      <w:r>
        <w:t xml:space="preserve">134 (1). Elsevier BV: 82–91. doi:</w:t>
      </w:r>
      <w:hyperlink r:id="rId34">
        <w:r>
          <w:rPr>
            <w:rStyle w:val="Hyperlink"/>
          </w:rPr>
          <w:t xml:space="preserve">10.1016/j.jaci.2014.04.021</w:t>
        </w:r>
      </w:hyperlink>
      <w:r>
        <w:t xml:space="preserve">.</w:t>
      </w:r>
    </w:p>
    <w:p>
      <w:pPr>
        <w:pStyle w:val="Bibliography"/>
      </w:pPr>
      <w:r>
        <w:t xml:space="preserve">Harder, Jürgen, Stefanie Dressel, Maike Wittersheim, Jesko Cordes, Ulf Meyer-Hoffert, Ulrich Mrowietz, Regina Fölster-Holst, et al. 2010. “Enhanced Expression and Secretion of Antimicrobial Peptides in Atopic Dermatitis and After Superficial Skin Injury.”</w:t>
      </w:r>
      <w:r>
        <w:t xml:space="preserve"> </w:t>
      </w:r>
      <w:r>
        <w:rPr>
          <w:i/>
        </w:rPr>
        <w:t xml:space="preserve">Journal of Investigative Dermatology</w:t>
      </w:r>
      <w:r>
        <w:t xml:space="preserve"> </w:t>
      </w:r>
      <w:r>
        <w:t xml:space="preserve">130 (5). Elsevier BV: 1355–64. doi:</w:t>
      </w:r>
      <w:hyperlink r:id="rId35">
        <w:r>
          <w:rPr>
            <w:rStyle w:val="Hyperlink"/>
          </w:rPr>
          <w:t xml:space="preserve">10.1038/jid.2009.432</w:t>
        </w:r>
      </w:hyperlink>
      <w:r>
        <w:t xml:space="preserve">.</w:t>
      </w:r>
    </w:p>
    <w:p>
      <w:pPr>
        <w:pStyle w:val="Bibliography"/>
      </w:pPr>
      <w:r>
        <w:t xml:space="preserve">Knor, Tanja, Ajša Meholjić-Fetahović, and Aida Mehmedagić. 2010. “Stratum Corneum Hydration and Skin Surface PH in Patients with Atopic Dermatitis.”</w:t>
      </w:r>
      <w:r>
        <w:t xml:space="preserve"> </w:t>
      </w:r>
      <w:r>
        <w:rPr>
          <w:i/>
        </w:rPr>
        <w:t xml:space="preserve">Acta Dermatovenerologica Croatica: ADC</w:t>
      </w:r>
      <w:r>
        <w:t xml:space="preserve"> </w:t>
      </w:r>
      <w:r>
        <w:t xml:space="preserve">19 (4): 242–47.</w:t>
      </w:r>
    </w:p>
    <w:p>
      <w:pPr>
        <w:pStyle w:val="Bibliography"/>
      </w:pPr>
      <w:r>
        <w:t xml:space="preserve">Lai, Yuping, Anna L. Cogen, Katherine A. Radek, Hyun Jeong Park, Daniel T. MacLeod, Anke Leichtle, Allen F. Ryan, Anna Di Nardo, and Richard L. Gallo. 2010. “Activation of TLR2 by a Small Molecule Produced by Staphylococcus Epidermidis Increases Antimicrobial Defense Against Bacterial Skin Infections.”</w:t>
      </w:r>
      <w:r>
        <w:t xml:space="preserve"> </w:t>
      </w:r>
      <w:r>
        <w:rPr>
          <w:i/>
        </w:rPr>
        <w:t xml:space="preserve">Journal of Investigative Dermatology</w:t>
      </w:r>
      <w:r>
        <w:t xml:space="preserve"> </w:t>
      </w:r>
      <w:r>
        <w:t xml:space="preserve">130 (9). Elsevier BV: 2211–21. doi:</w:t>
      </w:r>
      <w:hyperlink r:id="rId36">
        <w:r>
          <w:rPr>
            <w:rStyle w:val="Hyperlink"/>
          </w:rPr>
          <w:t xml:space="preserve">10.1038/jid.2010.123</w:t>
        </w:r>
      </w:hyperlink>
      <w:r>
        <w:t xml:space="preserve">.</w:t>
      </w:r>
    </w:p>
    <w:p>
      <w:pPr>
        <w:pStyle w:val="Bibliography"/>
      </w:pPr>
      <w:r>
        <w:t xml:space="preserve">Naik, Shruti, Nicolas Bouladoux, Jonathan L. Linehan, Seong-Ji Han, Oliver J. Harrison, Christoph Wilhelm, Sean Conlan, et al. 2015. “Commensaldendritic-Cell Interaction Specifies a Unique Protective Skin Immune Signature.”</w:t>
      </w:r>
      <w:r>
        <w:t xml:space="preserve"> </w:t>
      </w:r>
      <w:r>
        <w:rPr>
          <w:i/>
        </w:rPr>
        <w:t xml:space="preserve">Nature</w:t>
      </w:r>
      <w:r>
        <w:t xml:space="preserve"> </w:t>
      </w:r>
      <w:r>
        <w:t xml:space="preserve">520 (7545). Nature Publishing Group: 104–8. doi:</w:t>
      </w:r>
      <w:hyperlink r:id="rId37">
        <w:r>
          <w:rPr>
            <w:rStyle w:val="Hyperlink"/>
          </w:rPr>
          <w:t xml:space="preserve">10.1038/nature14052</w:t>
        </w:r>
      </w:hyperlink>
      <w:r>
        <w:t xml:space="preserve">.</w:t>
      </w:r>
    </w:p>
    <w:p>
      <w:pPr>
        <w:pStyle w:val="Bibliography"/>
      </w:pPr>
      <w:r>
        <w:t xml:space="preserve">Novak, N. 2003. “Immune Mechanisms Leading to Atopic Dermatitis.”</w:t>
      </w:r>
      <w:r>
        <w:t xml:space="preserve"> </w:t>
      </w:r>
      <w:r>
        <w:rPr>
          <w:i/>
        </w:rPr>
        <w:t xml:space="preserve">Journal of Allergy and Clinical Immunology</w:t>
      </w:r>
      <w:r>
        <w:t xml:space="preserve"> </w:t>
      </w:r>
      <w:r>
        <w:t xml:space="preserve">112 (6). Elsevier BV: S128–S139. doi:</w:t>
      </w:r>
      <w:hyperlink r:id="rId38">
        <w:r>
          <w:rPr>
            <w:rStyle w:val="Hyperlink"/>
          </w:rPr>
          <w:t xml:space="preserve">10.1016/j.jaci.2003.09.032</w:t>
        </w:r>
      </w:hyperlink>
      <w:r>
        <w:t xml:space="preserve">.</w:t>
      </w:r>
    </w:p>
    <w:p>
      <w:pPr>
        <w:pStyle w:val="Bibliography"/>
      </w:pPr>
      <w:r>
        <w:t xml:space="preserve">Ong, Peck Y., Takaaki Ohtake, Corinne Brandt, Ian Strickland, Mark Boguniewicz, Tomas Ganz, Richard L. Gallo, and Donald Y.M. Leung. 2002. “Endogenous Antimicrobial Peptides and Skin Infections in Atopic Dermatitis.”</w:t>
      </w:r>
      <w:r>
        <w:t xml:space="preserve"> </w:t>
      </w:r>
      <w:r>
        <w:rPr>
          <w:i/>
        </w:rPr>
        <w:t xml:space="preserve">New England Journal of Medicine</w:t>
      </w:r>
      <w:r>
        <w:t xml:space="preserve"> </w:t>
      </w:r>
      <w:r>
        <w:t xml:space="preserve">347 (15). New England Journal of Medicine (NEJM/MMS): 1151–60. doi:</w:t>
      </w:r>
      <w:hyperlink r:id="rId39">
        <w:r>
          <w:rPr>
            <w:rStyle w:val="Hyperlink"/>
          </w:rPr>
          <w:t xml:space="preserve">10.1056/nejmoa021481</w:t>
        </w:r>
      </w:hyperlink>
      <w:r>
        <w:t xml:space="preserve">.</w:t>
      </w:r>
    </w:p>
    <w:p>
      <w:pPr>
        <w:pStyle w:val="Bibliography"/>
      </w:pPr>
      <w:r>
        <w:t xml:space="preserve">Wang, Yanhan, Sherwin Kuo, Muya Shu, Jinghua Yu, Stephen Huang, Ashley Dai, Aimee Two, Richard L. Gallo, and Chun-Ming Huang. 2013. “Staphylococcus Epidermidis in the Human Skin Microbiome Mediates Fermentation to Inhibit the Growth of Propionibacterium Acnes: Implications of Probiotics in Acne Vulgaris.”</w:t>
      </w:r>
      <w:r>
        <w:t xml:space="preserve"> </w:t>
      </w:r>
      <w:r>
        <w:rPr>
          <w:i/>
        </w:rPr>
        <w:t xml:space="preserve">Appl Microbiol Biotechnol</w:t>
      </w:r>
      <w:r>
        <w:t xml:space="preserve"> </w:t>
      </w:r>
      <w:r>
        <w:t xml:space="preserve">98 (1). Springer Science</w:t>
      </w:r>
      <w:r>
        <w:t xml:space="preserve"> </w:t>
      </w:r>
      <w:r>
        <w:t xml:space="preserve">$\mathplus$</w:t>
      </w:r>
      <w:r>
        <w:t xml:space="preserve"> </w:t>
      </w:r>
      <w:r>
        <w:t xml:space="preserve">Business Media: 411–24. doi:</w:t>
      </w:r>
      <w:hyperlink r:id="rId40">
        <w:r>
          <w:rPr>
            <w:rStyle w:val="Hyperlink"/>
          </w:rPr>
          <w:t xml:space="preserve">10.1007/s00253-013-5394-8</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b6c7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bf07e7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s://doi.org/10.1007/s00253-013-5394-8" TargetMode="External" /><Relationship Type="http://schemas.openxmlformats.org/officeDocument/2006/relationships/hyperlink" Id="rId38" Target="https://doi.org/10.1016/j.jaci.2003.09.032" TargetMode="External" /><Relationship Type="http://schemas.openxmlformats.org/officeDocument/2006/relationships/hyperlink" Id="rId34" Target="https://doi.org/10.1016/j.jaci.2014.04.021" TargetMode="External" /><Relationship Type="http://schemas.openxmlformats.org/officeDocument/2006/relationships/hyperlink" Id="rId31" Target="https://doi.org/10.1016/s0140-6736(06)69283-0" TargetMode="External" /><Relationship Type="http://schemas.openxmlformats.org/officeDocument/2006/relationships/hyperlink" Id="rId33" Target="https://doi.org/10.1038/jid.2009.243" TargetMode="External" /><Relationship Type="http://schemas.openxmlformats.org/officeDocument/2006/relationships/hyperlink" Id="rId35" Target="https://doi.org/10.1038/jid.2009.432" TargetMode="External" /><Relationship Type="http://schemas.openxmlformats.org/officeDocument/2006/relationships/hyperlink" Id="rId36" Target="https://doi.org/10.1038/jid.2010.123" TargetMode="External" /><Relationship Type="http://schemas.openxmlformats.org/officeDocument/2006/relationships/hyperlink" Id="rId37" Target="https://doi.org/10.1038/nature14052" TargetMode="External" /><Relationship Type="http://schemas.openxmlformats.org/officeDocument/2006/relationships/hyperlink" Id="rId39" Target="https://doi.org/10.1056/nejmoa021481" TargetMode="External" /><Relationship Type="http://schemas.openxmlformats.org/officeDocument/2006/relationships/hyperlink" Id="rId32" Target="https://doi.org/10.1067/mai.2001.117455"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07/s00253-013-5394-8" TargetMode="External" /><Relationship Type="http://schemas.openxmlformats.org/officeDocument/2006/relationships/hyperlink" Id="rId38" Target="https://doi.org/10.1016/j.jaci.2003.09.032" TargetMode="External" /><Relationship Type="http://schemas.openxmlformats.org/officeDocument/2006/relationships/hyperlink" Id="rId34" Target="https://doi.org/10.1016/j.jaci.2014.04.021" TargetMode="External" /><Relationship Type="http://schemas.openxmlformats.org/officeDocument/2006/relationships/hyperlink" Id="rId31" Target="https://doi.org/10.1016/s0140-6736(06)69283-0" TargetMode="External" /><Relationship Type="http://schemas.openxmlformats.org/officeDocument/2006/relationships/hyperlink" Id="rId33" Target="https://doi.org/10.1038/jid.2009.243" TargetMode="External" /><Relationship Type="http://schemas.openxmlformats.org/officeDocument/2006/relationships/hyperlink" Id="rId35" Target="https://doi.org/10.1038/jid.2009.432" TargetMode="External" /><Relationship Type="http://schemas.openxmlformats.org/officeDocument/2006/relationships/hyperlink" Id="rId36" Target="https://doi.org/10.1038/jid.2010.123" TargetMode="External" /><Relationship Type="http://schemas.openxmlformats.org/officeDocument/2006/relationships/hyperlink" Id="rId37" Target="https://doi.org/10.1038/nature14052" TargetMode="External" /><Relationship Type="http://schemas.openxmlformats.org/officeDocument/2006/relationships/hyperlink" Id="rId39" Target="https://doi.org/10.1056/nejmoa021481" TargetMode="External" /><Relationship Type="http://schemas.openxmlformats.org/officeDocument/2006/relationships/hyperlink" Id="rId32" Target="https://doi.org/10.1067/mai.2001.117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Mechanisms of bacterial colonization patterns in atopic skin</dc:title>
  <dc:creator>Wojciech Francuzik, MD</dc:creator>
</cp:coreProperties>
</file>