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Macarena</w:t>
      </w:r>
      <w:r>
        <w:t xml:space="preserve"> </w:t>
      </w:r>
      <w:r>
        <w:t xml:space="preserve">Knop</w:t>
      </w:r>
      <w:r>
        <w:rPr>
          <w:vertAlign w:val="superscript"/>
        </w:rPr>
        <w:t xml:space="preserve">2</w:t>
      </w:r>
    </w:p>
    <w:p>
      <w:pPr>
        <w:pStyle w:val="Author"/>
      </w:pPr>
      <w:r>
        <w:t xml:space="preserve">Kathrin</w:t>
      </w:r>
      <w:r>
        <w:t xml:space="preserve"> </w:t>
      </w:r>
      <w:r>
        <w:t xml:space="preserve">Scherer</w:t>
      </w:r>
      <w:r>
        <w:t xml:space="preserve"> </w:t>
      </w:r>
      <w:r>
        <w:t xml:space="preserve">Hofmeier</w:t>
      </w:r>
      <w:r>
        <w:rPr>
          <w:vertAlign w:val="superscript"/>
        </w:rPr>
        <w:t xml:space="preserve">3</w:t>
      </w:r>
    </w:p>
    <w:p>
      <w:pPr>
        <w:pStyle w:val="Author"/>
      </w:pPr>
      <w:r>
        <w:t xml:space="preserve">Ewa</w:t>
      </w:r>
      <w:r>
        <w:t xml:space="preserve"> </w:t>
      </w:r>
      <w:r>
        <w:t xml:space="preserve">Cichocka-Jarosz</w:t>
      </w:r>
      <w:r>
        <w:rPr>
          <w:vertAlign w:val="superscript"/>
        </w:rPr>
        <w:t xml:space="preserve">4</w:t>
      </w:r>
    </w:p>
    <w:p>
      <w:pPr>
        <w:pStyle w:val="Author"/>
      </w:pPr>
      <w:r>
        <w:t xml:space="preserve">Blanca</w:t>
      </w:r>
      <w:r>
        <w:t xml:space="preserve"> </w:t>
      </w:r>
      <w:r>
        <w:t xml:space="preserve">E.</w:t>
      </w:r>
      <w:r>
        <w:t xml:space="preserve"> </w:t>
      </w:r>
      <w:r>
        <w:t xml:space="preserve">García</w:t>
      </w:r>
      <w:r>
        <w:rPr>
          <w:vertAlign w:val="superscript"/>
        </w:rPr>
        <w:t xml:space="preserve">5</w:t>
      </w:r>
    </w:p>
    <w:p>
      <w:pPr>
        <w:pStyle w:val="Author"/>
      </w:pPr>
      <w:r>
        <w:t xml:space="preserve">Roland</w:t>
      </w:r>
      <w:r>
        <w:t xml:space="preserve"> </w:t>
      </w:r>
      <w:r>
        <w:t xml:space="preserve">Lang</w:t>
      </w:r>
      <w:r>
        <w:rPr>
          <w:vertAlign w:val="superscript"/>
        </w:rPr>
        <w:t xml:space="preserve">6</w:t>
      </w:r>
    </w:p>
    <w:p>
      <w:pPr>
        <w:pStyle w:val="Author"/>
      </w:pPr>
      <w:r>
        <w:t xml:space="preserve">Ioana</w:t>
      </w:r>
      <w:r>
        <w:t xml:space="preserve"> </w:t>
      </w:r>
      <w:r>
        <w:t xml:space="preserve">Maris</w:t>
      </w:r>
      <w:r>
        <w:rPr>
          <w:vertAlign w:val="superscript"/>
        </w:rPr>
        <w:t xml:space="preserve">7</w:t>
      </w:r>
    </w:p>
    <w:p>
      <w:pPr>
        <w:pStyle w:val="Author"/>
      </w:pPr>
      <w:r>
        <w:t xml:space="preserve">Jean-Marie</w:t>
      </w:r>
      <w:r>
        <w:t xml:space="preserve"> </w:t>
      </w:r>
      <w:r>
        <w:t xml:space="preserve">Renaudin</w:t>
      </w:r>
      <w:r>
        <w:rPr>
          <w:vertAlign w:val="superscript"/>
        </w:rPr>
        <w:t xml:space="preserve">8</w:t>
      </w:r>
    </w:p>
    <w:p>
      <w:pPr>
        <w:pStyle w:val="Author"/>
      </w:pPr>
      <w:r>
        <w:t xml:space="preserve">Margitta</w:t>
      </w:r>
      <w:r>
        <w:t xml:space="preserve"> </w:t>
      </w:r>
      <w:r>
        <w:t xml:space="preserve">Worm</w:t>
      </w:r>
      <w:r>
        <w:rPr>
          <w:vertAlign w:val="superscript"/>
        </w:rPr>
        <w:t xml:space="preserve">1</w:t>
      </w:r>
    </w:p>
    <w:p>
      <w:pPr>
        <w:pStyle w:val="Date"/>
      </w:pPr>
      <w:r>
        <w:t xml:space="preserve">20</w:t>
      </w:r>
      <w:r>
        <w:t xml:space="preserve"> </w:t>
      </w:r>
      <w:r>
        <w:t xml:space="preserve">August,</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Munich, Germany</w:t>
      </w:r>
    </w:p>
    <w:p>
      <w:pPr>
        <w:pStyle w:val="BodyText"/>
      </w:pPr>
      <w:r>
        <w:rPr>
          <w:vertAlign w:val="superscript"/>
        </w:rPr>
        <w:t xml:space="preserve">3</w:t>
      </w:r>
      <w:r>
        <w:t xml:space="preserve"> </w:t>
      </w:r>
      <w:r>
        <w:t xml:space="preserve">Department of Dermatology, University Hospital Basel, Basel, Switzerland</w:t>
      </w:r>
    </w:p>
    <w:p>
      <w:pPr>
        <w:pStyle w:val="BodyText"/>
      </w:pPr>
      <w:r>
        <w:rPr>
          <w:vertAlign w:val="superscript"/>
        </w:rPr>
        <w:t xml:space="preserve">4</w:t>
      </w:r>
      <w:r>
        <w:t xml:space="preserve"> </w:t>
      </w:r>
      <w:r>
        <w:t xml:space="preserve">Department of Pediatrics, Jagiellonian University Medical College, Krakow, Poland</w:t>
      </w:r>
    </w:p>
    <w:p>
      <w:pPr>
        <w:pStyle w:val="BodyText"/>
      </w:pPr>
      <w:r>
        <w:rPr>
          <w:vertAlign w:val="superscript"/>
        </w:rPr>
        <w:t xml:space="preserve">5</w:t>
      </w:r>
      <w:r>
        <w:t xml:space="preserve"> </w:t>
      </w:r>
      <w:r>
        <w:t xml:space="preserve">Service of Allergology, Complejo Hospitalario de Navarra, Pamplona, Spain</w:t>
      </w:r>
    </w:p>
    <w:p>
      <w:pPr>
        <w:pStyle w:val="BodyText"/>
      </w:pPr>
      <w:r>
        <w:rPr>
          <w:vertAlign w:val="superscript"/>
        </w:rPr>
        <w:t xml:space="preserve">6</w:t>
      </w:r>
      <w:r>
        <w:t xml:space="preserve"> </w:t>
      </w:r>
      <w:r>
        <w:t xml:space="preserve">Department of Dermatology, Paracelsus Private Medical University Salzburg, Salzburg, Austria</w:t>
      </w:r>
    </w:p>
    <w:p>
      <w:pPr>
        <w:pStyle w:val="BodyText"/>
      </w:pPr>
      <w:r>
        <w:rPr>
          <w:vertAlign w:val="superscript"/>
        </w:rPr>
        <w:t xml:space="preserve">7</w:t>
      </w:r>
      <w:r>
        <w:t xml:space="preserve"> </w:t>
      </w:r>
      <w:r>
        <w:t xml:space="preserve">Bon Secours Hospital, Cork/Department of Paediatrics and Child Health, University College Cork, Ireland</w:t>
      </w:r>
    </w:p>
    <w:p>
      <w:pPr>
        <w:pStyle w:val="BodyText"/>
      </w:pPr>
      <w:r>
        <w:rPr>
          <w:vertAlign w:val="superscript"/>
        </w:rPr>
        <w:t xml:space="preserve">8</w:t>
      </w:r>
      <w:r>
        <w:t xml:space="preserve"> </w:t>
      </w:r>
      <w:r>
        <w:t xml:space="preserve">Réseau d’Allergo-Vigilance (Allergy Vigilance Network), Vandoeuvre les Nancy, France</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µg adrenaline) is a rare and often fatal hypersensitivity reaction. Comprehensive data on its definition, prevalence, and risk factors are missing. Using the data from the European Anaphylaxis Registry (11596 cases in total) we identified refractory anaphylaxis cases (n = 42) and analyzed these in comparison to a control group of severe anaphylaxis cases (n = 4820).</w:t>
      </w:r>
    </w:p>
    <w:p>
      <w:pPr>
        <w:pStyle w:val="BodyText"/>
      </w:pPr>
      <w:r>
        <w:t xml:space="preserve">The data show that drugs more frequently elicited refractory anaphylaxis (50% of cases, p &lt; 0.0001) compared to other severe anaphylaxis cases (18.4%). Cases elicited by insects (n = 8) were more often due to bees than wasps in refractory cases (62.5% vs 19.4%, p = 0.009). The refractory cases occurred mostly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for the treatment of refractory cases. The mortality rate in refractory anaphylaxis was significantly higher (26.2%) than in severe cases (0.353%, p &lt; 0.0001).</w:t>
      </w:r>
    </w:p>
    <w:p>
      <w:pPr>
        <w:pStyle w:val="BodyText"/>
      </w:pPr>
      <w:r>
        <w:t xml:space="preserve">Refractory anaphylaxis is associated with drug induced anaphylaxis in particular if given intravenously. Although adrenaline (even i.v.) is frequently applied in these patients, not all patients are responding. Whether a delay in recognition of anaphylaxis is responsible for the refractory case or whether these cases are due to an overflow with mast cell activating substances - requires further studies. Reasons for the low use of second line medication (i.e. methylene blue or dopamine) in refractory cases are unknown, but their use might improve the outcome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2 doses of minimum 300 µg adrenaline, does not achieve normalization of the clinical symptoms in a given individual. Typical elicitors and symptoms of refractory anaphylaxis, as well as the therapeutic strategy for the most severe cases, differ from the usual reactions</w:t>
      </w:r>
      <w:r>
        <w:t xml:space="preserve"> </w:t>
      </w:r>
      <w:r>
        <w:t xml:space="preserve">[4]</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March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[6]</w:t>
      </w:r>
      <w:r>
        <w:t xml:space="preserve"> </w:t>
      </w:r>
      <w:r>
        <w:t xml:space="preserve">in both groups. We also analyzed how the cases were managed.</w:t>
      </w:r>
    </w:p>
    <w:p>
      <w:pPr>
        <w:pStyle w:val="BodyText"/>
      </w:pPr>
      <w:r>
        <w:t xml:space="preserve">The statistical analysis was performed in the R Statistical Package</w:t>
      </w:r>
      <w:r>
        <w:t xml:space="preserve"> </w:t>
      </w:r>
      <w:r>
        <w:t xml:space="preserve">[7]</w:t>
      </w:r>
      <w:r>
        <w:t xml:space="preserve">. Simple comparison of categorical variables was performed using Fisher’s exact test, continuous variables were analyzed using Mann-Whitney U test. We defined statistical significance as α = 0.05. Data along with the analysis script can be accessed at www.github.com/wolass/RefractoryAnaOrg.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who experienced anaphylaxis in a perioperative setting or a medical facility, nearly 3.72% patients present with reactions that do not respond to adrenaline vs. 0.448% in non-medical setting (9.3 times more).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50%. More patients suffered from a concomitant malignant disease in the refractory anaphylaxis group. Most strikingly, patients with refractory reactions more often had a previous anaphylactic reaction in their medical history (p = 0.0336). Baseline tryptase levels were significantly higher in the refractory anaphylaxis group as 7 refractory patients (17.1%) had tryptase level above 11.5 µg/L (vs. 7.8%)). 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0% of food elicited refractory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ening"/>
      <w:bookmarkEnd w:id="29"/>
      <w:r>
        <w:t xml:space="preserve">Refractory anaphylaxis is life-threatening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cardiopulmonary resuscitation was unsuccessful and were highly associated with refractory cases (26.2% vs. only 0.353% of severe anaphylaxis cases, p &lt; 0.0001) In cases where patients responded to life support, but failed to be reanimated due to post-resuscitative complication (e.g. hypoxic brain injury), death occurred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and was sustained only in 19% as the therapy progressed in the hospital environment.</w:t>
      </w:r>
      <w:r>
        <w:t xml:space="preserve"> </w:t>
      </w:r>
    </w:p>
    <w:p>
      <w:pPr>
        <w:pStyle w:val="BodyText"/>
      </w:pPr>
      <w:r>
        <w:t xml:space="preserve">Second 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their medical history. Also other unspecified concomitant conditions were significantly more often reported in refractory cases. Concomitant cardiologic conditions, diabetes and mastocytosis were similarly frequent in both groups.</w:t>
      </w:r>
    </w:p>
    <w:p>
      <w:pPr>
        <w:pStyle w:val="BodyText"/>
      </w:pPr>
      <w:r>
        <w:t xml:space="preserve">Patients with refractory anaphylaxis more often reported concomitant intake of proton pump inhibitors (PPI) and acetylsalicilic acid (ASA) compared with patients with severe non-refractory anaphylaxis. Other (not specified) medications were also more frequent in refractory cases. In 6 cases of refractory anaphylaxis (14.3%) patients reported receiving beta-blockers as a concomitant medication, but none of these patients received a glucagon infusion.</w:t>
      </w:r>
    </w:p>
    <w:p>
      <w:pPr>
        <w:pStyle w:val="BodyText"/>
      </w:pPr>
      <w:r>
        <w:t xml:space="preserve">The intensity of physical exercise exceeding the reaction was indifferent between groups, however psychological burden (defined as stressfull event preceeding the reaction, rated by the physician)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of-refractory-anaphylaxis-and-patients-at-risk"/>
      <w:bookmarkEnd w:id="33"/>
      <w:r>
        <w:t xml:space="preserve">Frequency of refractory anaphylaxis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An early use of adrenaline and maybe other second line drugs (e.g. methylene blue and dopamine) might increase their survival chance.</w:t>
      </w:r>
    </w:p>
    <w:p>
      <w:pPr>
        <w:pStyle w:val="BodyText"/>
      </w:pPr>
      <w:r>
        <w:t xml:space="preserve">Overall, the severity of anaphylaxis and its probable transition into a refractory episode might be described by several co-influencing mechanisms:</w:t>
      </w:r>
      <w:r>
        <w:t xml:space="preserve"> </w:t>
      </w:r>
      <w:r>
        <w:t xml:space="preserve">1) elicitors - the type and dose of an eliciting agent and route of exposure;</w:t>
      </w:r>
      <w:r>
        <w:t xml:space="preserve"> </w:t>
      </w:r>
      <w:r>
        <w:t xml:space="preserve">2) cofactors - the presence of other individual and external factors which may increase the severity of a given reaction i.e. concomitant use of a beta-blocker etc.;</w:t>
      </w:r>
      <w:r>
        <w:t xml:space="preserve"> </w:t>
      </w:r>
      <w:r>
        <w:t xml:space="preserve">3) compensation - how well the affected individual can compensate reaction symptoms e.g. hypotension;</w:t>
      </w:r>
      <w:r>
        <w:t xml:space="preserve"> </w:t>
      </w:r>
      <w:r>
        <w:t xml:space="preserve">4) therapy - how fast and accurately the therapeutic interventions were applied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A recent study on IgE-independent anaphylaxis showed that perioperative drugs (i.e. rocuronium, turbocurarine, fluorochinolones, atracurium) may trigger anaphylaxis by activating mast cells directly through the MRGPRX2 receptor</w:t>
      </w:r>
      <w:r>
        <w:t xml:space="preserve"> </w:t>
      </w:r>
      <w:r>
        <w:t xml:space="preserve">[11]</w:t>
      </w:r>
      <w:r>
        <w:t xml:space="preserve">. Therefore, patients undergoing surgical procedures and having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a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reported RCM to be the most frequent elicitor of refractory anaphylaxis</w:t>
      </w:r>
      <w:r>
        <w:t xml:space="preserve"> </w:t>
      </w:r>
      <w:r>
        <w:t xml:space="preserve">[4]</w:t>
      </w:r>
      <w:r>
        <w:t xml:space="preserve">. It might be that RCM promote complement activation</w:t>
      </w:r>
      <w:r>
        <w:t xml:space="preserve"> </w:t>
      </w:r>
      <w:r>
        <w:t xml:space="preserve">[14]</w:t>
      </w:r>
      <w:r>
        <w:t xml:space="preserve"> </w:t>
      </w:r>
      <w:r>
        <w:t xml:space="preserve">and thus - unspecific activation of multiple immune cell classes (mast cells, basophils, platelets and neutophils). Therefore, treatment with adrenaline may be less effective in these reactions.</w:t>
      </w:r>
    </w:p>
    <w:p>
      <w:pPr>
        <w:pStyle w:val="BodyText"/>
      </w:pPr>
      <w:r>
        <w:t xml:space="preserve">Only few refractory cases were elicited by yellow-jacket-stings. Therefore, the ratio of yellow-jacket to honey-bee venom elicited anaphylaxis was inverted in the refractory group. Reasons for this observation might include higher allergen exposition due to either longer exposition to the allergen (bee’s sting remains in the skin) or the venom volume being 10 times higher than in a wasp sting</w:t>
      </w:r>
      <w:r>
        <w:t xml:space="preserve"> </w:t>
      </w:r>
      <w:r>
        <w:t xml:space="preserve">[15]</w:t>
      </w:r>
      <w:r>
        <w:t xml:space="preserve">.</w:t>
      </w:r>
      <w:r>
        <w:t xml:space="preserve"> </w:t>
      </w:r>
    </w:p>
    <w:p>
      <w:pPr>
        <w:pStyle w:val="Heading2"/>
      </w:pPr>
      <w:bookmarkStart w:id="35" w:name="risk-factors"/>
      <w:bookmarkEnd w:id="35"/>
      <w:r>
        <w:t xml:space="preserve">Risk factors</w:t>
      </w:r>
    </w:p>
    <w:p>
      <w:pPr>
        <w:pStyle w:val="FirstParagraph"/>
      </w:pPr>
      <w:r>
        <w:t xml:space="preserve">Although we have previously identified higher age and male sex to be associated with severe anaphylaxis</w:t>
      </w:r>
      <w:r>
        <w:t xml:space="preserve"> </w:t>
      </w:r>
      <w:r>
        <w:t xml:space="preserve">[6]</w:t>
      </w:r>
      <w:r>
        <w:t xml:space="preserve">, these factors seem to be less important when refractory anaphylaxis is considered. By contrast, concomitant asthma was previously associated with less severe anaphylaxis in our registry data</w:t>
      </w:r>
      <w:r>
        <w:t xml:space="preserve"> </w:t>
      </w:r>
      <w:r>
        <w:t xml:space="preserve">[6]</w:t>
      </w:r>
      <w:r>
        <w:t xml:space="preserve">. However, the present analysis as well as other previous data</w:t>
      </w:r>
      <w:r>
        <w:t xml:space="preserve"> </w:t>
      </w:r>
      <w:r>
        <w:t xml:space="preserve">[16]</w:t>
      </w:r>
      <w:r>
        <w:t xml:space="preserve"> </w:t>
      </w:r>
      <w:r>
        <w:t xml:space="preserve">suggest concomitant asthma as a risk factor for a severe episode. Probably the control of the asthmatic condition is essential in this context and should be therefore evaluated in patients at risk. Moreover, it might be possible that during a refractory episode the bronchospasm is additionally triggered via mediators derived from basophils and eosinophils or the vegetative nerve system what makes it refractory to adrenaline and results in a prolonged anaphylactic episode. Following this line we observed more respiratory distress symptoms in the refractory anaphylaxis cases.</w:t>
      </w:r>
    </w:p>
    <w:p>
      <w:pPr>
        <w:pStyle w:val="BodyText"/>
      </w:pPr>
      <w:r>
        <w:t xml:space="preserve">The higher rate of malignancy in patients with refractory anaphylaxis diseases might be a confounder as certain chemotherapeutics are given intravenously and are well known to activate mast cells (e.g. taxanes)</w:t>
      </w:r>
      <w:r>
        <w:t xml:space="preserve"> </w:t>
      </w:r>
      <w:r>
        <w:t xml:space="preserve">[17]</w:t>
      </w:r>
      <w:r>
        <w:t xml:space="preserve">.</w:t>
      </w:r>
      <w:r>
        <w:t xml:space="preserve"> </w:t>
      </w:r>
      <w:r>
        <w:t xml:space="preserve">On the other hand, it is possible that patients with reported malignancies were older (mean age of 34.6 vs 58.3 years, p &lt; 0.001) and therefore less able to compensate the anaphylactic shock.</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Stress induces the complement cascade activation</w:t>
      </w:r>
      <w:r>
        <w:t xml:space="preserve"> </w:t>
      </w:r>
      <w:r>
        <w:t xml:space="preserve">[18]</w:t>
      </w:r>
      <w:r>
        <w:t xml:space="preserve">. Substance P, which is released during stress</w:t>
      </w:r>
      <w:r>
        <w:t xml:space="preserve"> </w:t>
      </w:r>
      <w:r>
        <w:t xml:space="preserve">[19]</w:t>
      </w:r>
      <w:r>
        <w:t xml:space="preserve">, is a known vasodilator</w:t>
      </w:r>
      <w:r>
        <w:t xml:space="preserve"> </w:t>
      </w:r>
      <w:r>
        <w:t xml:space="preserve">[20]</w:t>
      </w:r>
      <w:r>
        <w:t xml:space="preserve"> </w:t>
      </w:r>
      <w:r>
        <w:t xml:space="preserve">and can activate mast cells directly</w:t>
      </w:r>
      <w:r>
        <w:t xml:space="preserve"> </w:t>
      </w:r>
      <w:r>
        <w:t xml:space="preserve">[21]</w:t>
      </w:r>
      <w:r>
        <w:t xml:space="preserve">. These mediators may contribute to an increased mast cell response and more severe anaphylaxis. Some published case reports indicated for stress as the anaphylaxis trigger</w:t>
      </w:r>
      <w:r>
        <w:t xml:space="preserve"> </w:t>
      </w:r>
      <w:r>
        <w:t xml:space="preserve">[22]</w:t>
      </w:r>
      <w:r>
        <w:t xml:space="preserve">.</w:t>
      </w:r>
    </w:p>
    <w:p>
      <w:pPr>
        <w:pStyle w:val="BodyText"/>
      </w:pPr>
      <w:r>
        <w:t xml:space="preserve">The role of PPI as a risk factor for severe anaphylaxis has been indicated in prolonging the exposition to an oral allergen (preventing its degradation due to lower gastric acid production)</w:t>
      </w:r>
      <w:r>
        <w:t xml:space="preserve"> </w:t>
      </w:r>
      <w:r>
        <w:t xml:space="preserve">[23]</w:t>
      </w:r>
      <w:r>
        <w:t xml:space="preserve">. Moreover, there are reports on PPI themselves as elicitors of anaphylaxis</w:t>
      </w:r>
      <w:r>
        <w:t xml:space="preserve"> </w:t>
      </w:r>
      <w:r>
        <w:t xml:space="preserve">[24]</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Heading2"/>
      </w:pPr>
      <w:bookmarkStart w:id="36" w:name="symptom-compensation"/>
      <w:bookmarkEnd w:id="36"/>
      <w:r>
        <w:t xml:space="preserve">Symptom compensation</w:t>
      </w:r>
    </w:p>
    <w:p>
      <w:pPr>
        <w:pStyle w:val="FirstParagraph"/>
      </w:pPr>
      <w:r>
        <w:t xml:space="preserve">Age is the most important factor influencing the risk of developing severe anaphylaxis</w:t>
      </w:r>
      <w:r>
        <w:t xml:space="preserve"> </w:t>
      </w:r>
      <w:r>
        <w:t xml:space="preserve">[6]</w:t>
      </w:r>
      <w:r>
        <w:t xml:space="preserve">. We and others have shown that older age may correlate with the decreased abillity to retain homeostasis on increased strain</w:t>
      </w:r>
      <w:r>
        <w:t xml:space="preserve"> </w:t>
      </w:r>
      <w:r>
        <w:t xml:space="preserve">[25]</w:t>
      </w:r>
      <w:r>
        <w:t xml:space="preserve">.</w:t>
      </w:r>
      <w:r>
        <w:t xml:space="preserve"> </w:t>
      </w:r>
      <w:r>
        <w:t xml:space="preserve">Patients who underwent refractory anaphylaxis more often had perioperative reactions and therefore a decreased ability to compensate the reaction symptoms with reflexory renal or cardiopulmonary response</w:t>
      </w:r>
      <w:r>
        <w:t xml:space="preserve"> </w:t>
      </w:r>
      <w:r>
        <w:t xml:space="preserve">[26]</w:t>
      </w:r>
      <w:r>
        <w:t xml:space="preserve">.</w:t>
      </w:r>
    </w:p>
    <w:p>
      <w:pPr>
        <w:pStyle w:val="BodyText"/>
      </w:pPr>
      <w:r>
        <w:t xml:space="preserve">Compensation mechanisms demonstrated in animal models indicated that anaphylactic hypotension activates the hypothalamic paraventricular nucleus, medullary nucleus tractus solitarii and rostral ventrolateral medulla, independently of the baroreflex pathway. Further, it stimulates efferent sympathetic nerve activity to the adrenal gland and kidney to restore blood pressure</w:t>
      </w:r>
      <w:r>
        <w:t xml:space="preserve"> </w:t>
      </w:r>
      <w:r>
        <w:t xml:space="preserve">[27]</w:t>
      </w:r>
      <w:r>
        <w:t xml:space="preserve">.</w:t>
      </w:r>
    </w:p>
    <w:p>
      <w:pPr>
        <w:pStyle w:val="Heading2"/>
      </w:pPr>
      <w:bookmarkStart w:id="37" w:name="therapy"/>
      <w:bookmarkEnd w:id="37"/>
      <w:r>
        <w:t xml:space="preserve">Therapy</w:t>
      </w:r>
    </w:p>
    <w:p>
      <w:pPr>
        <w:pStyle w:val="FirstParagraph"/>
      </w:pPr>
      <w:r>
        <w:t xml:space="preserve">Adrenaline i.v. as first-line therapy use was high in the refractory cases. This was probably due to the fact that most of them occur in a medical setting. However, other second-line therapeutic options were rarely used. Grabenhenrich et al.</w:t>
      </w:r>
      <w:r>
        <w:t xml:space="preserve"> </w:t>
      </w:r>
      <w:r>
        <w:t xml:space="preserve">[2]</w:t>
      </w:r>
      <w:r>
        <w:t xml:space="preserve"> </w:t>
      </w:r>
      <w:r>
        <w:t xml:space="preserve">recently evaluated the epinephrine use in anaphylaxis patients and concluded that, even in this state of the art drug, large discrepancies between recommended use and actual treatment practice exist. Similarly, US studies documented poor adherence in patients and caregivers to anaphylaxis guidelines recommending more than 1 adrenaline autoinjector available at all times</w:t>
      </w:r>
      <w:r>
        <w:t xml:space="preserve"> </w:t>
      </w:r>
      <w:r>
        <w:t xml:space="preserve">[28]</w:t>
      </w:r>
      <w:r>
        <w:t xml:space="preserve">.</w:t>
      </w:r>
      <w:r>
        <w:t xml:space="preserve"> </w:t>
      </w:r>
      <w:r>
        <w:t xml:space="preserve">Therefore, more effort needs to be dedicated to promote and develop the consensus guidelenes as practically as possible in order to increase adherence.</w:t>
      </w:r>
    </w:p>
    <w:p>
      <w:pPr>
        <w:pStyle w:val="BodyText"/>
      </w:pPr>
      <w:r>
        <w:t xml:space="preserve">Methylene blue and vasopressors have been described to successfully restore refractory hypotension and recommended by managment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[29]</w:t>
      </w:r>
      <w:r>
        <w:t xml:space="preserve"> </w:t>
      </w:r>
      <w:r>
        <w:t xml:space="preserve">reported 6 cases of refractory, peroperative anaphylaxis (to RCM and penicillin) which responded to methylene blue i.v. within minutes. Methylene blue blocks the guanylate cyclase and therefore prevents further nitric-oxide-dependent vasodilation in a distributive shock</w:t>
      </w:r>
      <w:r>
        <w:t xml:space="preserve"> </w:t>
      </w:r>
      <w:r>
        <w:t xml:space="preserve">[30]</w:t>
      </w:r>
      <w:r>
        <w:t xml:space="preserve">. Its potential role in neuroprotection has also been indicated</w:t>
      </w:r>
      <w:r>
        <w:t xml:space="preserve"> </w:t>
      </w:r>
      <w:r>
        <w:t xml:space="preserve">[31]</w:t>
      </w:r>
      <w:r>
        <w:t xml:space="preserve">.</w:t>
      </w:r>
    </w:p>
    <w:p>
      <w:pPr>
        <w:pStyle w:val="BodyText"/>
      </w:pPr>
      <w:r>
        <w:t xml:space="preserve">Suprisingly, even though multiple anaphylaxis management guidelines recommend glucagon infusions in cases of concomitant beta-blocker therapy in anaphylactic patients</w:t>
      </w:r>
      <w:r>
        <w:t xml:space="preserve"> </w:t>
      </w:r>
      <w:r>
        <w:t xml:space="preserve">[8,32,33]</w:t>
      </w:r>
      <w:r>
        <w:t xml:space="preserve">, it has not been administered in any of the severe or refractory cases. Similarly, Royal Collage of Anesthetists reported one glucagon administration in 266 severe intraoperative anaphylaxis episodes</w:t>
      </w:r>
      <w:r>
        <w:t xml:space="preserve"> </w:t>
      </w:r>
      <w:r>
        <w:t xml:space="preserve">[34]</w:t>
      </w:r>
      <w:r>
        <w:t xml:space="preserve">. Glucagon has been reported to sucessfully relive refractory anaphylaxis</w:t>
      </w:r>
      <w:r>
        <w:t xml:space="preserve"> </w:t>
      </w:r>
      <w:r>
        <w:t xml:space="preserve">[35,36]</w:t>
      </w:r>
      <w:r>
        <w:t xml:space="preserve"> </w:t>
      </w:r>
      <w:r>
        <w:t xml:space="preserve">by directly activating the adenylyl cyclase and therefore bypassing the β-adrenergic receptor blockade</w:t>
      </w:r>
      <w:r>
        <w:t xml:space="preserve"> </w:t>
      </w:r>
      <w:r>
        <w:t xml:space="preserve">[35]</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report on a patient cohort exceeding 30 refractory anaphylaxis cases.</w:t>
      </w:r>
    </w:p>
    <w:p>
      <w:pPr>
        <w:pStyle w:val="BodyText"/>
      </w:pPr>
      <w:r>
        <w:t xml:space="preserve">There is no universal definition of refractory anaphylaxis is not universal. The confirmation ofrefractory anaphylaxis is based on the answers to our online questionnaire. If a fatal reaction occurred before the second dose of adrenaline was administered to the patient - it was not categorized as refractory (as we defined at least two doses of minimum 300 µg adrenaline for refractory anaphylaxis) although, it in fact might have been refractory.</w:t>
      </w:r>
    </w:p>
    <w:p>
      <w:pPr>
        <w:pStyle w:val="BodyText"/>
      </w:pPr>
      <w:r>
        <w:t xml:space="preserve">The 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management of refractory anaphylaxis needs to improve. Although, more studies need to be conducted to better understand the pathomechanisms involved in refractory anaphylaxis, we propose to increase the use of second line medication such as methylene blue, vasopressin and (in suspicion of a beta adrenergic blockade) glucagon in cases where 2 doses of adrenaline did not result in a rapid normalization of anaphylaxis symptoms.</w:t>
      </w:r>
    </w:p>
    <w:p>
      <w:pPr>
        <w:pStyle w:val="Heading1"/>
      </w:pPr>
      <w:bookmarkStart w:id="40" w:name="acknowledgements"/>
      <w:bookmarkEnd w:id="40"/>
      <w:r>
        <w:t xml:space="preserve">Acknowledgements</w:t>
      </w:r>
    </w:p>
    <w:p>
      <w:pPr>
        <w:pStyle w:val="FirstParagraph"/>
      </w:pPr>
      <w:r>
        <w:t xml:space="preserve">We thank all patients, parents, and their children for their support in providing data on the</w:t>
      </w:r>
      <w:r>
        <w:t xml:space="preserve"> </w:t>
      </w:r>
      <w:r>
        <w:t xml:space="preserve">occurrence of anaphylaxis for this study. We thank the study personnel for patients</w:t>
      </w:r>
      <w:r>
        <w:t xml:space="preserve"> </w:t>
      </w:r>
      <w:r>
        <w:t xml:space="preserve">counseling and data entry and we thank the members of The European Anaphylaxis Registry</w:t>
      </w:r>
      <w:r>
        <w:t xml:space="preserve"> </w:t>
      </w:r>
      <w:r>
        <w:t xml:space="preserve">in detail:</w:t>
      </w:r>
      <w:r>
        <w:t xml:space="preserve"> </w:t>
      </w:r>
      <w:r>
        <w:t xml:space="preserve">J. Grünhagen (Berlin, Germany),</w:t>
      </w:r>
      <w:r>
        <w:t xml:space="preserve"> </w:t>
      </w:r>
      <w:r>
        <w:t xml:space="preserve">K. Beyer (Berlin, Germany),</w:t>
      </w:r>
      <w:r>
        <w:t xml:space="preserve"> </w:t>
      </w:r>
      <w:r>
        <w:t xml:space="preserve">A. Möser (Jena, Germany),</w:t>
      </w:r>
      <w:r>
        <w:t xml:space="preserve"> </w:t>
      </w:r>
      <w:r>
        <w:t xml:space="preserve">T. Fuchs (Göttingen, Germany),</w:t>
      </w:r>
      <w:r>
        <w:t xml:space="preserve"> </w:t>
      </w:r>
      <w:r>
        <w:t xml:space="preserve">F. Ruëff (Munich, Germany),</w:t>
      </w:r>
      <w:r>
        <w:t xml:space="preserve"> </w:t>
      </w:r>
      <w:r>
        <w:t xml:space="preserve">B. Wedi (Hanover, Germany),</w:t>
      </w:r>
      <w:r>
        <w:t xml:space="preserve"> </w:t>
      </w:r>
      <w:r>
        <w:t xml:space="preserve">F. Friedrichs (Aachen, Germany),</w:t>
      </w:r>
      <w:r>
        <w:t xml:space="preserve"> </w:t>
      </w:r>
      <w:r>
        <w:t xml:space="preserve">H. Dickel (Bochum, Germany),</w:t>
      </w:r>
      <w:r>
        <w:t xml:space="preserve"> </w:t>
      </w:r>
      <w:r>
        <w:t xml:space="preserve">H. Merk (Aachen, Germany),</w:t>
      </w:r>
      <w:r>
        <w:t xml:space="preserve"> </w:t>
      </w:r>
      <w:r>
        <w:t xml:space="preserve">U. Hillen (Essen, Germany),</w:t>
      </w:r>
      <w:r>
        <w:t xml:space="preserve"> </w:t>
      </w:r>
      <w:r>
        <w:t xml:space="preserve">A. Bauer (Dresden, Germany),</w:t>
      </w:r>
      <w:r>
        <w:t xml:space="preserve"> </w:t>
      </w:r>
      <w:r>
        <w:t xml:space="preserve">N. Wagner (Erlangen, Germany),</w:t>
      </w:r>
      <w:r>
        <w:t xml:space="preserve"> </w:t>
      </w:r>
      <w:r>
        <w:t xml:space="preserve">E. Rietschel (Cologne, Germany),</w:t>
      </w:r>
      <w:r>
        <w:t xml:space="preserve"> </w:t>
      </w:r>
      <w:r>
        <w:t xml:space="preserve">R. Treudler, S. Aurich (Leipzig, Germany),</w:t>
      </w:r>
      <w:r>
        <w:t xml:space="preserve"> </w:t>
      </w:r>
      <w:r>
        <w:t xml:space="preserve">L. Klimek, O. Pfaar (Wiesbaden, Germany),</w:t>
      </w:r>
      <w:r>
        <w:t xml:space="preserve"> </w:t>
      </w:r>
      <w:r>
        <w:t xml:space="preserve">N. Reider (Innsbruck, Germany),</w:t>
      </w:r>
      <w:r>
        <w:t xml:space="preserve"> </w:t>
      </w:r>
      <w:r>
        <w:t xml:space="preserve">W. Aberer (Graz, Austria),</w:t>
      </w:r>
      <w:r>
        <w:t xml:space="preserve"> </w:t>
      </w:r>
      <w:r>
        <w:t xml:space="preserve">A. Köhli (Zurich, Switzerland),</w:t>
      </w:r>
      <w:r>
        <w:t xml:space="preserve"> </w:t>
      </w:r>
      <w:r>
        <w:t xml:space="preserve">F. Riffelmann (Schmallenberg, Germany),</w:t>
      </w:r>
      <w:r>
        <w:t xml:space="preserve"> </w:t>
      </w:r>
      <w:r>
        <w:t xml:space="preserve">B. Kreft (Halle, Germany),</w:t>
      </w:r>
      <w:r>
        <w:t xml:space="preserve"> </w:t>
      </w:r>
      <w:r>
        <w:t xml:space="preserve">K. Nemat (Dresden, Germany),</w:t>
      </w:r>
      <w:r>
        <w:t xml:space="preserve"> </w:t>
      </w:r>
      <w:r>
        <w:t xml:space="preserve">T. Kinaciyan (Vienna, Austria),</w:t>
      </w:r>
      <w:r>
        <w:t xml:space="preserve"> </w:t>
      </w:r>
      <w:r>
        <w:t xml:space="preserve">R. Brehler (Münster, Germany),</w:t>
      </w:r>
      <w:r>
        <w:t xml:space="preserve"> </w:t>
      </w:r>
      <w:r>
        <w:t xml:space="preserve">J. Witte (Hamburg, Germany),</w:t>
      </w:r>
      <w:r>
        <w:t xml:space="preserve"> </w:t>
      </w:r>
      <w:r>
        <w:t xml:space="preserve">N. Hunzelmann und I. Huseynow (Cologne, Germany),</w:t>
      </w:r>
      <w:r>
        <w:t xml:space="preserve"> </w:t>
      </w:r>
      <w:r>
        <w:t xml:space="preserve">T. Bieber (Bonn, Germany),</w:t>
      </w:r>
      <w:r>
        <w:t xml:space="preserve"> </w:t>
      </w:r>
      <w:r>
        <w:t xml:space="preserve">U. Rabe (Treuenbritzen, Germany),</w:t>
      </w:r>
      <w:r>
        <w:t xml:space="preserve"> </w:t>
      </w:r>
      <w:r>
        <w:t xml:space="preserve">P. Schmid-Grendelmeier (Zurich, Switzerland),</w:t>
      </w:r>
      <w:r>
        <w:t xml:space="preserve"> </w:t>
      </w:r>
      <w:r>
        <w:t xml:space="preserve">W. Brosi (Würzburg, Germany),</w:t>
      </w:r>
      <w:r>
        <w:t xml:space="preserve"> </w:t>
      </w:r>
      <w:r>
        <w:t xml:space="preserve">S. Nestoris (Lippe-Lemgo, Germany),</w:t>
      </w:r>
      <w:r>
        <w:t xml:space="preserve"> </w:t>
      </w:r>
      <w:r>
        <w:t xml:space="preserve">T. Hawranek (Salzburg, Austria),</w:t>
      </w:r>
      <w:r>
        <w:t xml:space="preserve"> </w:t>
      </w:r>
      <w:r>
        <w:t xml:space="preserve">R. Bruns (Greifswald, Germany),</w:t>
      </w:r>
      <w:r>
        <w:t xml:space="preserve"> </w:t>
      </w:r>
      <w:r>
        <w:t xml:space="preserve">S. Lehmann (Aachen, Germany),</w:t>
      </w:r>
      <w:r>
        <w:t xml:space="preserve"> </w:t>
      </w:r>
      <w:r>
        <w:t xml:space="preserve">L. Lange (Bonn, Germany),</w:t>
      </w:r>
      <w:r>
        <w:t xml:space="preserve"> </w:t>
      </w:r>
      <w:r>
        <w:t xml:space="preserve">G. Hansen (Hanover, Germany),</w:t>
      </w:r>
      <w:r>
        <w:t xml:space="preserve"> </w:t>
      </w:r>
      <w:r>
        <w:t xml:space="preserve">C. Pföhler (Homburg, Germany),</w:t>
      </w:r>
      <w:r>
        <w:t xml:space="preserve"> </w:t>
      </w:r>
      <w:r>
        <w:t xml:space="preserve">E. Varga (Graz, Austria),</w:t>
      </w:r>
      <w:r>
        <w:t xml:space="preserve"> </w:t>
      </w:r>
      <w:r>
        <w:t xml:space="preserve">Z. Szepfalusi (Vienna, Austria),</w:t>
      </w:r>
      <w:r>
        <w:t xml:space="preserve"> </w:t>
      </w:r>
      <w:r>
        <w:t xml:space="preserve">P. Eng (Aarau, Switzerland),</w:t>
      </w:r>
      <w:r>
        <w:t xml:space="preserve"> </w:t>
      </w:r>
      <w:r>
        <w:t xml:space="preserve">P. Eng (Lucerne, Switzerland),</w:t>
      </w:r>
      <w:r>
        <w:t xml:space="preserve"> </w:t>
      </w:r>
      <w:r>
        <w:t xml:space="preserve">T. Reese (Rheine, Germany),</w:t>
      </w:r>
      <w:r>
        <w:t xml:space="preserve"> </w:t>
      </w:r>
      <w:r>
        <w:t xml:space="preserve">M. Polz (Rüsselsheim, Germany),</w:t>
      </w:r>
      <w:r>
        <w:t xml:space="preserve"> </w:t>
      </w:r>
      <w:r>
        <w:t xml:space="preserve">S. Schweitzer-Krantz (Düsseldorf, Germany),</w:t>
      </w:r>
      <w:r>
        <w:t xml:space="preserve"> </w:t>
      </w:r>
      <w:r>
        <w:t xml:space="preserve">H. Rebmann (Tübingen, Germany),</w:t>
      </w:r>
      <w:r>
        <w:t xml:space="preserve"> </w:t>
      </w:r>
      <w:r>
        <w:t xml:space="preserve">G. Stichtenoth (Lübeck, Germany),</w:t>
      </w:r>
      <w:r>
        <w:t xml:space="preserve"> </w:t>
      </w:r>
      <w:r>
        <w:t xml:space="preserve">S. Theis (Schwedt, Germany),</w:t>
      </w:r>
      <w:r>
        <w:t xml:space="preserve"> </w:t>
      </w:r>
      <w:r>
        <w:t xml:space="preserve">I. Yildiz (Neumünster, Germany),</w:t>
      </w:r>
      <w:r>
        <w:t xml:space="preserve"> </w:t>
      </w:r>
      <w:r>
        <w:t xml:space="preserve">M. Gerstlauer (Augsburg, Germany),</w:t>
      </w:r>
      <w:r>
        <w:t xml:space="preserve"> </w:t>
      </w:r>
      <w:r>
        <w:t xml:space="preserve">A. Nordwig (Dresden, Germany),</w:t>
      </w:r>
      <w:r>
        <w:t xml:space="preserve"> </w:t>
      </w:r>
      <w:r>
        <w:t xml:space="preserve">R. Schlags (Wangen im Allgäu, Germany),</w:t>
      </w:r>
      <w:r>
        <w:t xml:space="preserve"> </w:t>
      </w:r>
      <w:r>
        <w:t xml:space="preserve">I. Neustädter (Fürth, Germany),</w:t>
      </w:r>
      <w:r>
        <w:t xml:space="preserve"> </w:t>
      </w:r>
      <w:r>
        <w:t xml:space="preserve">C. Stadlin (Zurich, Switzerland),</w:t>
      </w:r>
      <w:r>
        <w:t xml:space="preserve"> </w:t>
      </w:r>
      <w:r>
        <w:t xml:space="preserve">M. Bücheler (Bonn, Germany),</w:t>
      </w:r>
      <w:r>
        <w:t xml:space="preserve"> </w:t>
      </w:r>
      <w:r>
        <w:t xml:space="preserve">S. Volkmuth (Velbert, Germany),</w:t>
      </w:r>
      <w:r>
        <w:t xml:space="preserve"> </w:t>
      </w:r>
      <w:r>
        <w:t xml:space="preserve">J. Fischer (Tübingen, Germany),</w:t>
      </w:r>
      <w:r>
        <w:t xml:space="preserve"> </w:t>
      </w:r>
      <w:r>
        <w:t xml:space="preserve">A. Henschel (Berlin, Germany),</w:t>
      </w:r>
      <w:r>
        <w:t xml:space="preserve"> </w:t>
      </w:r>
      <w:r>
        <w:t xml:space="preserve">S. Plank-Habibi (Alzenau, Germany),</w:t>
      </w:r>
      <w:r>
        <w:t xml:space="preserve"> </w:t>
      </w:r>
      <w:r>
        <w:t xml:space="preserve">B. Schilling (Passau, Germany),</w:t>
      </w:r>
      <w:r>
        <w:t xml:space="preserve"> </w:t>
      </w:r>
      <w:r>
        <w:t xml:space="preserve">A. Kleinheinz (Buxtehude, Germany),</w:t>
      </w:r>
      <w:r>
        <w:t xml:space="preserve"> </w:t>
      </w:r>
      <w:r>
        <w:t xml:space="preserve">K. Schäkel (Heidelberg, Germany),</w:t>
      </w:r>
      <w:r>
        <w:t xml:space="preserve"> </w:t>
      </w:r>
      <w:r>
        <w:t xml:space="preserve">N. Papadopoulus (Athen, Greece),</w:t>
      </w:r>
      <w:r>
        <w:t xml:space="preserve"> </w:t>
      </w:r>
      <w:r>
        <w:t xml:space="preserve">M. Kowalski (Lodz, Poland),</w:t>
      </w:r>
      <w:r>
        <w:t xml:space="preserve"> </w:t>
      </w:r>
      <w:r>
        <w:t xml:space="preserve">M. Fernandez-Rivas (Madrid, Spain),</w:t>
      </w:r>
      <w:r>
        <w:t xml:space="preserve"> </w:t>
      </w:r>
      <w:r>
        <w:t xml:space="preserve">K. Solarewicz-Madajek (Wroclaw, Poland),</w:t>
      </w:r>
      <w:r>
        <w:t xml:space="preserve"> </w:t>
      </w:r>
      <w:r>
        <w:t xml:space="preserve">C. Körner-Rettberg (Bochum, Germany),</w:t>
      </w:r>
      <w:r>
        <w:t xml:space="preserve"> </w:t>
      </w:r>
      <w:r>
        <w:t xml:space="preserve">T. Mustakov (Sofia, Bulgaria),</w:t>
      </w:r>
      <w:r>
        <w:t xml:space="preserve"> </w:t>
      </w:r>
      <w:r>
        <w:t xml:space="preserve">K. Hartmann (Lübeck, Germany),</w:t>
      </w:r>
      <w:r>
        <w:t xml:space="preserve"> </w:t>
      </w:r>
      <w:r>
        <w:t xml:space="preserve">C. Kemen (Hamburg, Germany),</w:t>
      </w:r>
      <w:r>
        <w:t xml:space="preserve"> </w:t>
      </w:r>
      <w:r>
        <w:t xml:space="preserve">U. Miehe (Leipzig, Germany),</w:t>
      </w:r>
      <w:r>
        <w:t xml:space="preserve"> </w:t>
      </w:r>
      <w:r>
        <w:t xml:space="preserve">C. Ebner (Vienna, Austria),</w:t>
      </w:r>
      <w:r>
        <w:t xml:space="preserve"> </w:t>
      </w:r>
      <w:r>
        <w:t xml:space="preserve">S. Haak (Oldenburg, Deutschland),</w:t>
      </w:r>
      <w:r>
        <w:t xml:space="preserve"> </w:t>
      </w:r>
      <w:r>
        <w:t xml:space="preserve">V. Cardona (Barcelona, Spain),</w:t>
      </w:r>
      <w:r>
        <w:t xml:space="preserve"> </w:t>
      </w:r>
      <w:r>
        <w:t xml:space="preserve">S. Hämmerling (Heidelberg, Germany),</w:t>
      </w:r>
      <w:r>
        <w:t xml:space="preserve"> </w:t>
      </w:r>
      <w:r>
        <w:t xml:space="preserve">E. Arroabarren (Pamplona, Spain),</w:t>
      </w:r>
      <w:r>
        <w:t xml:space="preserve"> </w:t>
      </w:r>
      <w:r>
        <w:t xml:space="preserve">M. Bilo (Ancona, Italy),</w:t>
      </w:r>
      <w:r>
        <w:t xml:space="preserve"> </w:t>
      </w:r>
      <w:r>
        <w:t xml:space="preserve">N. Cabañes Higuero (Toledo, Spain),</w:t>
      </w:r>
      <w:r>
        <w:t xml:space="preserve"> </w:t>
      </w:r>
      <w:r>
        <w:t xml:space="preserve">A. Vega Castro (Guadalajara, Spain),</w:t>
      </w:r>
      <w:r>
        <w:t xml:space="preserve"> </w:t>
      </w:r>
      <w:r>
        <w:t xml:space="preserve">I. Poziomkowska-Gęsicka (Szczecin, Poland),</w:t>
      </w:r>
      <w:r>
        <w:t xml:space="preserve"> </w:t>
      </w:r>
      <w:r>
        <w:t xml:space="preserve">S. Büsing (Osnabrück, Germany),</w:t>
      </w:r>
      <w:r>
        <w:t xml:space="preserve"> </w:t>
      </w:r>
      <w:r>
        <w:t xml:space="preserve">U. Klettke (Berlin, Germany),</w:t>
      </w:r>
      <w:r>
        <w:t xml:space="preserve"> </w:t>
      </w:r>
      <w:r>
        <w:t xml:space="preserve">C. Virchow (Rostock, Germany),</w:t>
      </w:r>
      <w:r>
        <w:t xml:space="preserve"> </w:t>
      </w:r>
      <w:r>
        <w:t xml:space="preserve">G. Christoff (Sofia, Bulgaria),</w:t>
      </w:r>
      <w:r>
        <w:t xml:space="preserve"> </w:t>
      </w:r>
      <w:r>
        <w:t xml:space="preserve">U. Jappe (Borstel, Germany),</w:t>
      </w:r>
      <w:r>
        <w:t xml:space="preserve"> </w:t>
      </w:r>
      <w:r>
        <w:t xml:space="preserve">K. Breuer (Hamburg, Germany),</w:t>
      </w:r>
      <w:r>
        <w:t xml:space="preserve"> </w:t>
      </w:r>
      <w:r>
        <w:t xml:space="preserve">S. Müller und T. Jakob (Freiburg, Germany),</w:t>
      </w:r>
      <w:r>
        <w:t xml:space="preserve"> </w:t>
      </w:r>
      <w:r>
        <w:t xml:space="preserve">H. Straube (Darmstadt, Germany),</w:t>
      </w:r>
      <w:r>
        <w:t xml:space="preserve"> </w:t>
      </w:r>
      <w:r>
        <w:t xml:space="preserve">C. Vogelberg (Dresden, Germany),</w:t>
      </w:r>
      <w:r>
        <w:t xml:space="preserve"> </w:t>
      </w:r>
      <w:r>
        <w:t xml:space="preserve">F. Knöpfel (Norderney, Germany),</w:t>
      </w:r>
      <w:r>
        <w:t xml:space="preserve"> </w:t>
      </w:r>
      <w:r>
        <w:t xml:space="preserve">J. Hourihane (Cork, Ireland),</w:t>
      </w:r>
      <w:r>
        <w:t xml:space="preserve"> </w:t>
      </w:r>
      <w:r>
        <w:t xml:space="preserve">B. Rogala (Silesia, Poland),</w:t>
      </w:r>
      <w:r>
        <w:t xml:space="preserve"> </w:t>
      </w:r>
      <w:r>
        <w:t xml:space="preserve">A. Montoro (Madrid, Spain),</w:t>
      </w:r>
      <w:r>
        <w:t xml:space="preserve"> </w:t>
      </w:r>
      <w:r>
        <w:t xml:space="preserve">A. Brandes (Frankfurt/Oder, Germany),</w:t>
      </w:r>
      <w:r>
        <w:t xml:space="preserve"> </w:t>
      </w:r>
      <w:r>
        <w:t xml:space="preserve">A. Muraro (Padua, Italy),</w:t>
      </w:r>
      <w:r>
        <w:t xml:space="preserve"> </w:t>
      </w:r>
      <w:r>
        <w:t xml:space="preserve">T. Buck und J. Büsselberg (Hanover-Misburg, Germany),</w:t>
      </w:r>
      <w:r>
        <w:t xml:space="preserve"> </w:t>
      </w:r>
      <w:r>
        <w:t xml:space="preserve">N. Zimmermann (Potsdam, Germany),</w:t>
      </w:r>
      <w:r>
        <w:t xml:space="preserve"> </w:t>
      </w:r>
      <w:r>
        <w:t xml:space="preserve">D. Hernandez (Valencia, Spain),</w:t>
      </w:r>
      <w:r>
        <w:t xml:space="preserve"> </w:t>
      </w:r>
      <w:r>
        <w:t xml:space="preserve">P. Minale (Genua, Italy),</w:t>
      </w:r>
      <w:r>
        <w:t xml:space="preserve"> </w:t>
      </w:r>
      <w:r>
        <w:t xml:space="preserve">J. Niederwimmer und B. Zahel (Linz, Austria),</w:t>
      </w:r>
      <w:r>
        <w:t xml:space="preserve"> </w:t>
      </w:r>
      <w:r>
        <w:t xml:space="preserve">A. Fiocchi (Rome, Italy),</w:t>
      </w:r>
      <w:r>
        <w:t xml:space="preserve"> </w:t>
      </w:r>
      <w:r>
        <w:t xml:space="preserve">A. Reissig (Gera, Germany),</w:t>
      </w:r>
      <w:r>
        <w:t xml:space="preserve"> </w:t>
      </w:r>
      <w:r>
        <w:t xml:space="preserve">F. Horak (Vienna, Austria),</w:t>
      </w:r>
      <w:r>
        <w:t xml:space="preserve"> </w:t>
      </w:r>
      <w:r>
        <w:t xml:space="preserve">N. Klossowiski (Düsseldorf, Germany),</w:t>
      </w:r>
      <w:r>
        <w:t xml:space="preserve"> </w:t>
      </w:r>
      <w:r>
        <w:t xml:space="preserve">F. Eitelberger (Wels, Austria),</w:t>
      </w:r>
      <w:r>
        <w:t xml:space="preserve"> </w:t>
      </w:r>
      <w:r>
        <w:t xml:space="preserve">H. Ott (Hanover, Germany),</w:t>
      </w:r>
      <w:r>
        <w:t xml:space="preserve"> </w:t>
      </w:r>
      <w:r>
        <w:t xml:space="preserve">R. Asero (Milan, Italy),</w:t>
      </w:r>
      <w:r>
        <w:t xml:space="preserve"> </w:t>
      </w:r>
      <w:r>
        <w:t xml:space="preserve">S. Pistauer (Sylt/Westerland, Germany),</w:t>
      </w:r>
      <w:r>
        <w:t xml:space="preserve"> </w:t>
      </w:r>
      <w:r>
        <w:t xml:space="preserve">M. Geißler (Ribnitz-Damgarten, Germany),</w:t>
      </w:r>
      <w:r>
        <w:t xml:space="preserve"> </w:t>
      </w:r>
      <w:r>
        <w:t xml:space="preserve">L. Ensina (Sao Paulo, Brazil),</w:t>
      </w:r>
      <w:r>
        <w:t xml:space="preserve"> </w:t>
      </w:r>
      <w:r>
        <w:t xml:space="preserve">A. Plaza Martin (Barcelona, Spain),</w:t>
      </w:r>
      <w:r>
        <w:t xml:space="preserve"> </w:t>
      </w:r>
      <w:r>
        <w:t xml:space="preserve">J. Meister (Aue, Germany),</w:t>
      </w:r>
      <w:r>
        <w:t xml:space="preserve"> </w:t>
      </w:r>
      <w:r>
        <w:t xml:space="preserve">S. Hompes (Hamburg, Germany),</w:t>
      </w:r>
      <w:r>
        <w:t xml:space="preserve"> </w:t>
      </w:r>
      <w:r>
        <w:t xml:space="preserve">S. Stieglitz (Wuppertal, Germany).</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3">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4">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5">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6">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7">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8">
        <w:r>
          <w:rPr>
            <w:rStyle w:val="Hyperlink"/>
          </w:rPr>
          <w:t xml:space="preserve">https://doi.org/10.1016/s0140-6736(96)01367-0</w:t>
        </w:r>
      </w:hyperlink>
      <w:r>
        <w:t xml:space="preserve">.</w:t>
      </w:r>
    </w:p>
    <w:p>
      <w:pPr>
        <w:pStyle w:val="BodyText"/>
      </w:pPr>
      <w:r>
        <w:t xml:space="preserve">[16] Mullins RJ. Anaphylaxis: Risk factors for recurrence. Clinical and Experimental Allergy. 2003;33:1033–1040.</w:t>
      </w:r>
    </w:p>
    <w:p>
      <w:pPr>
        <w:pStyle w:val="BodyText"/>
      </w:pPr>
      <w:r>
        <w:t xml:space="preserve">[17] Lee C, Gianos M, Klaustermeyer WB. Diagnosis and management of hypersensitivity reactions related to common cancer chemotherapy agents. Annals of Allergy, Asthma &amp; Immunology. 2009;102:179–187.</w:t>
      </w:r>
    </w:p>
    <w:p>
      <w:pPr>
        <w:pStyle w:val="BodyText"/>
      </w:pPr>
      <w:r>
        <w:t xml:space="preserve">[18] Burns VE, Edwards KM, Ring C, et al. Complement cascade activation after an acute psychological stress task. Psychosomatic Medicine [Internet]. 2008;70:387–396. Available from:</w:t>
      </w:r>
      <w:r>
        <w:t xml:space="preserve"> </w:t>
      </w:r>
      <w:hyperlink r:id="rId49">
        <w:r>
          <w:rPr>
            <w:rStyle w:val="Hyperlink"/>
          </w:rPr>
          <w:t xml:space="preserve">https://doi.org/10.1097/psy.0b013e31816ded22</w:t>
        </w:r>
      </w:hyperlink>
      <w:r>
        <w:t xml:space="preserve">.</w:t>
      </w:r>
    </w:p>
    <w:p>
      <w:pPr>
        <w:pStyle w:val="BodyText"/>
      </w:pPr>
      <w:r>
        <w:t xml:space="preserve">[19]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0">
        <w:r>
          <w:rPr>
            <w:rStyle w:val="Hyperlink"/>
          </w:rPr>
          <w:t xml:space="preserve">https://doi.org/10.1016/s0002-9440(10)63877-1</w:t>
        </w:r>
      </w:hyperlink>
      <w:r>
        <w:t xml:space="preserve">.</w:t>
      </w:r>
    </w:p>
    <w:p>
      <w:pPr>
        <w:pStyle w:val="BodyText"/>
      </w:pPr>
      <w:r>
        <w:t xml:space="preserve">[20] Bossaller C, Reither K, Hehlert-Friedrich C, et al. In vivo measurement of endothelium-dependent vasodilation with substance p in man. Herz. 1992;17:284–290.</w:t>
      </w:r>
    </w:p>
    <w:p>
      <w:pPr>
        <w:pStyle w:val="BodyText"/>
      </w:pPr>
      <w:r>
        <w:t xml:space="preserve">[21]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1">
        <w:r>
          <w:rPr>
            <w:rStyle w:val="Hyperlink"/>
          </w:rPr>
          <w:t xml:space="preserve">https://doi.org/10.1006/brbi.1998.0541</w:t>
        </w:r>
      </w:hyperlink>
      <w:r>
        <w:t xml:space="preserve">.</w:t>
      </w:r>
    </w:p>
    <w:p>
      <w:pPr>
        <w:pStyle w:val="BodyText"/>
      </w:pPr>
      <w:r>
        <w:t xml:space="preserve">[22] Alevizos M, Karagkouni A, Kontou-Fili K, et al. A probable case report of stress-induced anaphylaxis. Annals of Allergy, Asthma &amp; Immunology. 2014;112:383–384.</w:t>
      </w:r>
    </w:p>
    <w:p>
      <w:pPr>
        <w:pStyle w:val="BodyText"/>
      </w:pPr>
      <w:r>
        <w:t xml:space="preserve">[23] Wölbing F, Fischer J, Köberle M, et al. About the role and underlying mechanisms of cofactors in anaphylaxis. Allergy. 2013;n/a–n/a.</w:t>
      </w:r>
    </w:p>
    <w:p>
      <w:pPr>
        <w:pStyle w:val="BodyText"/>
      </w:pPr>
      <w:r>
        <w:t xml:space="preserve">[24] Natsch S, Vinks MH, Voogt AK, et al. Anaphylactic reactions to proton-pump inhibitors. Annals of Pharmacotherapy [Internet]. 2000;34:474–476. Available from:</w:t>
      </w:r>
      <w:r>
        <w:t xml:space="preserve"> </w:t>
      </w:r>
      <w:hyperlink r:id="rId52">
        <w:r>
          <w:rPr>
            <w:rStyle w:val="Hyperlink"/>
          </w:rPr>
          <w:t xml:space="preserve">https://doi.org/10.1345/aph.19235</w:t>
        </w:r>
      </w:hyperlink>
      <w:r>
        <w:t xml:space="preserve">.</w:t>
      </w:r>
    </w:p>
    <w:p>
      <w:pPr>
        <w:pStyle w:val="BodyText"/>
      </w:pPr>
      <w:r>
        <w:t xml:space="preserve">[25] Fleg JL, O’connor F, Gerstenblith G, et al. Impact of age on the cardiovascular response to dynamic upright exercise in healthy men and women. Journal of Applied Physiology. 1995;78:890–900.</w:t>
      </w:r>
    </w:p>
    <w:p>
      <w:pPr>
        <w:pStyle w:val="BodyText"/>
      </w:pPr>
      <w:r>
        <w:t xml:space="preserve">[26] Rogers KMA, Mccutcheon K. Understanding arterial blood gases. Journal of Perioperative Practice [Internet]. 2013;23:191–197. Available from:</w:t>
      </w:r>
      <w:r>
        <w:t xml:space="preserve"> </w:t>
      </w:r>
      <w:hyperlink r:id="rId53">
        <w:r>
          <w:rPr>
            <w:rStyle w:val="Hyperlink"/>
          </w:rPr>
          <w:t xml:space="preserve">https://doi.org/10.1177/175045891302300903</w:t>
        </w:r>
      </w:hyperlink>
      <w:r>
        <w:t xml:space="preserve">.</w:t>
      </w:r>
    </w:p>
    <w:p>
      <w:pPr>
        <w:pStyle w:val="BodyText"/>
      </w:pPr>
      <w:r>
        <w:t xml:space="preserve">[27] Tanida M, Zhang T, Sun L, et al. Anaphylactic hypotension causes renal and adrenal sympathoexcitaion and induces c-fos in the hypothalamus and medulla oblongata. Experimental physiology. 2018;103:790–806.</w:t>
      </w:r>
    </w:p>
    <w:p>
      <w:pPr>
        <w:pStyle w:val="BodyText"/>
      </w:pPr>
      <w:r>
        <w:t xml:space="preserve">[28] Song TT, Brown D, Karjalainen M, et al. Value of a second dose of epinephrine during anaphylaxis: A patient/caregiver survey. The Journal of Allergy and Clinical Immunology: In Practice. 2018;</w:t>
      </w:r>
    </w:p>
    <w:p>
      <w:pPr>
        <w:pStyle w:val="BodyText"/>
      </w:pPr>
      <w:r>
        <w:t xml:space="preserve">[29] Evora PRB. Should methylene blue be the drug of choice to treat vasoplegias caused by cardiopulmonary bypass and anaphylactic shock? The Journal of Thoracic and Cardiovascular Surgery [Internet]. 2000;119:632–633. Available from:</w:t>
      </w:r>
      <w:r>
        <w:t xml:space="preserve"> </w:t>
      </w:r>
      <w:hyperlink r:id="rId54">
        <w:r>
          <w:rPr>
            <w:rStyle w:val="Hyperlink"/>
          </w:rPr>
          <w:t xml:space="preserve">https://doi.org/10.1016/s0022-5223(00)70152-8</w:t>
        </w:r>
      </w:hyperlink>
      <w:r>
        <w:t xml:space="preserve">.</w:t>
      </w:r>
    </w:p>
    <w:p>
      <w:pPr>
        <w:pStyle w:val="BodyText"/>
      </w:pPr>
      <w:r>
        <w:t xml:space="preserve">[30] Dfaz JE, Roberts JR. Anaphylactic shock. Schweiz Rundsch Med Prax. 1995;84:1307–1313.</w:t>
      </w:r>
    </w:p>
    <w:p>
      <w:pPr>
        <w:pStyle w:val="BodyText"/>
      </w:pPr>
      <w:r>
        <w:t xml:space="preserve">[31] Tucker D, Lu Y, Zhang Q. From mitochondrial function to neuroprotection—an emerging role for methylene blue. Molecular neurobiology. 2017;1–17.</w:t>
      </w:r>
    </w:p>
    <w:p>
      <w:pPr>
        <w:pStyle w:val="BodyText"/>
      </w:pPr>
      <w:r>
        <w:t xml:space="preserve">[32] Simons FER, Ardusso LRF, Bilò MB, et al. World Allergy Organization Guidelines for the Assessment and Management of Anaphylaxis. World Allergy Organization Journal. 2011;4:13–36.</w:t>
      </w:r>
    </w:p>
    <w:p>
      <w:pPr>
        <w:pStyle w:val="BodyText"/>
      </w:pPr>
      <w:r>
        <w:t xml:space="preserve">[33] Lieberman P, Kemp S, Oppenheimer J, et al. The diagnosis and management of anaphylaxis: An updated practice parameter. Journal of Allergy and Clinical Immunology. 2005;115:S483–S523.</w:t>
      </w:r>
    </w:p>
    <w:p>
      <w:pPr>
        <w:pStyle w:val="BodyText"/>
      </w:pPr>
      <w:r>
        <w:t xml:space="preserve">[34] Harper N, Cook T, Garcez T, et al. Anaesthesia, surgery, and life-threatening allergic reactions: Management and outcomes in the 6th national audit project (nap6). British Journal of Anaesthesia. 2018;</w:t>
      </w:r>
    </w:p>
    <w:p>
      <w:pPr>
        <w:pStyle w:val="BodyText"/>
      </w:pPr>
      <w:r>
        <w:t xml:space="preserve">[35] Zaloga GP, Delacey W, Holmboe E, et al. Glucagon reversal of hypotension in a case of anaphylactoid shock. Annals of Internal Medicine. 1986;105:65–66.</w:t>
      </w:r>
    </w:p>
    <w:p>
      <w:pPr>
        <w:pStyle w:val="BodyText"/>
      </w:pPr>
      <w:r>
        <w:t xml:space="preserve">[36] Javeed N, Javeed H, Javeed S, et al. Refractory anaphylactoid shock potentiated by beta-blockers. 1996. pp. 383–384.</w:t>
      </w:r>
    </w:p>
    <w:p>
      <w:pPr>
        <w:pStyle w:val="Heading5"/>
      </w:pPr>
      <w:bookmarkStart w:id="55" w:name="pagebreak-1"/>
      <w:bookmarkEnd w:id="55"/>
      <w:r>
        <w:t xml:space="preserve">pagebreak</w:t>
      </w:r>
    </w:p>
    <w:p>
      <w:pPr>
        <w:pStyle w:val="Heading1"/>
      </w:pPr>
      <w:bookmarkStart w:id="56" w:name="figures"/>
      <w:bookmarkEnd w:id="56"/>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57"/>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58" w:name="section"/>
      <w:bookmarkEnd w:id="58"/>
    </w:p>
    <w:p>
      <w:pPr>
        <w:pStyle w:val="FigureWithCaption"/>
      </w:pPr>
      <w:r>
        <w:drawing>
          <wp:inline>
            <wp:extent cx="3009900" cy="3009900"/>
            <wp:effectExtent b="0" l="0" r="0" t="0"/>
            <wp:docPr descr="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 title="" id="1" name="Picture"/>
            <a:graphic>
              <a:graphicData uri="http://schemas.openxmlformats.org/drawingml/2006/picture">
                <pic:pic>
                  <pic:nvPicPr>
                    <pic:cNvPr descr="../figures/diag2.png" id="0" name="Picture"/>
                    <pic:cNvPicPr>
                      <a:picLocks noChangeArrowheads="1" noChangeAspect="1"/>
                    </pic:cNvPicPr>
                  </pic:nvPicPr>
                  <pic:blipFill>
                    <a:blip r:embed="rId59"/>
                    <a:stretch>
                      <a:fillRect/>
                    </a:stretch>
                  </pic:blipFill>
                  <pic:spPr bwMode="auto">
                    <a:xfrm>
                      <a:off x="0" y="0"/>
                      <a:ext cx="3009900" cy="30099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w:t>
      </w:r>
    </w:p>
    <w:p>
      <w:pPr>
        <w:pStyle w:val="Heading5"/>
      </w:pPr>
      <w:bookmarkStart w:id="60" w:name="section-1"/>
      <w:bookmarkEnd w:id="60"/>
    </w:p>
    <w:p>
      <w:pPr>
        <w:pStyle w:val="Heading1"/>
      </w:pPr>
      <w:bookmarkStart w:id="61" w:name="tables"/>
      <w:bookmarkEnd w:id="61"/>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 Refractory group was compared to severe anaphylaxis cases without differentiating into male and female subgroups.</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Refractory group was compared to severe anaphylaxis cases without differentiating into male and female subgroups."/>
      </w:tblPr>
      <w:tblGrid/>
      <w:tr>
        <w:trPr>
          <w:cnfStyle w:firstRow="1"/>
        </w:trPr>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right"/>
            </w:pPr>
            <w:r>
              <w:t xml:space="preserve">female</w:t>
            </w:r>
          </w:p>
        </w:tc>
        <w:tc>
          <w:p>
            <w:pPr>
              <w:pStyle w:val="Compact"/>
              <w:jc w:val="right"/>
            </w:pPr>
            <w:r>
              <w:t xml:space="preserve">refractory</w:t>
            </w:r>
          </w:p>
        </w:tc>
        <w:tc>
          <w:p>
            <w:pPr>
              <w:pStyle w:val="Compact"/>
              <w:jc w:val="right"/>
            </w:pPr>
            <w:r>
              <w:t xml:space="preserve">22.00</w:t>
            </w:r>
          </w:p>
        </w:tc>
        <w:tc>
          <w:p>
            <w:pPr>
              <w:pStyle w:val="Compact"/>
              <w:jc w:val="right"/>
            </w:pPr>
            <w:r>
              <w:t xml:space="preserve">40.0</w:t>
            </w:r>
          </w:p>
        </w:tc>
        <w:tc>
          <w:p>
            <w:pPr>
              <w:pStyle w:val="Compact"/>
              <w:jc w:val="right"/>
            </w:pPr>
            <w:r>
              <w:t xml:space="preserve">31.82</w:t>
            </w:r>
          </w:p>
        </w:tc>
        <w:tc>
          <w:p>
            <w:pPr>
              <w:pStyle w:val="Compact"/>
              <w:jc w:val="right"/>
            </w:pPr>
            <w:r>
              <w:t xml:space="preserve">9.09</w:t>
            </w:r>
          </w:p>
        </w:tc>
        <w:tc>
          <w:p>
            <w:pPr>
              <w:pStyle w:val="Compact"/>
              <w:jc w:val="right"/>
            </w:pPr>
            <w:r>
              <w:t xml:space="preserve">13.64</w:t>
            </w:r>
          </w:p>
        </w:tc>
        <w:tc>
          <w:p>
            <w:pPr>
              <w:pStyle w:val="Compact"/>
              <w:jc w:val="right"/>
            </w:pPr>
            <w:r>
              <w:t xml:space="preserve">9.09</w:t>
            </w:r>
          </w:p>
        </w:tc>
        <w:tc>
          <w:p>
            <w:pPr>
              <w:pStyle w:val="Compact"/>
              <w:jc w:val="right"/>
            </w:pPr>
            <w:r>
              <w:t xml:space="preserve">0.00</w:t>
            </w:r>
          </w:p>
        </w:tc>
        <w:tc>
          <w:p>
            <w:pPr>
              <w:pStyle w:val="Compact"/>
              <w:jc w:val="right"/>
            </w:pPr>
            <w:r>
              <w:t xml:space="preserve">18.18</w:t>
            </w:r>
          </w:p>
        </w:tc>
        <w:tc>
          <w:p>
            <w:pPr>
              <w:pStyle w:val="Compact"/>
              <w:jc w:val="right"/>
            </w:pPr>
            <w:r>
              <w:t xml:space="preserve">5.22</w:t>
            </w:r>
          </w:p>
        </w:tc>
      </w:tr>
      <w:tr>
        <w:tc>
          <w:p>
            <w:pPr>
              <w:pStyle w:val="Compact"/>
              <w:jc w:val="right"/>
            </w:pPr>
            <w:r>
              <w:t xml:space="preserve">male</w:t>
            </w:r>
          </w:p>
        </w:tc>
        <w:tc>
          <w:p>
            <w:pPr>
              <w:pStyle w:val="Compact"/>
              <w:jc w:val="right"/>
            </w:pPr>
            <w:r>
              <w:t xml:space="preserve">refractory</w:t>
            </w:r>
          </w:p>
        </w:tc>
        <w:tc>
          <w:p>
            <w:pPr>
              <w:pStyle w:val="Compact"/>
              <w:jc w:val="right"/>
            </w:pPr>
            <w:r>
              <w:t xml:space="preserve">20.00</w:t>
            </w:r>
          </w:p>
        </w:tc>
        <w:tc>
          <w:p>
            <w:pPr>
              <w:pStyle w:val="Compact"/>
              <w:jc w:val="right"/>
            </w:pPr>
            <w:r>
              <w:t xml:space="preserve">43.0</w:t>
            </w:r>
          </w:p>
        </w:tc>
        <w:tc>
          <w:p>
            <w:pPr>
              <w:pStyle w:val="Compact"/>
              <w:jc w:val="right"/>
            </w:pPr>
            <w:r>
              <w:t xml:space="preserve">30.00</w:t>
            </w:r>
          </w:p>
        </w:tc>
        <w:tc>
          <w:p>
            <w:pPr>
              <w:pStyle w:val="Compact"/>
              <w:jc w:val="right"/>
            </w:pPr>
            <w:r>
              <w:t xml:space="preserve">15.00</w:t>
            </w:r>
          </w:p>
        </w:tc>
        <w:tc>
          <w:p>
            <w:pPr>
              <w:pStyle w:val="Compact"/>
              <w:jc w:val="right"/>
            </w:pPr>
            <w:r>
              <w:t xml:space="preserve">5.00</w:t>
            </w:r>
          </w:p>
        </w:tc>
        <w:tc>
          <w:p>
            <w:pPr>
              <w:pStyle w:val="Compact"/>
              <w:jc w:val="right"/>
            </w:pPr>
            <w:r>
              <w:t xml:space="preserve">5.00</w:t>
            </w:r>
          </w:p>
        </w:tc>
        <w:tc>
          <w:p>
            <w:pPr>
              <w:pStyle w:val="Compact"/>
              <w:jc w:val="right"/>
            </w:pPr>
            <w:r>
              <w:t xml:space="preserve">15.00</w:t>
            </w:r>
          </w:p>
        </w:tc>
        <w:tc>
          <w:p>
            <w:pPr>
              <w:pStyle w:val="Compact"/>
              <w:jc w:val="right"/>
            </w:pPr>
            <w:r>
              <w:t xml:space="preserve">5.00</w:t>
            </w:r>
          </w:p>
        </w:tc>
        <w:tc>
          <w:p>
            <w:pPr>
              <w:pStyle w:val="Compact"/>
              <w:jc w:val="right"/>
            </w:pPr>
            <w:r>
              <w:t xml:space="preserve">7.43</w:t>
            </w:r>
          </w:p>
        </w:tc>
      </w:tr>
      <w:tr>
        <w:tc>
          <w:p>
            <w:pPr>
              <w:pStyle w:val="Compact"/>
              <w:jc w:val="right"/>
            </w:pPr>
            <w:r>
              <w:t xml:space="preserve">female</w:t>
            </w:r>
          </w:p>
        </w:tc>
        <w:tc>
          <w:p>
            <w:pPr>
              <w:pStyle w:val="Compact"/>
              <w:jc w:val="right"/>
            </w:pPr>
            <w:r>
              <w:t xml:space="preserve">severe</w:t>
            </w:r>
          </w:p>
        </w:tc>
        <w:tc>
          <w:p>
            <w:pPr>
              <w:pStyle w:val="Compact"/>
              <w:jc w:val="right"/>
            </w:pPr>
            <w:r>
              <w:t xml:space="preserve">2421.00</w:t>
            </w:r>
          </w:p>
        </w:tc>
        <w:tc>
          <w:p>
            <w:pPr>
              <w:pStyle w:val="Compact"/>
              <w:jc w:val="right"/>
            </w:pPr>
            <w:r>
              <w:t xml:space="preserve">43.4</w:t>
            </w:r>
          </w:p>
        </w:tc>
        <w:tc>
          <w:p>
            <w:pPr>
              <w:pStyle w:val="Compact"/>
              <w:jc w:val="right"/>
            </w:pPr>
            <w:r>
              <w:t xml:space="preserve">20.57</w:t>
            </w:r>
          </w:p>
        </w:tc>
        <w:tc>
          <w:p>
            <w:pPr>
              <w:pStyle w:val="Compact"/>
              <w:jc w:val="right"/>
            </w:pPr>
            <w:r>
              <w:t xml:space="preserve">2.27</w:t>
            </w:r>
          </w:p>
        </w:tc>
        <w:tc>
          <w:p>
            <w:pPr>
              <w:pStyle w:val="Compact"/>
              <w:jc w:val="right"/>
            </w:pPr>
            <w:r>
              <w:t xml:space="preserve">5.37</w:t>
            </w:r>
          </w:p>
        </w:tc>
        <w:tc>
          <w:p>
            <w:pPr>
              <w:pStyle w:val="Compact"/>
              <w:jc w:val="right"/>
            </w:pPr>
            <w:r>
              <w:t xml:space="preserve">2.56</w:t>
            </w:r>
          </w:p>
        </w:tc>
        <w:tc>
          <w:p>
            <w:pPr>
              <w:pStyle w:val="Compact"/>
              <w:jc w:val="right"/>
            </w:pPr>
            <w:r>
              <w:t xml:space="preserve">2.19</w:t>
            </w:r>
          </w:p>
        </w:tc>
        <w:tc>
          <w:p>
            <w:pPr>
              <w:pStyle w:val="Compact"/>
              <w:jc w:val="right"/>
            </w:pPr>
            <w:r>
              <w:t xml:space="preserve">6.73</w:t>
            </w:r>
          </w:p>
        </w:tc>
        <w:tc>
          <w:p>
            <w:pPr>
              <w:pStyle w:val="Compact"/>
              <w:jc w:val="right"/>
            </w:pPr>
            <w:r>
              <w:t xml:space="preserve">4.30</w:t>
            </w:r>
          </w:p>
        </w:tc>
      </w:tr>
      <w:tr>
        <w:tc>
          <w:p>
            <w:pPr>
              <w:pStyle w:val="Compact"/>
              <w:jc w:val="right"/>
            </w:pPr>
            <w:r>
              <w:t xml:space="preserve">male</w:t>
            </w:r>
          </w:p>
        </w:tc>
        <w:tc>
          <w:p>
            <w:pPr>
              <w:pStyle w:val="Compact"/>
              <w:jc w:val="right"/>
            </w:pPr>
            <w:r>
              <w:t xml:space="preserve">severe</w:t>
            </w:r>
          </w:p>
        </w:tc>
        <w:tc>
          <w:p>
            <w:pPr>
              <w:pStyle w:val="Compact"/>
              <w:jc w:val="right"/>
            </w:pPr>
            <w:r>
              <w:t xml:space="preserve">2399.00</w:t>
            </w:r>
          </w:p>
        </w:tc>
        <w:tc>
          <w:p>
            <w:pPr>
              <w:pStyle w:val="Compact"/>
              <w:jc w:val="right"/>
            </w:pPr>
            <w:r>
              <w:t xml:space="preserve">40.2</w:t>
            </w:r>
          </w:p>
        </w:tc>
        <w:tc>
          <w:p>
            <w:pPr>
              <w:pStyle w:val="Compact"/>
              <w:jc w:val="right"/>
            </w:pPr>
            <w:r>
              <w:t xml:space="preserve">22.89</w:t>
            </w:r>
          </w:p>
        </w:tc>
        <w:tc>
          <w:p>
            <w:pPr>
              <w:pStyle w:val="Compact"/>
              <w:jc w:val="right"/>
            </w:pPr>
            <w:r>
              <w:t xml:space="preserve">3.58</w:t>
            </w:r>
          </w:p>
        </w:tc>
        <w:tc>
          <w:p>
            <w:pPr>
              <w:pStyle w:val="Compact"/>
              <w:jc w:val="right"/>
            </w:pPr>
            <w:r>
              <w:t xml:space="preserve">5.84</w:t>
            </w:r>
          </w:p>
        </w:tc>
        <w:tc>
          <w:p>
            <w:pPr>
              <w:pStyle w:val="Compact"/>
              <w:jc w:val="right"/>
            </w:pPr>
            <w:r>
              <w:t xml:space="preserve">2.54</w:t>
            </w:r>
          </w:p>
        </w:tc>
        <w:tc>
          <w:p>
            <w:pPr>
              <w:pStyle w:val="Compact"/>
              <w:jc w:val="right"/>
            </w:pPr>
            <w:r>
              <w:t xml:space="preserve">2.08</w:t>
            </w:r>
          </w:p>
        </w:tc>
        <w:tc>
          <w:p>
            <w:pPr>
              <w:pStyle w:val="Compact"/>
              <w:jc w:val="right"/>
            </w:pPr>
            <w:r>
              <w:t xml:space="preserve">6.25</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w:t>
            </w:r>
          </w:p>
        </w:tc>
        <w:tc>
          <w:p>
            <w:pPr>
              <w:pStyle w:val="Compact"/>
              <w:jc w:val="right"/>
            </w:pPr>
            <w:r>
              <w:t xml:space="preserve">0.9</w:t>
            </w:r>
          </w:p>
        </w:tc>
        <w:tc>
          <w:p>
            <w:pPr>
              <w:pStyle w:val="Compact"/>
              <w:jc w:val="right"/>
            </w:pPr>
            <w:r>
              <w:t xml:space="preserve">0.19</w:t>
            </w:r>
          </w:p>
        </w:tc>
        <w:tc>
          <w:p>
            <w:pPr>
              <w:pStyle w:val="Compact"/>
              <w:jc w:val="right"/>
            </w:pPr>
            <w:r>
              <w:t xml:space="preserve">0.07</w:t>
            </w:r>
          </w:p>
        </w:tc>
        <w:tc>
          <w:p>
            <w:pPr>
              <w:pStyle w:val="Compact"/>
              <w:jc w:val="right"/>
            </w:pPr>
            <w:r>
              <w:t xml:space="preserve">1.00</w:t>
            </w:r>
          </w:p>
        </w:tc>
        <w:tc>
          <w:p>
            <w:pPr>
              <w:pStyle w:val="Compact"/>
              <w:jc w:val="right"/>
            </w:pPr>
            <w:r>
              <w:t xml:space="preserve">0.10</w:t>
            </w:r>
          </w:p>
        </w:tc>
        <w:tc>
          <w:p>
            <w:pPr>
              <w:pStyle w:val="Compact"/>
              <w:jc w:val="right"/>
            </w:pPr>
            <w:r>
              <w:t xml:space="preserve">0.07</w:t>
            </w:r>
          </w:p>
        </w:tc>
        <w:tc>
          <w:p>
            <w:pPr>
              <w:pStyle w:val="Compact"/>
              <w:jc w:val="right"/>
            </w:pPr>
            <w:r>
              <w:t xml:space="preserve">0.20</w:t>
            </w:r>
          </w:p>
        </w:tc>
        <w:tc>
          <w:p>
            <w:pPr>
              <w:pStyle w:val="Compact"/>
              <w:jc w:val="right"/>
            </w:pPr>
            <w:r>
              <w:t xml:space="preserve">0.01</w:t>
            </w:r>
          </w:p>
        </w:tc>
      </w:tr>
    </w:tbl>
    <w:p>
      <w:pPr>
        <w:pStyle w:val="Heading5"/>
      </w:pPr>
      <w:bookmarkStart w:id="62" w:name="section-2"/>
      <w:bookmarkEnd w:id="62"/>
    </w:p>
    <w:p>
      <w:pPr>
        <w:pStyle w:val="TableCaption"/>
      </w:pPr>
      <w:r>
        <w:t xml:space="preserve">Table 2: Summary of elicitors in the refractory anaphylaxis cases and severe, non-refractory anaphylaxis cases as a control. ANA - anaphylaxis, Age is represented as a mean, p-value derived from the Fisher’s exact test.</w:t>
      </w:r>
    </w:p>
    <w:tbl>
      <w:tblPr>
        <w:tblStyle w:val="TableNormal"/>
        <w:tblW w:type="pct" w:w="0.0"/>
        <w:tblLook w:firstRow="1"/>
        <w:tblCaption w:val="Table 2: Summary of elicitors in the refractory anaphylaxis cases and severe, non-refractory anaphylaxis cases as a control. ANA - anaphylaxis, Age is represented as a mean, p-value derived from the Fisher’s exact test."/>
      </w:tblPr>
      <w:tblGrid/>
      <w:tr>
        <w:trPr>
          <w:cnfStyle w:firstRow="1"/>
        </w:trPr>
        <w:tc>
          <w:tcPr>
            <w:tcBorders>
              <w:bottom w:val="single"/>
            </w:tcBorders>
            <w:vAlign w:val="bottom"/>
          </w:tcPr>
          <w:p>
            <w:pPr>
              <w:pStyle w:val="Compact"/>
              <w:jc w:val="right"/>
            </w:pPr>
            <w:r>
              <w:t xml:space="preserve">Elicitor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Peroperative</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right"/>
            </w:pPr>
            <w:r>
              <w:t xml:space="preserve">percANA</w:t>
            </w:r>
          </w:p>
        </w:tc>
        <w:tc>
          <w:tcPr>
            <w:tcBorders>
              <w:bottom w:val="single"/>
            </w:tcBorders>
            <w:vAlign w:val="bottom"/>
          </w:tcPr>
          <w:p>
            <w:pPr>
              <w:pStyle w:val="Compact"/>
              <w:jc w:val="right"/>
            </w:pPr>
            <w:r>
              <w:t xml:space="preserve">p</w:t>
            </w:r>
          </w:p>
        </w:tc>
      </w:tr>
      <w:tr>
        <w:tc>
          <w:p>
            <w:pPr>
              <w:pStyle w:val="Compact"/>
              <w:jc w:val="right"/>
            </w:pPr>
            <w:r>
              <w:t xml:space="preserve">food</w:t>
            </w:r>
          </w:p>
        </w:tc>
        <w:tc>
          <w:p>
            <w:pPr>
              <w:pStyle w:val="Compact"/>
              <w:jc w:val="right"/>
            </w:pPr>
            <w:r>
              <w:t xml:space="preserve">9</w:t>
            </w:r>
          </w:p>
        </w:tc>
        <w:tc>
          <w:p>
            <w:pPr>
              <w:pStyle w:val="Compact"/>
              <w:jc w:val="right"/>
            </w:pPr>
            <w:r>
              <w:t xml:space="preserve">17.4</w:t>
            </w:r>
          </w:p>
        </w:tc>
        <w:tc>
          <w:p>
            <w:pPr>
              <w:pStyle w:val="Compact"/>
              <w:jc w:val="right"/>
            </w:pPr>
            <w:r>
              <w:t xml:space="preserve">55.6</w:t>
            </w:r>
          </w:p>
        </w:tc>
        <w:tc>
          <w:p>
            <w:pPr>
              <w:pStyle w:val="Compact"/>
              <w:jc w:val="right"/>
            </w:pPr>
            <w:r>
              <w:t xml:space="preserve">0.0</w:t>
            </w:r>
          </w:p>
        </w:tc>
        <w:tc>
          <w:p>
            <w:pPr>
              <w:pStyle w:val="Compact"/>
              <w:jc w:val="right"/>
            </w:pPr>
            <w:r>
              <w:t xml:space="preserve">33.3</w:t>
            </w:r>
          </w:p>
        </w:tc>
        <w:tc>
          <w:p>
            <w:pPr>
              <w:pStyle w:val="Compact"/>
              <w:jc w:val="right"/>
            </w:pPr>
            <w:r>
              <w:t xml:space="preserve">21.4</w:t>
            </w:r>
          </w:p>
        </w:tc>
        <w:tc>
          <w:p>
            <w:pPr>
              <w:pStyle w:val="Compact"/>
              <w:jc w:val="right"/>
            </w:pPr>
            <w:r>
              <w:t xml:space="preserve">33.5</w:t>
            </w:r>
          </w:p>
        </w:tc>
        <w:tc>
          <w:p>
            <w:pPr>
              <w:pStyle w:val="Compact"/>
              <w:jc w:val="right"/>
            </w:pPr>
            <w:r>
              <w:t xml:space="preserve">0.8560</w:t>
            </w:r>
          </w:p>
        </w:tc>
      </w:tr>
      <w:tr>
        <w:tc>
          <w:p>
            <w:pPr>
              <w:pStyle w:val="Compact"/>
              <w:jc w:val="right"/>
            </w:pPr>
            <w:r>
              <w:t xml:space="preserve">drugs</w:t>
            </w:r>
          </w:p>
        </w:tc>
        <w:tc>
          <w:p>
            <w:pPr>
              <w:pStyle w:val="Compact"/>
              <w:jc w:val="right"/>
            </w:pPr>
            <w:r>
              <w:t xml:space="preserve">21</w:t>
            </w:r>
          </w:p>
        </w:tc>
        <w:tc>
          <w:p>
            <w:pPr>
              <w:pStyle w:val="Compact"/>
              <w:jc w:val="right"/>
            </w:pPr>
            <w:r>
              <w:t xml:space="preserve">48.8</w:t>
            </w:r>
          </w:p>
        </w:tc>
        <w:tc>
          <w:p>
            <w:pPr>
              <w:pStyle w:val="Compact"/>
              <w:jc w:val="right"/>
            </w:pPr>
            <w:r>
              <w:t xml:space="preserve">42.9</w:t>
            </w:r>
          </w:p>
        </w:tc>
        <w:tc>
          <w:p>
            <w:pPr>
              <w:pStyle w:val="Compact"/>
              <w:jc w:val="right"/>
            </w:pPr>
            <w:r>
              <w:t xml:space="preserve">90.5</w:t>
            </w:r>
          </w:p>
        </w:tc>
        <w:tc>
          <w:p>
            <w:pPr>
              <w:pStyle w:val="Compact"/>
              <w:jc w:val="right"/>
            </w:pPr>
            <w:r>
              <w:t xml:space="preserve">0.0</w:t>
            </w:r>
          </w:p>
        </w:tc>
        <w:tc>
          <w:p>
            <w:pPr>
              <w:pStyle w:val="Compact"/>
              <w:jc w:val="right"/>
            </w:pPr>
            <w:r>
              <w:t xml:space="preserve">50.0</w:t>
            </w:r>
          </w:p>
        </w:tc>
        <w:tc>
          <w:p>
            <w:pPr>
              <w:pStyle w:val="Compact"/>
              <w:jc w:val="right"/>
            </w:pPr>
            <w:r>
              <w:t xml:space="preserve">18.4</w:t>
            </w:r>
          </w:p>
        </w:tc>
        <w:tc>
          <w:p>
            <w:pPr>
              <w:pStyle w:val="Compact"/>
              <w:jc w:val="right"/>
            </w:pPr>
            <w:r>
              <w:t xml:space="preserve">0.0001</w:t>
            </w:r>
          </w:p>
        </w:tc>
      </w:tr>
      <w:tr>
        <w:tc>
          <w:p>
            <w:pPr>
              <w:pStyle w:val="Compact"/>
              <w:jc w:val="right"/>
            </w:pPr>
            <w:r>
              <w:t xml:space="preserve">insects</w:t>
            </w:r>
          </w:p>
        </w:tc>
        <w:tc>
          <w:p>
            <w:pPr>
              <w:pStyle w:val="Compact"/>
              <w:jc w:val="right"/>
            </w:pPr>
            <w:r>
              <w:t xml:space="preserve">8</w:t>
            </w:r>
          </w:p>
        </w:tc>
        <w:tc>
          <w:p>
            <w:pPr>
              <w:pStyle w:val="Compact"/>
              <w:jc w:val="right"/>
            </w:pPr>
            <w:r>
              <w:t xml:space="preserve">46.5</w:t>
            </w:r>
          </w:p>
        </w:tc>
        <w:tc>
          <w:p>
            <w:pPr>
              <w:pStyle w:val="Compact"/>
              <w:jc w:val="right"/>
            </w:pPr>
            <w:r>
              <w:t xml:space="preserve">62.5</w:t>
            </w:r>
          </w:p>
        </w:tc>
        <w:tc>
          <w:p>
            <w:pPr>
              <w:pStyle w:val="Compact"/>
              <w:jc w:val="right"/>
            </w:pPr>
            <w:r>
              <w:t xml:space="preserve">0.0</w:t>
            </w:r>
          </w:p>
        </w:tc>
        <w:tc>
          <w:p>
            <w:pPr>
              <w:pStyle w:val="Compact"/>
              <w:jc w:val="right"/>
            </w:pPr>
            <w:r>
              <w:t xml:space="preserve">0.0</w:t>
            </w:r>
          </w:p>
        </w:tc>
        <w:tc>
          <w:p>
            <w:pPr>
              <w:pStyle w:val="Compact"/>
              <w:jc w:val="right"/>
            </w:pPr>
            <w:r>
              <w:t xml:space="preserve">19.0</w:t>
            </w:r>
          </w:p>
        </w:tc>
        <w:tc>
          <w:p>
            <w:pPr>
              <w:pStyle w:val="Compact"/>
              <w:jc w:val="right"/>
            </w:pPr>
            <w:r>
              <w:t xml:space="preserve">38.7</w:t>
            </w:r>
          </w:p>
        </w:tc>
        <w:tc>
          <w:p>
            <w:pPr>
              <w:pStyle w:val="Compact"/>
              <w:jc w:val="right"/>
            </w:pPr>
            <w:r>
              <w:t xml:space="preserve">0.0001</w:t>
            </w:r>
          </w:p>
        </w:tc>
      </w:tr>
      <w:tr>
        <w:tc>
          <w:p>
            <w:pPr>
              <w:pStyle w:val="Compact"/>
              <w:jc w:val="right"/>
            </w:pPr>
            <w:r>
              <w:t xml:space="preserve">other</w:t>
            </w:r>
          </w:p>
        </w:tc>
        <w:tc>
          <w:p>
            <w:pPr>
              <w:pStyle w:val="Compact"/>
              <w:jc w:val="right"/>
            </w:pPr>
            <w:r>
              <w:t xml:space="preserve">2</w:t>
            </w:r>
          </w:p>
        </w:tc>
        <w:tc>
          <w:p>
            <w:pPr>
              <w:pStyle w:val="Compact"/>
              <w:jc w:val="right"/>
            </w:pPr>
            <w:r>
              <w:t xml:space="preserve">38.0</w:t>
            </w:r>
          </w:p>
        </w:tc>
        <w:tc>
          <w:p>
            <w:pPr>
              <w:pStyle w:val="Compact"/>
              <w:jc w:val="right"/>
            </w:pPr>
            <w:r>
              <w:t xml:space="preserve">0.0</w:t>
            </w:r>
          </w:p>
        </w:tc>
        <w:tc>
          <w:p>
            <w:pPr>
              <w:pStyle w:val="Compact"/>
              <w:jc w:val="right"/>
            </w:pPr>
            <w:r>
              <w:t xml:space="preserve">0.0</w:t>
            </w:r>
          </w:p>
        </w:tc>
        <w:tc>
          <w:p>
            <w:pPr>
              <w:pStyle w:val="Compact"/>
              <w:jc w:val="right"/>
            </w:pPr>
            <w:r>
              <w:t xml:space="preserve">50.0</w:t>
            </w:r>
          </w:p>
        </w:tc>
        <w:tc>
          <w:p>
            <w:pPr>
              <w:pStyle w:val="Compact"/>
              <w:jc w:val="right"/>
            </w:pPr>
            <w:r>
              <w:t xml:space="preserve">4.8</w:t>
            </w:r>
          </w:p>
        </w:tc>
        <w:tc>
          <w:p>
            <w:pPr>
              <w:pStyle w:val="Compact"/>
              <w:jc w:val="right"/>
            </w:pPr>
            <w:r>
              <w:t xml:space="preserve">3.4</w:t>
            </w:r>
          </w:p>
        </w:tc>
        <w:tc>
          <w:p>
            <w:pPr>
              <w:pStyle w:val="Compact"/>
              <w:jc w:val="right"/>
            </w:pPr>
            <w:r>
              <w:t xml:space="preserve">0.3610</w:t>
            </w:r>
          </w:p>
        </w:tc>
      </w:tr>
      <w:tr>
        <w:tc>
          <w:p>
            <w:pPr>
              <w:pStyle w:val="Compact"/>
              <w:jc w:val="right"/>
            </w:pPr>
            <w:r>
              <w:t xml:space="preserve">unkown</w:t>
            </w:r>
          </w:p>
        </w:tc>
        <w:tc>
          <w:p>
            <w:pPr>
              <w:pStyle w:val="Compact"/>
              <w:jc w:val="right"/>
            </w:pPr>
            <w:r>
              <w:t xml:space="preserve">2</w:t>
            </w:r>
          </w:p>
        </w:tc>
        <w:tc>
          <w:p>
            <w:pPr>
              <w:pStyle w:val="Compact"/>
              <w:jc w:val="right"/>
            </w:pPr>
            <w:r>
              <w:t xml:space="preserve">55.5</w:t>
            </w:r>
          </w:p>
        </w:tc>
        <w:tc>
          <w:p>
            <w:pPr>
              <w:pStyle w:val="Compact"/>
              <w:jc w:val="right"/>
            </w:pPr>
            <w:r>
              <w:t xml:space="preserve">50.0</w:t>
            </w:r>
          </w:p>
        </w:tc>
        <w:tc>
          <w:p>
            <w:pPr>
              <w:pStyle w:val="Compact"/>
              <w:jc w:val="right"/>
            </w:pPr>
            <w:r>
              <w:t xml:space="preserve">0.0</w:t>
            </w:r>
          </w:p>
        </w:tc>
        <w:tc>
          <w:p>
            <w:pPr>
              <w:pStyle w:val="Compact"/>
              <w:jc w:val="right"/>
            </w:pPr>
            <w:r>
              <w:t xml:space="preserve">0.0</w:t>
            </w:r>
          </w:p>
        </w:tc>
        <w:tc>
          <w:p>
            <w:pPr>
              <w:pStyle w:val="Compact"/>
              <w:jc w:val="right"/>
            </w:pPr>
            <w:r>
              <w:t xml:space="preserve">4.8</w:t>
            </w:r>
          </w:p>
        </w:tc>
        <w:tc>
          <w:p>
            <w:pPr>
              <w:pStyle w:val="Compact"/>
              <w:jc w:val="right"/>
            </w:pPr>
            <w:r>
              <w:t xml:space="preserve">6.0</w:t>
            </w:r>
          </w:p>
        </w:tc>
        <w:tc>
          <w:p>
            <w:pPr>
              <w:pStyle w:val="Compact"/>
              <w:jc w:val="right"/>
            </w:pPr>
            <w:r>
              <w:t xml:space="preserve">0.0001</w:t>
            </w:r>
          </w:p>
        </w:tc>
      </w:tr>
    </w:tbl>
    <w:p>
      <w:pPr>
        <w:pStyle w:val="Heading5"/>
      </w:pPr>
      <w:bookmarkStart w:id="63" w:name="section-3"/>
      <w:bookmarkEnd w:id="63"/>
    </w:p>
    <w:p>
      <w:pPr>
        <w:pStyle w:val="TableCaption"/>
      </w:pPr>
      <w:r>
        <w:t xml:space="preserve">Table 3: Summary of the elicitors broken down into specific elicitors from each group in the refractory anaphylaxis cases and severe anaphylaxis cases as a control. ANA - anaphylaxis, p-value derived from the Fisher’s exact test.</w:t>
      </w:r>
    </w:p>
    <w:tbl>
      <w:tblPr>
        <w:tblStyle w:val="TableNormal"/>
        <w:tblW w:type="pct" w:w="0.0"/>
        <w:tblLook w:firstRow="1"/>
        <w:tblCaption w:val="Table 3: Summary of the elicitors broken down into specific elicitors from each group in the refractory anaphylaxis cases and severe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Antibiotics</w:t>
            </w:r>
          </w:p>
        </w:tc>
        <w:tc>
          <w:p>
            <w:pPr>
              <w:pStyle w:val="Compact"/>
              <w:jc w:val="right"/>
            </w:pPr>
            <w:r>
              <w:t xml:space="preserve">6.140</w:t>
            </w:r>
          </w:p>
        </w:tc>
        <w:tc>
          <w:p>
            <w:pPr>
              <w:pStyle w:val="Compact"/>
              <w:jc w:val="right"/>
            </w:pPr>
            <w:r>
              <w:t xml:space="preserve">19.00</w:t>
            </w:r>
          </w:p>
        </w:tc>
        <w:tc>
          <w:p>
            <w:pPr>
              <w:pStyle w:val="Compact"/>
              <w:jc w:val="right"/>
            </w:pPr>
            <w:r>
              <w:t xml:space="preserve">0.0040</w:t>
            </w:r>
          </w:p>
        </w:tc>
      </w:tr>
      <w:tr>
        <w:tc>
          <w:p>
            <w:pPr>
              <w:pStyle w:val="Compact"/>
              <w:jc w:val="left"/>
            </w:pPr>
            <w:r>
              <w:t xml:space="preserve">X-ray medium</w:t>
            </w:r>
          </w:p>
        </w:tc>
        <w:tc>
          <w:p>
            <w:pPr>
              <w:pStyle w:val="Compact"/>
              <w:jc w:val="right"/>
            </w:pPr>
            <w:r>
              <w:t xml:space="preserve">0.954</w:t>
            </w:r>
          </w:p>
        </w:tc>
        <w:tc>
          <w:p>
            <w:pPr>
              <w:pStyle w:val="Compact"/>
              <w:jc w:val="right"/>
            </w:pPr>
            <w:r>
              <w:t xml:space="preserve">7.14</w:t>
            </w:r>
          </w:p>
        </w:tc>
        <w:tc>
          <w:p>
            <w:pPr>
              <w:pStyle w:val="Compact"/>
              <w:jc w:val="right"/>
            </w:pPr>
            <w:r>
              <w:t xml:space="preserve">0.0080</w:t>
            </w:r>
          </w:p>
        </w:tc>
      </w:tr>
      <w:tr>
        <w:tc>
          <w:p>
            <w:pPr>
              <w:pStyle w:val="Compact"/>
              <w:jc w:val="left"/>
            </w:pPr>
            <w:r>
              <w:t xml:space="preserve">Muscle relaxant</w:t>
            </w:r>
          </w:p>
        </w:tc>
        <w:tc>
          <w:p>
            <w:pPr>
              <w:pStyle w:val="Compact"/>
              <w:jc w:val="right"/>
            </w:pPr>
            <w:r>
              <w:t xml:space="preserve">0.456</w:t>
            </w:r>
          </w:p>
        </w:tc>
        <w:tc>
          <w:p>
            <w:pPr>
              <w:pStyle w:val="Compact"/>
              <w:jc w:val="right"/>
            </w:pPr>
            <w:r>
              <w:t xml:space="preserve">4.76</w:t>
            </w:r>
          </w:p>
        </w:tc>
        <w:tc>
          <w:p>
            <w:pPr>
              <w:pStyle w:val="Compact"/>
              <w:jc w:val="right"/>
            </w:pPr>
            <w:r>
              <w:t xml:space="preserve">0.0180</w:t>
            </w:r>
          </w:p>
        </w:tc>
      </w:tr>
      <w:tr>
        <w:tc>
          <w:p>
            <w:pPr>
              <w:pStyle w:val="Compact"/>
              <w:jc w:val="left"/>
            </w:pPr>
            <w:r>
              <w:t xml:space="preserve">Legumes</w:t>
            </w:r>
          </w:p>
        </w:tc>
        <w:tc>
          <w:p>
            <w:pPr>
              <w:pStyle w:val="Compact"/>
              <w:jc w:val="right"/>
            </w:pPr>
            <w:r>
              <w:t xml:space="preserve">4.020</w:t>
            </w:r>
          </w:p>
        </w:tc>
        <w:tc>
          <w:p>
            <w:pPr>
              <w:pStyle w:val="Compact"/>
              <w:jc w:val="right"/>
            </w:pPr>
            <w:r>
              <w:t xml:space="preserve">7.14</w:t>
            </w:r>
          </w:p>
        </w:tc>
        <w:tc>
          <w:p>
            <w:pPr>
              <w:pStyle w:val="Compact"/>
              <w:jc w:val="right"/>
            </w:pPr>
            <w:r>
              <w:t xml:space="preserve">0.2410</w:t>
            </w:r>
          </w:p>
        </w:tc>
      </w:tr>
      <w:tr>
        <w:tc>
          <w:p>
            <w:pPr>
              <w:pStyle w:val="Compact"/>
              <w:jc w:val="left"/>
            </w:pPr>
            <w:r>
              <w:t xml:space="preserve">Bee venom</w:t>
            </w:r>
          </w:p>
        </w:tc>
        <w:tc>
          <w:p>
            <w:pPr>
              <w:pStyle w:val="Compact"/>
              <w:jc w:val="right"/>
            </w:pPr>
            <w:r>
              <w:t xml:space="preserve">9.320</w:t>
            </w:r>
          </w:p>
        </w:tc>
        <w:tc>
          <w:p>
            <w:pPr>
              <w:pStyle w:val="Compact"/>
              <w:jc w:val="right"/>
            </w:pPr>
            <w:r>
              <w:t xml:space="preserve">11.90</w:t>
            </w:r>
          </w:p>
        </w:tc>
        <w:tc>
          <w:p>
            <w:pPr>
              <w:pStyle w:val="Compact"/>
              <w:jc w:val="right"/>
            </w:pPr>
            <w:r>
              <w:t xml:space="preserve">0.5890</w:t>
            </w:r>
          </w:p>
        </w:tc>
      </w:tr>
      <w:tr>
        <w:tc>
          <w:p>
            <w:pPr>
              <w:pStyle w:val="Compact"/>
              <w:jc w:val="left"/>
            </w:pPr>
            <w:r>
              <w:t xml:space="preserve">Yellow-jacket venom</w:t>
            </w:r>
          </w:p>
        </w:tc>
        <w:tc>
          <w:p>
            <w:pPr>
              <w:pStyle w:val="Compact"/>
              <w:jc w:val="right"/>
            </w:pPr>
            <w:r>
              <w:t xml:space="preserve">33.300</w:t>
            </w:r>
          </w:p>
        </w:tc>
        <w:tc>
          <w:p>
            <w:pPr>
              <w:pStyle w:val="Compact"/>
              <w:jc w:val="right"/>
            </w:pPr>
            <w:r>
              <w:t xml:space="preserve">4.76</w:t>
            </w:r>
          </w:p>
        </w:tc>
        <w:tc>
          <w:p>
            <w:pPr>
              <w:pStyle w:val="Compact"/>
              <w:jc w:val="right"/>
            </w:pPr>
            <w:r>
              <w:t xml:space="preserve">0.0001</w:t>
            </w:r>
          </w:p>
        </w:tc>
      </w:tr>
    </w:tbl>
    <w:p>
      <w:pPr>
        <w:pStyle w:val="Heading5"/>
      </w:pPr>
      <w:bookmarkStart w:id="64" w:name="section-4"/>
      <w:bookmarkEnd w:id="64"/>
    </w:p>
    <w:p>
      <w:pPr>
        <w:pStyle w:val="TableCaption"/>
      </w:pPr>
      <w:r>
        <w:t xml:space="preserve">Table 4: Summary of the symptoms in the refractory anaphylaxis cases and severe, non-refractory anaphylaxis cases as a control. ANA - anaphylaxis, p-value derived from the Fisher’s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Pruritus</w:t>
            </w:r>
          </w:p>
        </w:tc>
        <w:tc>
          <w:p>
            <w:pPr>
              <w:pStyle w:val="Compact"/>
              <w:jc w:val="right"/>
            </w:pPr>
            <w:r>
              <w:t xml:space="preserve">45.40</w:t>
            </w:r>
          </w:p>
        </w:tc>
        <w:tc>
          <w:p>
            <w:pPr>
              <w:pStyle w:val="Compact"/>
              <w:jc w:val="right"/>
            </w:pPr>
            <w:r>
              <w:t xml:space="preserve">23.80</w:t>
            </w:r>
          </w:p>
        </w:tc>
        <w:tc>
          <w:p>
            <w:pPr>
              <w:pStyle w:val="Compact"/>
              <w:jc w:val="right"/>
            </w:pPr>
            <w:r>
              <w:t xml:space="preserve">0.0050</w:t>
            </w:r>
          </w:p>
        </w:tc>
      </w:tr>
      <w:tr>
        <w:tc>
          <w:p>
            <w:pPr>
              <w:pStyle w:val="Compact"/>
              <w:jc w:val="left"/>
            </w:pPr>
            <w:r>
              <w:t xml:space="preserve">Skin symptoms</w:t>
            </w:r>
          </w:p>
        </w:tc>
        <w:tc>
          <w:p>
            <w:pPr>
              <w:pStyle w:val="Compact"/>
              <w:jc w:val="right"/>
            </w:pPr>
            <w:r>
              <w:t xml:space="preserve">44.80</w:t>
            </w:r>
          </w:p>
        </w:tc>
        <w:tc>
          <w:p>
            <w:pPr>
              <w:pStyle w:val="Compact"/>
              <w:jc w:val="right"/>
            </w:pPr>
            <w:r>
              <w:t xml:space="preserve">26.20</w:t>
            </w:r>
          </w:p>
        </w:tc>
        <w:tc>
          <w:p>
            <w:pPr>
              <w:pStyle w:val="Compact"/>
              <w:jc w:val="right"/>
            </w:pPr>
            <w:r>
              <w:t xml:space="preserve">0.0190</w:t>
            </w:r>
          </w:p>
        </w:tc>
      </w:tr>
      <w:tr>
        <w:tc>
          <w:p>
            <w:pPr>
              <w:pStyle w:val="Compact"/>
              <w:jc w:val="left"/>
            </w:pPr>
            <w:r>
              <w:t xml:space="preserve">Respiratory symptoms</w:t>
            </w:r>
          </w:p>
        </w:tc>
        <w:tc>
          <w:p>
            <w:pPr>
              <w:pStyle w:val="Compact"/>
              <w:jc w:val="right"/>
            </w:pPr>
            <w:r>
              <w:t xml:space="preserve">62.10</w:t>
            </w:r>
          </w:p>
        </w:tc>
        <w:tc>
          <w:p>
            <w:pPr>
              <w:pStyle w:val="Compact"/>
              <w:jc w:val="right"/>
            </w:pPr>
            <w:r>
              <w:t xml:space="preserve">81.00</w:t>
            </w:r>
          </w:p>
        </w:tc>
        <w:tc>
          <w:p>
            <w:pPr>
              <w:pStyle w:val="Compact"/>
              <w:jc w:val="right"/>
            </w:pPr>
            <w:r>
              <w:t xml:space="preserve">0.0150</w:t>
            </w:r>
          </w:p>
        </w:tc>
      </w:tr>
      <w:tr>
        <w:tc>
          <w:p>
            <w:pPr>
              <w:pStyle w:val="Compact"/>
              <w:jc w:val="left"/>
            </w:pPr>
            <w:r>
              <w:t xml:space="preserve">Respiratory arrest</w:t>
            </w:r>
          </w:p>
        </w:tc>
        <w:tc>
          <w:p>
            <w:pPr>
              <w:pStyle w:val="Compact"/>
              <w:jc w:val="right"/>
            </w:pPr>
            <w:r>
              <w:t xml:space="preserve">3.03</w:t>
            </w:r>
          </w:p>
        </w:tc>
        <w:tc>
          <w:p>
            <w:pPr>
              <w:pStyle w:val="Compact"/>
              <w:jc w:val="right"/>
            </w:pPr>
            <w:r>
              <w:t xml:space="preserve">28.60</w:t>
            </w:r>
          </w:p>
        </w:tc>
        <w:tc>
          <w:p>
            <w:pPr>
              <w:pStyle w:val="Compact"/>
              <w:jc w:val="right"/>
            </w:pPr>
            <w:r>
              <w:t xml:space="preserve">0.0001</w:t>
            </w:r>
          </w:p>
        </w:tc>
      </w:tr>
      <w:tr>
        <w:tc>
          <w:p>
            <w:pPr>
              <w:pStyle w:val="Compact"/>
              <w:jc w:val="left"/>
            </w:pPr>
            <w:r>
              <w:t xml:space="preserve">Chest tightness</w:t>
            </w:r>
          </w:p>
        </w:tc>
        <w:tc>
          <w:p>
            <w:pPr>
              <w:pStyle w:val="Compact"/>
              <w:jc w:val="right"/>
            </w:pPr>
            <w:r>
              <w:t xml:space="preserve">8.90</w:t>
            </w:r>
          </w:p>
        </w:tc>
        <w:tc>
          <w:p>
            <w:pPr>
              <w:pStyle w:val="Compact"/>
              <w:jc w:val="right"/>
            </w:pPr>
            <w:r>
              <w:t xml:space="preserve">2.38</w:t>
            </w:r>
          </w:p>
        </w:tc>
        <w:tc>
          <w:p>
            <w:pPr>
              <w:pStyle w:val="Compact"/>
              <w:jc w:val="right"/>
            </w:pPr>
            <w:r>
              <w:t xml:space="preserve">0.1760</w:t>
            </w:r>
          </w:p>
        </w:tc>
      </w:tr>
      <w:tr>
        <w:tc>
          <w:p>
            <w:pPr>
              <w:pStyle w:val="Compact"/>
              <w:jc w:val="left"/>
            </w:pPr>
            <w:r>
              <w:t xml:space="preserve">Throat tightness</w:t>
            </w:r>
          </w:p>
        </w:tc>
        <w:tc>
          <w:p>
            <w:pPr>
              <w:pStyle w:val="Compact"/>
              <w:jc w:val="right"/>
            </w:pPr>
            <w:r>
              <w:t xml:space="preserve">14.60</w:t>
            </w:r>
          </w:p>
        </w:tc>
        <w:tc>
          <w:p>
            <w:pPr>
              <w:pStyle w:val="Compact"/>
              <w:jc w:val="right"/>
            </w:pPr>
            <w:r>
              <w:t xml:space="preserve">7.14</w:t>
            </w:r>
          </w:p>
        </w:tc>
        <w:tc>
          <w:p>
            <w:pPr>
              <w:pStyle w:val="Compact"/>
              <w:jc w:val="right"/>
            </w:pPr>
            <w:r>
              <w:t xml:space="preserve">0.2680</w:t>
            </w:r>
          </w:p>
        </w:tc>
      </w:tr>
      <w:tr>
        <w:tc>
          <w:p>
            <w:pPr>
              <w:pStyle w:val="Compact"/>
              <w:jc w:val="left"/>
            </w:pPr>
            <w:r>
              <w:t xml:space="preserve">Expiratory distress</w:t>
            </w:r>
          </w:p>
        </w:tc>
        <w:tc>
          <w:p>
            <w:pPr>
              <w:pStyle w:val="Compact"/>
              <w:jc w:val="right"/>
            </w:pPr>
            <w:r>
              <w:t xml:space="preserve">5.08</w:t>
            </w:r>
          </w:p>
        </w:tc>
        <w:tc>
          <w:p>
            <w:pPr>
              <w:pStyle w:val="Compact"/>
              <w:jc w:val="right"/>
            </w:pPr>
            <w:r>
              <w:t xml:space="preserve">26.20</w:t>
            </w:r>
          </w:p>
        </w:tc>
        <w:tc>
          <w:p>
            <w:pPr>
              <w:pStyle w:val="Compact"/>
              <w:jc w:val="right"/>
            </w:pPr>
            <w:r>
              <w:t xml:space="preserve">0.0001</w:t>
            </w:r>
          </w:p>
        </w:tc>
      </w:tr>
      <w:tr>
        <w:tc>
          <w:p>
            <w:pPr>
              <w:pStyle w:val="Compact"/>
              <w:jc w:val="left"/>
            </w:pPr>
            <w:r>
              <w:t xml:space="preserve">Inspiratory stridor</w:t>
            </w:r>
          </w:p>
        </w:tc>
        <w:tc>
          <w:p>
            <w:pPr>
              <w:pStyle w:val="Compact"/>
              <w:jc w:val="right"/>
            </w:pPr>
            <w:r>
              <w:t xml:space="preserve">5.31</w:t>
            </w:r>
          </w:p>
        </w:tc>
        <w:tc>
          <w:p>
            <w:pPr>
              <w:pStyle w:val="Compact"/>
              <w:jc w:val="right"/>
            </w:pPr>
            <w:r>
              <w:t xml:space="preserve">19.00</w:t>
            </w:r>
          </w:p>
        </w:tc>
        <w:tc>
          <w:p>
            <w:pPr>
              <w:pStyle w:val="Compact"/>
              <w:jc w:val="right"/>
            </w:pPr>
            <w:r>
              <w:t xml:space="preserve">0.0020</w:t>
            </w:r>
          </w:p>
        </w:tc>
      </w:tr>
      <w:tr>
        <w:tc>
          <w:p>
            <w:pPr>
              <w:pStyle w:val="Compact"/>
              <w:jc w:val="left"/>
            </w:pPr>
            <w:r>
              <w:t xml:space="preserve">Loss of consciousness</w:t>
            </w:r>
          </w:p>
        </w:tc>
        <w:tc>
          <w:p>
            <w:pPr>
              <w:pStyle w:val="Compact"/>
              <w:jc w:val="right"/>
            </w:pPr>
            <w:r>
              <w:t xml:space="preserve">31.90</w:t>
            </w:r>
          </w:p>
        </w:tc>
        <w:tc>
          <w:p>
            <w:pPr>
              <w:pStyle w:val="Compact"/>
              <w:jc w:val="right"/>
            </w:pPr>
            <w:r>
              <w:t xml:space="preserve">40.50</w:t>
            </w:r>
          </w:p>
        </w:tc>
        <w:tc>
          <w:p>
            <w:pPr>
              <w:pStyle w:val="Compact"/>
              <w:jc w:val="right"/>
            </w:pPr>
            <w:r>
              <w:t xml:space="preserve">0.2470</w:t>
            </w:r>
          </w:p>
        </w:tc>
      </w:tr>
      <w:tr>
        <w:tc>
          <w:p>
            <w:pPr>
              <w:pStyle w:val="Compact"/>
              <w:jc w:val="left"/>
            </w:pPr>
            <w:r>
              <w:t xml:space="preserve">Cardiac arrhythmia</w:t>
            </w:r>
          </w:p>
        </w:tc>
        <w:tc>
          <w:p>
            <w:pPr>
              <w:pStyle w:val="Compact"/>
              <w:jc w:val="right"/>
            </w:pPr>
            <w:r>
              <w:t xml:space="preserve">3.30</w:t>
            </w:r>
          </w:p>
        </w:tc>
        <w:tc>
          <w:p>
            <w:pPr>
              <w:pStyle w:val="Compact"/>
              <w:jc w:val="right"/>
            </w:pPr>
            <w:r>
              <w:t xml:space="preserve">11.90</w:t>
            </w:r>
          </w:p>
        </w:tc>
        <w:tc>
          <w:p>
            <w:pPr>
              <w:pStyle w:val="Compact"/>
              <w:jc w:val="right"/>
            </w:pPr>
            <w:r>
              <w:t xml:space="preserve">0.0130</w:t>
            </w:r>
          </w:p>
        </w:tc>
      </w:tr>
      <w:tr>
        <w:tc>
          <w:p>
            <w:pPr>
              <w:pStyle w:val="Compact"/>
              <w:jc w:val="left"/>
            </w:pPr>
            <w:r>
              <w:t xml:space="preserve">Cardiac arrest</w:t>
            </w:r>
          </w:p>
        </w:tc>
        <w:tc>
          <w:p>
            <w:pPr>
              <w:pStyle w:val="Compact"/>
              <w:jc w:val="right"/>
            </w:pPr>
            <w:r>
              <w:t xml:space="preserve">3.07</w:t>
            </w:r>
          </w:p>
        </w:tc>
        <w:tc>
          <w:p>
            <w:pPr>
              <w:pStyle w:val="Compact"/>
              <w:jc w:val="right"/>
            </w:pPr>
            <w:r>
              <w:t xml:space="preserve">42.90</w:t>
            </w:r>
          </w:p>
        </w:tc>
        <w:tc>
          <w:p>
            <w:pPr>
              <w:pStyle w:val="Compact"/>
              <w:jc w:val="right"/>
            </w:pPr>
            <w:r>
              <w:t xml:space="preserve">0.0001</w:t>
            </w:r>
          </w:p>
        </w:tc>
      </w:tr>
      <w:tr>
        <w:tc>
          <w:p>
            <w:pPr>
              <w:pStyle w:val="Compact"/>
              <w:jc w:val="left"/>
            </w:pPr>
            <w:r>
              <w:t xml:space="preserve">Vertigo</w:t>
            </w:r>
          </w:p>
        </w:tc>
        <w:tc>
          <w:p>
            <w:pPr>
              <w:pStyle w:val="Compact"/>
              <w:jc w:val="right"/>
            </w:pPr>
            <w:r>
              <w:t xml:space="preserve">38.70</w:t>
            </w:r>
          </w:p>
        </w:tc>
        <w:tc>
          <w:p>
            <w:pPr>
              <w:pStyle w:val="Compact"/>
              <w:jc w:val="right"/>
            </w:pPr>
            <w:r>
              <w:t xml:space="preserve">14.30</w:t>
            </w:r>
          </w:p>
        </w:tc>
        <w:tc>
          <w:p>
            <w:pPr>
              <w:pStyle w:val="Compact"/>
              <w:jc w:val="right"/>
            </w:pPr>
            <w:r>
              <w:t xml:space="preserve">0.0001</w:t>
            </w:r>
          </w:p>
        </w:tc>
      </w:tr>
      <w:tr>
        <w:tc>
          <w:p>
            <w:pPr>
              <w:pStyle w:val="Compact"/>
              <w:jc w:val="left"/>
            </w:pPr>
            <w:r>
              <w:t xml:space="preserve">Death</w:t>
            </w:r>
          </w:p>
        </w:tc>
        <w:tc>
          <w:p>
            <w:pPr>
              <w:pStyle w:val="Compact"/>
              <w:jc w:val="right"/>
            </w:pPr>
            <w:r>
              <w:t xml:space="preserve">0.35</w:t>
            </w:r>
          </w:p>
        </w:tc>
        <w:tc>
          <w:p>
            <w:pPr>
              <w:pStyle w:val="Compact"/>
              <w:jc w:val="right"/>
            </w:pPr>
            <w:r>
              <w:t xml:space="preserve">26.20</w:t>
            </w:r>
          </w:p>
        </w:tc>
        <w:tc>
          <w:p>
            <w:pPr>
              <w:pStyle w:val="Compact"/>
              <w:jc w:val="right"/>
            </w:pPr>
            <w:r>
              <w:t xml:space="preserve">0.0001</w:t>
            </w:r>
          </w:p>
        </w:tc>
      </w:tr>
    </w:tbl>
    <w:p>
      <w:pPr>
        <w:pStyle w:val="Heading5"/>
      </w:pPr>
      <w:bookmarkStart w:id="65" w:name="section-5"/>
      <w:bookmarkEnd w:id="65"/>
    </w:p>
    <w:p>
      <w:pPr>
        <w:pStyle w:val="TableCaption"/>
      </w:pPr>
      <w:r>
        <w:t xml:space="preserve">Table 5: Summary of therapeutic measures in the refractory anaphylaxis cases and severe, non-refractory anaphylaxis cases as a control.</w:t>
      </w:r>
      <w:r>
        <w:t xml:space="preserve"> </w:t>
      </w:r>
      <w:r>
        <w:t xml:space="preserve">‘</w:t>
      </w:r>
      <w:r>
        <w:t xml:space="preserve">2nd line</w:t>
      </w:r>
      <w:r>
        <w:t xml:space="preserve">’</w:t>
      </w:r>
      <w:r>
        <w:t xml:space="preserve"> </w:t>
      </w:r>
      <w:r>
        <w:t xml:space="preserve">refers to the therapy performed by the professional medical emergency team after the initial rescue procedures. ANA - anaphylaxis, p-value derived from the Fisher’s exact test.</w:t>
      </w:r>
    </w:p>
    <w:tbl>
      <w:tblPr>
        <w:tblStyle w:val="TableNormal"/>
        <w:tblW w:type="pct" w:w="0.0"/>
        <w:tblLook w:firstRow="1"/>
        <w:tblCaption w:val="Table 5: Summary of therapeutic measures in the refractory anaphylaxis cases and severe, non-refractory anaphylaxis cases as a control. 2nd line refers to the therapy performed by the professional medical emergency team after the initial rescue procedures. ANA - anaphylaxis, p-value derived from the Fisher’s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adrenaline i.m.</w:t>
            </w:r>
          </w:p>
        </w:tc>
        <w:tc>
          <w:p>
            <w:pPr>
              <w:pStyle w:val="Compact"/>
              <w:jc w:val="right"/>
            </w:pPr>
            <w:r>
              <w:t xml:space="preserve">8.38</w:t>
            </w:r>
          </w:p>
        </w:tc>
        <w:tc>
          <w:p>
            <w:pPr>
              <w:pStyle w:val="Compact"/>
              <w:jc w:val="right"/>
            </w:pPr>
            <w:r>
              <w:t xml:space="preserve">16.70</w:t>
            </w:r>
          </w:p>
        </w:tc>
        <w:tc>
          <w:p>
            <w:pPr>
              <w:pStyle w:val="Compact"/>
              <w:jc w:val="right"/>
            </w:pPr>
            <w:r>
              <w:t xml:space="preserve">0.0840</w:t>
            </w:r>
          </w:p>
        </w:tc>
      </w:tr>
      <w:tr>
        <w:tc>
          <w:p>
            <w:pPr>
              <w:pStyle w:val="Compact"/>
              <w:jc w:val="left"/>
            </w:pPr>
            <w:r>
              <w:t xml:space="preserve">adrenaline i.v.</w:t>
            </w:r>
          </w:p>
        </w:tc>
        <w:tc>
          <w:p>
            <w:pPr>
              <w:pStyle w:val="Compact"/>
              <w:jc w:val="right"/>
            </w:pPr>
            <w:r>
              <w:t xml:space="preserve">12.30</w:t>
            </w:r>
          </w:p>
        </w:tc>
        <w:tc>
          <w:p>
            <w:pPr>
              <w:pStyle w:val="Compact"/>
              <w:jc w:val="right"/>
            </w:pPr>
            <w:r>
              <w:t xml:space="preserve">83.30</w:t>
            </w:r>
          </w:p>
        </w:tc>
        <w:tc>
          <w:p>
            <w:pPr>
              <w:pStyle w:val="Compact"/>
              <w:jc w:val="right"/>
            </w:pPr>
            <w:r>
              <w:t xml:space="preserve">0.0001</w:t>
            </w:r>
          </w:p>
        </w:tc>
      </w:tr>
      <w:tr>
        <w:tc>
          <w:p>
            <w:pPr>
              <w:pStyle w:val="Compact"/>
              <w:jc w:val="left"/>
            </w:pPr>
            <w:r>
              <w:t xml:space="preserve">adrenaline i.v. 2nd line</w:t>
            </w:r>
          </w:p>
        </w:tc>
        <w:tc>
          <w:p>
            <w:pPr>
              <w:pStyle w:val="Compact"/>
              <w:jc w:val="right"/>
            </w:pPr>
            <w:r>
              <w:t xml:space="preserve">0.73</w:t>
            </w:r>
          </w:p>
        </w:tc>
        <w:tc>
          <w:p>
            <w:pPr>
              <w:pStyle w:val="Compact"/>
              <w:jc w:val="right"/>
            </w:pPr>
            <w:r>
              <w:t xml:space="preserve">40.50</w:t>
            </w:r>
          </w:p>
        </w:tc>
        <w:tc>
          <w:p>
            <w:pPr>
              <w:pStyle w:val="Compact"/>
              <w:jc w:val="right"/>
            </w:pPr>
            <w:r>
              <w:t xml:space="preserve">0.0001</w:t>
            </w:r>
          </w:p>
        </w:tc>
      </w:tr>
      <w:tr>
        <w:tc>
          <w:p>
            <w:pPr>
              <w:pStyle w:val="Compact"/>
              <w:jc w:val="left"/>
            </w:pPr>
            <w:r>
              <w:t xml:space="preserve">volume</w:t>
            </w:r>
          </w:p>
        </w:tc>
        <w:tc>
          <w:p>
            <w:pPr>
              <w:pStyle w:val="Compact"/>
              <w:jc w:val="right"/>
            </w:pPr>
            <w:r>
              <w:t xml:space="preserve">20.50</w:t>
            </w:r>
          </w:p>
        </w:tc>
        <w:tc>
          <w:p>
            <w:pPr>
              <w:pStyle w:val="Compact"/>
              <w:jc w:val="right"/>
            </w:pPr>
            <w:r>
              <w:t xml:space="preserve">61.90</w:t>
            </w:r>
          </w:p>
        </w:tc>
        <w:tc>
          <w:p>
            <w:pPr>
              <w:pStyle w:val="Compact"/>
              <w:jc w:val="right"/>
            </w:pPr>
            <w:r>
              <w:t xml:space="preserve">0.0001</w:t>
            </w:r>
          </w:p>
        </w:tc>
      </w:tr>
      <w:tr>
        <w:tc>
          <w:p>
            <w:pPr>
              <w:pStyle w:val="Compact"/>
              <w:jc w:val="left"/>
            </w:pPr>
            <w:r>
              <w:t xml:space="preserve">volume, 2nd line</w:t>
            </w:r>
          </w:p>
        </w:tc>
        <w:tc>
          <w:p>
            <w:pPr>
              <w:pStyle w:val="Compact"/>
              <w:jc w:val="right"/>
            </w:pPr>
            <w:r>
              <w:t xml:space="preserve">3.34</w:t>
            </w:r>
          </w:p>
        </w:tc>
        <w:tc>
          <w:p>
            <w:pPr>
              <w:pStyle w:val="Compact"/>
              <w:jc w:val="right"/>
            </w:pPr>
            <w:r>
              <w:t xml:space="preserve">19.00</w:t>
            </w:r>
          </w:p>
        </w:tc>
        <w:tc>
          <w:p>
            <w:pPr>
              <w:pStyle w:val="Compact"/>
              <w:jc w:val="right"/>
            </w:pPr>
            <w:r>
              <w:t xml:space="preserve">0.0001</w:t>
            </w:r>
          </w:p>
        </w:tc>
      </w:tr>
      <w:tr>
        <w:tc>
          <w:p>
            <w:pPr>
              <w:pStyle w:val="Compact"/>
              <w:jc w:val="left"/>
            </w:pPr>
            <w:r>
              <w:t xml:space="preserve">antihistaminics i.v.</w:t>
            </w:r>
          </w:p>
        </w:tc>
        <w:tc>
          <w:p>
            <w:pPr>
              <w:pStyle w:val="Compact"/>
              <w:jc w:val="right"/>
            </w:pPr>
            <w:r>
              <w:t xml:space="preserve">40.90</w:t>
            </w:r>
          </w:p>
        </w:tc>
        <w:tc>
          <w:p>
            <w:pPr>
              <w:pStyle w:val="Compact"/>
              <w:jc w:val="right"/>
            </w:pPr>
            <w:r>
              <w:t xml:space="preserve">64.30</w:t>
            </w:r>
          </w:p>
        </w:tc>
        <w:tc>
          <w:p>
            <w:pPr>
              <w:pStyle w:val="Compact"/>
              <w:jc w:val="right"/>
            </w:pPr>
            <w:r>
              <w:t xml:space="preserve">0.0030</w:t>
            </w:r>
          </w:p>
        </w:tc>
      </w:tr>
      <w:tr>
        <w:tc>
          <w:p>
            <w:pPr>
              <w:pStyle w:val="Compact"/>
              <w:jc w:val="left"/>
            </w:pPr>
            <w:r>
              <w:t xml:space="preserve">antihistaminics i.v. 2nd line</w:t>
            </w:r>
          </w:p>
        </w:tc>
        <w:tc>
          <w:p>
            <w:pPr>
              <w:pStyle w:val="Compact"/>
              <w:jc w:val="right"/>
            </w:pPr>
            <w:r>
              <w:t xml:space="preserve">3.84</w:t>
            </w:r>
          </w:p>
        </w:tc>
        <w:tc>
          <w:p>
            <w:pPr>
              <w:pStyle w:val="Compact"/>
              <w:jc w:val="right"/>
            </w:pPr>
            <w:r>
              <w:t xml:space="preserve">21.40</w:t>
            </w:r>
          </w:p>
        </w:tc>
        <w:tc>
          <w:p>
            <w:pPr>
              <w:pStyle w:val="Compact"/>
              <w:jc w:val="right"/>
            </w:pPr>
            <w:r>
              <w:t xml:space="preserve">0.0001</w:t>
            </w:r>
          </w:p>
        </w:tc>
      </w:tr>
      <w:tr>
        <w:tc>
          <w:p>
            <w:pPr>
              <w:pStyle w:val="Compact"/>
              <w:jc w:val="left"/>
            </w:pPr>
            <w:r>
              <w:t xml:space="preserve">corticosteroids, all routes</w:t>
            </w:r>
          </w:p>
        </w:tc>
        <w:tc>
          <w:p>
            <w:pPr>
              <w:pStyle w:val="Compact"/>
              <w:jc w:val="right"/>
            </w:pPr>
            <w:r>
              <w:t xml:space="preserve">5.52</w:t>
            </w:r>
          </w:p>
        </w:tc>
        <w:tc>
          <w:p>
            <w:pPr>
              <w:pStyle w:val="Compact"/>
              <w:jc w:val="right"/>
            </w:pPr>
            <w:r>
              <w:t xml:space="preserve">7.14</w:t>
            </w:r>
          </w:p>
        </w:tc>
        <w:tc>
          <w:p>
            <w:pPr>
              <w:pStyle w:val="Compact"/>
              <w:jc w:val="right"/>
            </w:pPr>
            <w:r>
              <w:t xml:space="preserve">0.5040</w:t>
            </w:r>
          </w:p>
        </w:tc>
      </w:tr>
      <w:tr>
        <w:tc>
          <w:p>
            <w:pPr>
              <w:pStyle w:val="Compact"/>
              <w:jc w:val="left"/>
            </w:pPr>
            <w:r>
              <w:t xml:space="preserve">corticosteroids i.v.</w:t>
            </w:r>
          </w:p>
        </w:tc>
        <w:tc>
          <w:p>
            <w:pPr>
              <w:pStyle w:val="Compact"/>
              <w:jc w:val="right"/>
            </w:pPr>
            <w:r>
              <w:t xml:space="preserve">48.80</w:t>
            </w:r>
          </w:p>
        </w:tc>
        <w:tc>
          <w:p>
            <w:pPr>
              <w:pStyle w:val="Compact"/>
              <w:jc w:val="right"/>
            </w:pPr>
            <w:r>
              <w:t xml:space="preserve">73.80</w:t>
            </w:r>
          </w:p>
        </w:tc>
        <w:tc>
          <w:p>
            <w:pPr>
              <w:pStyle w:val="Compact"/>
              <w:jc w:val="right"/>
            </w:pPr>
            <w:r>
              <w:t xml:space="preserve">0.0020</w:t>
            </w:r>
          </w:p>
        </w:tc>
      </w:tr>
      <w:tr>
        <w:tc>
          <w:p>
            <w:pPr>
              <w:pStyle w:val="Compact"/>
              <w:jc w:val="left"/>
            </w:pPr>
            <w:r>
              <w:t xml:space="preserve">corticosteroids i.v. 2nd line</w:t>
            </w:r>
          </w:p>
        </w:tc>
        <w:tc>
          <w:p>
            <w:pPr>
              <w:pStyle w:val="Compact"/>
              <w:jc w:val="right"/>
            </w:pPr>
            <w:r>
              <w:t xml:space="preserve">5.37</w:t>
            </w:r>
          </w:p>
        </w:tc>
        <w:tc>
          <w:p>
            <w:pPr>
              <w:pStyle w:val="Compact"/>
              <w:jc w:val="right"/>
            </w:pPr>
            <w:r>
              <w:t xml:space="preserve">28.60</w:t>
            </w:r>
          </w:p>
        </w:tc>
        <w:tc>
          <w:p>
            <w:pPr>
              <w:pStyle w:val="Compact"/>
              <w:jc w:val="right"/>
            </w:pPr>
            <w:r>
              <w:t xml:space="preserve">0.0001</w:t>
            </w:r>
          </w:p>
        </w:tc>
      </w:tr>
      <w:tr>
        <w:tc>
          <w:p>
            <w:pPr>
              <w:pStyle w:val="Compact"/>
              <w:jc w:val="left"/>
            </w:pPr>
            <w:r>
              <w:t xml:space="preserve">beta-2-mimetics i.v.</w:t>
            </w:r>
          </w:p>
        </w:tc>
        <w:tc>
          <w:p>
            <w:pPr>
              <w:pStyle w:val="Compact"/>
              <w:jc w:val="right"/>
            </w:pPr>
            <w:r>
              <w:t xml:space="preserve">0.66</w:t>
            </w:r>
          </w:p>
        </w:tc>
        <w:tc>
          <w:p>
            <w:pPr>
              <w:pStyle w:val="Compact"/>
              <w:jc w:val="right"/>
            </w:pPr>
            <w:r>
              <w:t xml:space="preserve">2.38</w:t>
            </w:r>
          </w:p>
        </w:tc>
        <w:tc>
          <w:p>
            <w:pPr>
              <w:pStyle w:val="Compact"/>
              <w:jc w:val="right"/>
            </w:pPr>
            <w:r>
              <w:t xml:space="preserve">0.2500</w:t>
            </w:r>
          </w:p>
        </w:tc>
      </w:tr>
      <w:tr>
        <w:tc>
          <w:p>
            <w:pPr>
              <w:pStyle w:val="Compact"/>
              <w:jc w:val="left"/>
            </w:pPr>
            <w:r>
              <w:t xml:space="preserve">beta-2-mimetics inh. 2nd line</w:t>
            </w:r>
          </w:p>
        </w:tc>
        <w:tc>
          <w:p>
            <w:pPr>
              <w:pStyle w:val="Compact"/>
              <w:jc w:val="right"/>
            </w:pPr>
            <w:r>
              <w:t xml:space="preserve">0.75</w:t>
            </w:r>
          </w:p>
        </w:tc>
        <w:tc>
          <w:p>
            <w:pPr>
              <w:pStyle w:val="Compact"/>
              <w:jc w:val="right"/>
            </w:pPr>
            <w:r>
              <w:t xml:space="preserve">7.14</w:t>
            </w:r>
          </w:p>
        </w:tc>
        <w:tc>
          <w:p>
            <w:pPr>
              <w:pStyle w:val="Compact"/>
              <w:jc w:val="right"/>
            </w:pPr>
            <w:r>
              <w:t xml:space="preserve">0.0040</w:t>
            </w:r>
          </w:p>
        </w:tc>
      </w:tr>
      <w:tr>
        <w:tc>
          <w:p>
            <w:pPr>
              <w:pStyle w:val="Compact"/>
              <w:jc w:val="left"/>
            </w:pPr>
            <w:r>
              <w:t xml:space="preserve">theophylline i.v.</w:t>
            </w:r>
          </w:p>
        </w:tc>
        <w:tc>
          <w:p>
            <w:pPr>
              <w:pStyle w:val="Compact"/>
              <w:jc w:val="right"/>
            </w:pPr>
            <w:r>
              <w:t xml:space="preserve">0.42</w:t>
            </w:r>
          </w:p>
        </w:tc>
        <w:tc>
          <w:p>
            <w:pPr>
              <w:pStyle w:val="Compact"/>
              <w:jc w:val="right"/>
            </w:pPr>
            <w:r>
              <w:t xml:space="preserve">0.00</w:t>
            </w:r>
          </w:p>
        </w:tc>
        <w:tc>
          <w:p>
            <w:pPr>
              <w:pStyle w:val="Compact"/>
              <w:jc w:val="right"/>
            </w:pPr>
            <w:r>
              <w:t xml:space="preserve">1.0000</w:t>
            </w:r>
          </w:p>
        </w:tc>
      </w:tr>
      <w:tr>
        <w:tc>
          <w:p>
            <w:pPr>
              <w:pStyle w:val="Compact"/>
              <w:jc w:val="left"/>
            </w:pPr>
            <w:r>
              <w:t xml:space="preserve">100% oxygen</w:t>
            </w:r>
          </w:p>
        </w:tc>
        <w:tc>
          <w:p>
            <w:pPr>
              <w:pStyle w:val="Compact"/>
              <w:jc w:val="right"/>
            </w:pPr>
            <w:r>
              <w:t xml:space="preserve">9.42</w:t>
            </w:r>
          </w:p>
        </w:tc>
        <w:tc>
          <w:p>
            <w:pPr>
              <w:pStyle w:val="Compact"/>
              <w:jc w:val="right"/>
            </w:pPr>
            <w:r>
              <w:t xml:space="preserve">47.60</w:t>
            </w:r>
          </w:p>
        </w:tc>
        <w:tc>
          <w:p>
            <w:pPr>
              <w:pStyle w:val="Compact"/>
              <w:jc w:val="right"/>
            </w:pPr>
            <w:r>
              <w:t xml:space="preserve">0.0001</w:t>
            </w:r>
          </w:p>
        </w:tc>
      </w:tr>
      <w:tr>
        <w:tc>
          <w:p>
            <w:pPr>
              <w:pStyle w:val="Compact"/>
              <w:jc w:val="left"/>
            </w:pPr>
            <w:r>
              <w:t xml:space="preserve">dopamine i.v.</w:t>
            </w:r>
          </w:p>
        </w:tc>
        <w:tc>
          <w:p>
            <w:pPr>
              <w:pStyle w:val="Compact"/>
              <w:jc w:val="right"/>
            </w:pPr>
            <w:r>
              <w:t xml:space="preserve">0.04</w:t>
            </w:r>
          </w:p>
        </w:tc>
        <w:tc>
          <w:p>
            <w:pPr>
              <w:pStyle w:val="Compact"/>
              <w:jc w:val="right"/>
            </w:pPr>
            <w:r>
              <w:t xml:space="preserve">0.00</w:t>
            </w:r>
          </w:p>
        </w:tc>
        <w:tc>
          <w:p>
            <w:pPr>
              <w:pStyle w:val="Compact"/>
              <w:jc w:val="right"/>
            </w:pPr>
            <w:r>
              <w:t xml:space="preserve">1.0000</w:t>
            </w:r>
          </w:p>
        </w:tc>
      </w:tr>
      <w:tr>
        <w:tc>
          <w:p>
            <w:pPr>
              <w:pStyle w:val="Compact"/>
              <w:jc w:val="left"/>
            </w:pPr>
            <w:r>
              <w:t xml:space="preserve">glucagon i.v.</w:t>
            </w:r>
          </w:p>
        </w:tc>
        <w:tc>
          <w:p>
            <w:pPr>
              <w:pStyle w:val="Compact"/>
              <w:jc w:val="right"/>
            </w:pPr>
            <w:r>
              <w:t xml:space="preserve">0.02</w:t>
            </w:r>
          </w:p>
        </w:tc>
        <w:tc>
          <w:p>
            <w:pPr>
              <w:pStyle w:val="Compact"/>
              <w:jc w:val="right"/>
            </w:pPr>
            <w:r>
              <w:t xml:space="preserve">0.00</w:t>
            </w:r>
          </w:p>
        </w:tc>
        <w:tc>
          <w:p>
            <w:pPr>
              <w:pStyle w:val="Compact"/>
              <w:jc w:val="right"/>
            </w:pPr>
            <w:r>
              <w:t xml:space="preserve">1.0000</w:t>
            </w:r>
          </w:p>
        </w:tc>
      </w:tr>
      <w:tr>
        <w:tc>
          <w:p>
            <w:pPr>
              <w:pStyle w:val="Compact"/>
              <w:jc w:val="left"/>
            </w:pPr>
            <w:r>
              <w:t xml:space="preserve">methylene blue</w:t>
            </w:r>
          </w:p>
        </w:tc>
        <w:tc>
          <w:p>
            <w:pPr>
              <w:pStyle w:val="Compact"/>
              <w:jc w:val="right"/>
            </w:pPr>
            <w:r>
              <w:t xml:space="preserve">0.00</w:t>
            </w:r>
          </w:p>
        </w:tc>
        <w:tc>
          <w:p>
            <w:pPr>
              <w:pStyle w:val="Compact"/>
              <w:jc w:val="right"/>
            </w:pPr>
            <w:r>
              <w:t xml:space="preserve">0.00</w:t>
            </w:r>
          </w:p>
        </w:tc>
        <w:tc>
          <w:p>
            <w:pPr>
              <w:pStyle w:val="Compact"/>
              <w:jc w:val="right"/>
            </w:pPr>
            <w:r>
              <w:t xml:space="preserve">1.0000</w:t>
            </w:r>
          </w:p>
        </w:tc>
      </w:tr>
      <w:tr>
        <w:tc>
          <w:p>
            <w:pPr>
              <w:pStyle w:val="Compact"/>
              <w:jc w:val="left"/>
            </w:pPr>
            <w:r>
              <w:t xml:space="preserve">hospital admission</w:t>
            </w:r>
          </w:p>
        </w:tc>
        <w:tc>
          <w:p>
            <w:pPr>
              <w:pStyle w:val="Compact"/>
              <w:jc w:val="right"/>
            </w:pPr>
            <w:r>
              <w:t xml:space="preserve">28.00</w:t>
            </w:r>
          </w:p>
        </w:tc>
        <w:tc>
          <w:p>
            <w:pPr>
              <w:pStyle w:val="Compact"/>
              <w:jc w:val="right"/>
            </w:pPr>
            <w:r>
              <w:t xml:space="preserve">85.70</w:t>
            </w:r>
          </w:p>
        </w:tc>
        <w:tc>
          <w:p>
            <w:pPr>
              <w:pStyle w:val="Compact"/>
              <w:jc w:val="right"/>
            </w:pPr>
            <w:r>
              <w:t xml:space="preserve">0.0001</w:t>
            </w:r>
          </w:p>
        </w:tc>
      </w:tr>
      <w:tr>
        <w:tc>
          <w:p>
            <w:pPr>
              <w:pStyle w:val="Compact"/>
              <w:jc w:val="left"/>
            </w:pPr>
            <w:r>
              <w:t xml:space="preserve">intensive care</w:t>
            </w:r>
          </w:p>
        </w:tc>
        <w:tc>
          <w:p>
            <w:pPr>
              <w:pStyle w:val="Compact"/>
              <w:jc w:val="right"/>
            </w:pPr>
            <w:r>
              <w:t xml:space="preserve">7.55</w:t>
            </w:r>
          </w:p>
        </w:tc>
        <w:tc>
          <w:p>
            <w:pPr>
              <w:pStyle w:val="Compact"/>
              <w:jc w:val="right"/>
            </w:pPr>
            <w:r>
              <w:t xml:space="preserve">78.60</w:t>
            </w:r>
          </w:p>
        </w:tc>
        <w:tc>
          <w:p>
            <w:pPr>
              <w:pStyle w:val="Compact"/>
              <w:jc w:val="right"/>
            </w:pPr>
            <w:r>
              <w:t xml:space="preserve">0.0001</w:t>
            </w:r>
          </w:p>
        </w:tc>
      </w:tr>
    </w:tbl>
    <w:p>
      <w:pPr>
        <w:pStyle w:val="Heading5"/>
      </w:pPr>
      <w:bookmarkStart w:id="66" w:name="section-6"/>
      <w:bookmarkEnd w:id="66"/>
    </w:p>
    <w:p>
      <w:pPr>
        <w:pStyle w:val="TableCaption"/>
      </w:pPr>
      <w:r>
        <w:t xml:space="preserve">Table 6: Factors potentially increasing the risk of a severe anaphylaxis investigated in refractory cases. ANA - anaphylaxis, p-value derived from the Fisher’s exact test.</w:t>
      </w:r>
    </w:p>
    <w:tbl>
      <w:tblPr>
        <w:tblStyle w:val="TableNormal"/>
        <w:tblW w:type="pct" w:w="0.0"/>
        <w:tblLook w:firstRow="1"/>
        <w:tblCaption w:val="Table 6: Factors potentially increasing the risk of a severe anaphylaxis investigated in refractory cases. ANA - anaphylaxis, p-value derived from the Fisher’s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Concomitant asthma</w:t>
            </w:r>
          </w:p>
        </w:tc>
        <w:tc>
          <w:p>
            <w:pPr>
              <w:pStyle w:val="Compact"/>
              <w:jc w:val="right"/>
            </w:pPr>
            <w:r>
              <w:t xml:space="preserve">11.50</w:t>
            </w:r>
          </w:p>
        </w:tc>
        <w:tc>
          <w:p>
            <w:pPr>
              <w:pStyle w:val="Compact"/>
              <w:jc w:val="right"/>
            </w:pPr>
            <w:r>
              <w:t xml:space="preserve">28.60</w:t>
            </w:r>
          </w:p>
        </w:tc>
        <w:tc>
          <w:p>
            <w:pPr>
              <w:pStyle w:val="Compact"/>
              <w:jc w:val="right"/>
            </w:pPr>
            <w:r>
              <w:t xml:space="preserve">0.0020</w:t>
            </w:r>
          </w:p>
        </w:tc>
      </w:tr>
      <w:tr>
        <w:tc>
          <w:p>
            <w:pPr>
              <w:pStyle w:val="Compact"/>
              <w:jc w:val="left"/>
            </w:pPr>
            <w:r>
              <w:t xml:space="preserve">Concomitant AD</w:t>
            </w:r>
          </w:p>
        </w:tc>
        <w:tc>
          <w:p>
            <w:pPr>
              <w:pStyle w:val="Compact"/>
              <w:jc w:val="right"/>
            </w:pPr>
            <w:r>
              <w:t xml:space="preserve">6.49</w:t>
            </w:r>
          </w:p>
        </w:tc>
        <w:tc>
          <w:p>
            <w:pPr>
              <w:pStyle w:val="Compact"/>
              <w:jc w:val="right"/>
            </w:pPr>
            <w:r>
              <w:t xml:space="preserve">11.90</w:t>
            </w:r>
          </w:p>
        </w:tc>
        <w:tc>
          <w:p>
            <w:pPr>
              <w:pStyle w:val="Compact"/>
              <w:jc w:val="right"/>
            </w:pPr>
            <w:r>
              <w:t xml:space="preserve">0.1940</w:t>
            </w:r>
          </w:p>
        </w:tc>
      </w:tr>
      <w:tr>
        <w:tc>
          <w:p>
            <w:pPr>
              <w:pStyle w:val="Compact"/>
              <w:jc w:val="left"/>
            </w:pPr>
            <w:r>
              <w:t xml:space="preserve">Concomitant diabetes</w:t>
            </w:r>
          </w:p>
        </w:tc>
        <w:tc>
          <w:p>
            <w:pPr>
              <w:pStyle w:val="Compact"/>
              <w:jc w:val="right"/>
            </w:pPr>
            <w:r>
              <w:t xml:space="preserve">2.93</w:t>
            </w:r>
          </w:p>
        </w:tc>
        <w:tc>
          <w:p>
            <w:pPr>
              <w:pStyle w:val="Compact"/>
              <w:jc w:val="right"/>
            </w:pPr>
            <w:r>
              <w:t xml:space="preserve">11.90</w:t>
            </w:r>
          </w:p>
        </w:tc>
        <w:tc>
          <w:p>
            <w:pPr>
              <w:pStyle w:val="Compact"/>
              <w:jc w:val="right"/>
            </w:pPr>
            <w:r>
              <w:t xml:space="preserve">0.0080</w:t>
            </w:r>
          </w:p>
        </w:tc>
      </w:tr>
      <w:tr>
        <w:tc>
          <w:p>
            <w:pPr>
              <w:pStyle w:val="Compact"/>
              <w:jc w:val="left"/>
            </w:pPr>
            <w:r>
              <w:t xml:space="preserve">Concomitant cardiologic condition</w:t>
            </w:r>
          </w:p>
        </w:tc>
        <w:tc>
          <w:p>
            <w:pPr>
              <w:pStyle w:val="Compact"/>
              <w:jc w:val="right"/>
            </w:pPr>
            <w:r>
              <w:t xml:space="preserve">21.70</w:t>
            </w:r>
          </w:p>
        </w:tc>
        <w:tc>
          <w:p>
            <w:pPr>
              <w:pStyle w:val="Compact"/>
              <w:jc w:val="right"/>
            </w:pPr>
            <w:r>
              <w:t xml:space="preserve">31.00</w:t>
            </w:r>
          </w:p>
        </w:tc>
        <w:tc>
          <w:p>
            <w:pPr>
              <w:pStyle w:val="Compact"/>
              <w:jc w:val="right"/>
            </w:pPr>
            <w:r>
              <w:t xml:space="preserve">0.1860</w:t>
            </w:r>
          </w:p>
        </w:tc>
      </w:tr>
      <w:tr>
        <w:tc>
          <w:p>
            <w:pPr>
              <w:pStyle w:val="Compact"/>
              <w:jc w:val="left"/>
            </w:pPr>
            <w:r>
              <w:t xml:space="preserve">Concomitant infection</w:t>
            </w:r>
          </w:p>
        </w:tc>
        <w:tc>
          <w:p>
            <w:pPr>
              <w:pStyle w:val="Compact"/>
              <w:jc w:val="right"/>
            </w:pPr>
            <w:r>
              <w:t xml:space="preserve">3.20</w:t>
            </w:r>
          </w:p>
        </w:tc>
        <w:tc>
          <w:p>
            <w:pPr>
              <w:pStyle w:val="Compact"/>
              <w:jc w:val="right"/>
            </w:pPr>
            <w:r>
              <w:t xml:space="preserve">4.76</w:t>
            </w:r>
          </w:p>
        </w:tc>
        <w:tc>
          <w:p>
            <w:pPr>
              <w:pStyle w:val="Compact"/>
              <w:jc w:val="right"/>
            </w:pPr>
            <w:r>
              <w:t xml:space="preserve">0.3920</w:t>
            </w:r>
          </w:p>
        </w:tc>
      </w:tr>
      <w:tr>
        <w:tc>
          <w:p>
            <w:pPr>
              <w:pStyle w:val="Compact"/>
              <w:jc w:val="left"/>
            </w:pPr>
            <w:r>
              <w:t xml:space="preserve">History of malignant disease</w:t>
            </w:r>
          </w:p>
        </w:tc>
        <w:tc>
          <w:p>
            <w:pPr>
              <w:pStyle w:val="Compact"/>
              <w:jc w:val="right"/>
            </w:pPr>
            <w:r>
              <w:t xml:space="preserve">2.07</w:t>
            </w:r>
          </w:p>
        </w:tc>
        <w:tc>
          <w:p>
            <w:pPr>
              <w:pStyle w:val="Compact"/>
              <w:jc w:val="right"/>
            </w:pPr>
            <w:r>
              <w:t xml:space="preserve">9.52</w:t>
            </w:r>
          </w:p>
        </w:tc>
        <w:tc>
          <w:p>
            <w:pPr>
              <w:pStyle w:val="Compact"/>
              <w:jc w:val="right"/>
            </w:pPr>
            <w:r>
              <w:t xml:space="preserve">0.0120</w:t>
            </w:r>
          </w:p>
        </w:tc>
      </w:tr>
      <w:tr>
        <w:tc>
          <w:p>
            <w:pPr>
              <w:pStyle w:val="Compact"/>
              <w:jc w:val="left"/>
            </w:pPr>
            <w:r>
              <w:t xml:space="preserve">Concomitant mastocytosis</w:t>
            </w:r>
          </w:p>
        </w:tc>
        <w:tc>
          <w:p>
            <w:pPr>
              <w:pStyle w:val="Compact"/>
              <w:jc w:val="right"/>
            </w:pPr>
            <w:r>
              <w:t xml:space="preserve">2.55</w:t>
            </w:r>
          </w:p>
        </w:tc>
        <w:tc>
          <w:p>
            <w:pPr>
              <w:pStyle w:val="Compact"/>
              <w:jc w:val="right"/>
            </w:pPr>
            <w:r>
              <w:t xml:space="preserve">7.14</w:t>
            </w:r>
          </w:p>
        </w:tc>
        <w:tc>
          <w:p>
            <w:pPr>
              <w:pStyle w:val="Compact"/>
              <w:jc w:val="right"/>
            </w:pPr>
            <w:r>
              <w:t xml:space="preserve">0.0940</w:t>
            </w:r>
          </w:p>
        </w:tc>
      </w:tr>
      <w:tr>
        <w:tc>
          <w:p>
            <w:pPr>
              <w:pStyle w:val="Compact"/>
              <w:jc w:val="left"/>
            </w:pPr>
            <w:r>
              <w:t xml:space="preserve">Concomitant other disease - unspecified</w:t>
            </w:r>
          </w:p>
        </w:tc>
        <w:tc>
          <w:p>
            <w:pPr>
              <w:pStyle w:val="Compact"/>
              <w:jc w:val="right"/>
            </w:pPr>
            <w:r>
              <w:t xml:space="preserve">14.90</w:t>
            </w:r>
          </w:p>
        </w:tc>
        <w:tc>
          <w:p>
            <w:pPr>
              <w:pStyle w:val="Compact"/>
              <w:jc w:val="right"/>
            </w:pPr>
            <w:r>
              <w:t xml:space="preserve">35.70</w:t>
            </w:r>
          </w:p>
        </w:tc>
        <w:tc>
          <w:p>
            <w:pPr>
              <w:pStyle w:val="Compact"/>
              <w:jc w:val="right"/>
            </w:pPr>
            <w:r>
              <w:t xml:space="preserve">0.0001</w:t>
            </w:r>
          </w:p>
        </w:tc>
      </w:tr>
      <w:tr>
        <w:tc>
          <w:p>
            <w:pPr>
              <w:pStyle w:val="Compact"/>
              <w:jc w:val="left"/>
            </w:pPr>
            <w:r>
              <w:t xml:space="preserve">Exercise prior to reaction</w:t>
            </w:r>
          </w:p>
        </w:tc>
        <w:tc>
          <w:p>
            <w:pPr>
              <w:pStyle w:val="Compact"/>
              <w:jc w:val="right"/>
            </w:pPr>
            <w:r>
              <w:t xml:space="preserve">25.20</w:t>
            </w:r>
          </w:p>
        </w:tc>
        <w:tc>
          <w:p>
            <w:pPr>
              <w:pStyle w:val="Compact"/>
              <w:jc w:val="right"/>
            </w:pPr>
            <w:r>
              <w:t xml:space="preserve">21.40</w:t>
            </w:r>
          </w:p>
        </w:tc>
        <w:tc>
          <w:p>
            <w:pPr>
              <w:pStyle w:val="Compact"/>
              <w:jc w:val="right"/>
            </w:pPr>
            <w:r>
              <w:t xml:space="preserve">0.7210</w:t>
            </w:r>
          </w:p>
        </w:tc>
      </w:tr>
      <w:tr>
        <w:tc>
          <w:p>
            <w:pPr>
              <w:pStyle w:val="Compact"/>
              <w:jc w:val="left"/>
            </w:pPr>
            <w:r>
              <w:t xml:space="preserve">Psychological burden</w:t>
            </w:r>
          </w:p>
        </w:tc>
        <w:tc>
          <w:p>
            <w:pPr>
              <w:pStyle w:val="Compact"/>
              <w:jc w:val="right"/>
            </w:pPr>
            <w:r>
              <w:t xml:space="preserve">6.78</w:t>
            </w:r>
          </w:p>
        </w:tc>
        <w:tc>
          <w:p>
            <w:pPr>
              <w:pStyle w:val="Compact"/>
              <w:jc w:val="right"/>
            </w:pPr>
            <w:r>
              <w:t xml:space="preserve">26.20</w:t>
            </w:r>
          </w:p>
        </w:tc>
        <w:tc>
          <w:p>
            <w:pPr>
              <w:pStyle w:val="Compact"/>
              <w:jc w:val="right"/>
            </w:pPr>
            <w:r>
              <w:t xml:space="preserve">0.0001</w:t>
            </w:r>
          </w:p>
        </w:tc>
      </w:tr>
      <w:tr>
        <w:tc>
          <w:p>
            <w:pPr>
              <w:pStyle w:val="Compact"/>
              <w:jc w:val="left"/>
            </w:pPr>
            <w:r>
              <w:t xml:space="preserve">Concomitant medication</w:t>
            </w:r>
          </w:p>
        </w:tc>
        <w:tc>
          <w:p>
            <w:pPr>
              <w:pStyle w:val="Compact"/>
              <w:jc w:val="right"/>
            </w:pPr>
            <w:r>
              <w:t xml:space="preserve">35.90</w:t>
            </w:r>
          </w:p>
        </w:tc>
        <w:tc>
          <w:p>
            <w:pPr>
              <w:pStyle w:val="Compact"/>
              <w:jc w:val="right"/>
            </w:pPr>
            <w:r>
              <w:t xml:space="preserve">54.80</w:t>
            </w:r>
          </w:p>
        </w:tc>
        <w:tc>
          <w:p>
            <w:pPr>
              <w:pStyle w:val="Compact"/>
              <w:jc w:val="right"/>
            </w:pPr>
            <w:r>
              <w:t xml:space="preserve">0.0150</w:t>
            </w:r>
          </w:p>
        </w:tc>
      </w:tr>
      <w:tr>
        <w:tc>
          <w:p>
            <w:pPr>
              <w:pStyle w:val="Compact"/>
              <w:jc w:val="left"/>
            </w:pPr>
            <w:r>
              <w:t xml:space="preserve">ASA</w:t>
            </w:r>
          </w:p>
        </w:tc>
        <w:tc>
          <w:p>
            <w:pPr>
              <w:pStyle w:val="Compact"/>
              <w:jc w:val="right"/>
            </w:pPr>
            <w:r>
              <w:t xml:space="preserve">5.87</w:t>
            </w:r>
          </w:p>
        </w:tc>
        <w:tc>
          <w:p>
            <w:pPr>
              <w:pStyle w:val="Compact"/>
              <w:jc w:val="right"/>
            </w:pPr>
            <w:r>
              <w:t xml:space="preserve">16.70</w:t>
            </w:r>
          </w:p>
        </w:tc>
        <w:tc>
          <w:p>
            <w:pPr>
              <w:pStyle w:val="Compact"/>
              <w:jc w:val="right"/>
            </w:pPr>
            <w:r>
              <w:t xml:space="preserve">0.0110</w:t>
            </w:r>
          </w:p>
        </w:tc>
      </w:tr>
      <w:tr>
        <w:tc>
          <w:p>
            <w:pPr>
              <w:pStyle w:val="Compact"/>
              <w:jc w:val="left"/>
            </w:pPr>
            <w:r>
              <w:t xml:space="preserve">Beta-blockers</w:t>
            </w:r>
          </w:p>
        </w:tc>
        <w:tc>
          <w:p>
            <w:pPr>
              <w:pStyle w:val="Compact"/>
              <w:jc w:val="right"/>
            </w:pPr>
            <w:r>
              <w:t xml:space="preserve">9.96</w:t>
            </w:r>
          </w:p>
        </w:tc>
        <w:tc>
          <w:p>
            <w:pPr>
              <w:pStyle w:val="Compact"/>
              <w:jc w:val="right"/>
            </w:pPr>
            <w:r>
              <w:t xml:space="preserve">14.30</w:t>
            </w:r>
          </w:p>
        </w:tc>
        <w:tc>
          <w:p>
            <w:pPr>
              <w:pStyle w:val="Compact"/>
              <w:jc w:val="right"/>
            </w:pPr>
            <w:r>
              <w:t xml:space="preserve">0.3060</w:t>
            </w:r>
          </w:p>
        </w:tc>
      </w:tr>
      <w:tr>
        <w:tc>
          <w:p>
            <w:pPr>
              <w:pStyle w:val="Compact"/>
              <w:jc w:val="left"/>
            </w:pPr>
            <w:r>
              <w:t xml:space="preserve">PPI</w:t>
            </w:r>
          </w:p>
        </w:tc>
        <w:tc>
          <w:p>
            <w:pPr>
              <w:pStyle w:val="Compact"/>
              <w:jc w:val="right"/>
            </w:pPr>
            <w:r>
              <w:t xml:space="preserve">2.93</w:t>
            </w:r>
          </w:p>
        </w:tc>
        <w:tc>
          <w:p>
            <w:pPr>
              <w:pStyle w:val="Compact"/>
              <w:jc w:val="right"/>
            </w:pPr>
            <w:r>
              <w:t xml:space="preserve">16.70</w:t>
            </w:r>
          </w:p>
        </w:tc>
        <w:tc>
          <w:p>
            <w:pPr>
              <w:pStyle w:val="Compact"/>
              <w:jc w:val="right"/>
            </w:pPr>
            <w:r>
              <w:t xml:space="preserve">0.0001</w:t>
            </w:r>
          </w:p>
        </w:tc>
      </w:tr>
      <w:tr>
        <w:tc>
          <w:p>
            <w:pPr>
              <w:pStyle w:val="Compact"/>
              <w:jc w:val="left"/>
            </w:pPr>
            <w:r>
              <w:t xml:space="preserve">Other drugs</w:t>
            </w:r>
          </w:p>
        </w:tc>
        <w:tc>
          <w:p>
            <w:pPr>
              <w:pStyle w:val="Compact"/>
              <w:jc w:val="right"/>
            </w:pPr>
            <w:r>
              <w:t xml:space="preserve">17.40</w:t>
            </w:r>
          </w:p>
        </w:tc>
        <w:tc>
          <w:p>
            <w:pPr>
              <w:pStyle w:val="Compact"/>
              <w:jc w:val="right"/>
            </w:pPr>
            <w:r>
              <w:t xml:space="preserve">40.50</w:t>
            </w:r>
          </w:p>
        </w:tc>
        <w:tc>
          <w:p>
            <w:pPr>
              <w:pStyle w:val="Compact"/>
              <w:jc w:val="right"/>
            </w:pPr>
            <w:r>
              <w:t xml:space="preserve">0.0001</w:t>
            </w:r>
          </w:p>
        </w:tc>
      </w:tr>
      <w:tr>
        <w:tc>
          <w:p>
            <w:pPr>
              <w:pStyle w:val="Compact"/>
              <w:jc w:val="left"/>
            </w:pPr>
            <w:r>
              <w:t xml:space="preserve">Alcohol use prior to the reaction</w:t>
            </w:r>
          </w:p>
        </w:tc>
        <w:tc>
          <w:p>
            <w:pPr>
              <w:pStyle w:val="Compact"/>
              <w:jc w:val="right"/>
            </w:pPr>
            <w:r>
              <w:t xml:space="preserve">4.67</w:t>
            </w:r>
          </w:p>
        </w:tc>
        <w:tc>
          <w:p>
            <w:pPr>
              <w:pStyle w:val="Compact"/>
              <w:jc w:val="right"/>
            </w:pPr>
            <w:r>
              <w:t xml:space="preserve">2.38</w:t>
            </w:r>
          </w:p>
        </w:tc>
        <w:tc>
          <w:p>
            <w:pPr>
              <w:pStyle w:val="Compact"/>
              <w:jc w:val="right"/>
            </w:pPr>
            <w:r>
              <w:t xml:space="preserve">0.7220</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5745f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Francuzik1; Sabine Dölle-Bierke1; Macarena Knop2; Kathrin Scherer Hofmeier3; Ewa Cichocka-Jarosz4; Blanca E. García5; Roland Lang6; Ioana Maris7; Jean-Marie Renaudin8; Margitta Worm1</dc:creator>
  <dcterms:created xsi:type="dcterms:W3CDTF">2019-08-20T10:26:00Z</dcterms:created>
  <dcterms:modified xsi:type="dcterms:W3CDTF">2019-08-20T10:26:00Z</dcterms:modified>
</cp:coreProperties>
</file>