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18</w:t>
      </w:r>
      <w:r>
        <w:t xml:space="preserve"> </w:t>
      </w:r>
      <w:r>
        <w:t xml:space="preserve">September,</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µg adrenaline) is a rare and often fatal hypersensitivity reaction. Comprehensive data on its definition, prevalence, and risk factors are missing. Using the data from the European Anaphylaxis Registry (11596 cases in total) we identified refractory anaphylaxis cases (n = 42) and analysed these in comparison to a control group of severe anaphylaxis cases (n = 4820).</w:t>
      </w:r>
    </w:p>
    <w:p>
      <w:pPr>
        <w:pStyle w:val="BodyText"/>
      </w:pPr>
      <w:r>
        <w:t xml:space="preserve">The data show that drugs more frequently elicited refractory anaphylaxis (50% of cases, p &lt; 0.0001) than in other severe anaphylaxis cases (18.4%). Cases elicited by insects (n = 8) were more often due to bees in refractory cases (62.5% vs 19.4%, p = 0.009). The refractory cases occurred more frequently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in the treatment of refractory cases. The mortality rate in refractory anaphylaxis was significantly higher (26.2%) than in severe cases (0.353%, p &lt; 0.0001).</w:t>
      </w:r>
    </w:p>
    <w:p>
      <w:pPr>
        <w:pStyle w:val="BodyText"/>
      </w:pPr>
      <w:r>
        <w:t xml:space="preserve">Although multiple guidelines on anaphylaxis have been published, the clinical adherence to these guidelines can be improved. The neglegence of second line medication (i.e. methylene blue or dopamine) in refractory cases has to be addressed in future efforts to improve the managment (and guidelines adherence)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2 doses of minimum 300 µg adrenaline, does not achieve normalization of clinical symptoms. Typical elicitors and symptoms of refractory anaphylaxis, as well as the therapeutic strategy for the most severe cases, differ from the usual reactions</w:t>
      </w:r>
      <w:r>
        <w:t xml:space="preserve"> </w:t>
      </w:r>
      <w:r>
        <w:t xml:space="preserve">[4]</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May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loss of consciousness, or incontinence.</w:t>
      </w:r>
      <w:r>
        <w:t xml:space="preserve"> </w:t>
      </w:r>
      <w:r>
        <w:t xml:space="preserve">We compared the frequency of various elicitors, symptoms, and factors known to incease the risk of severe anphylaxis</w:t>
      </w:r>
      <w:r>
        <w:t xml:space="preserve"> </w:t>
      </w:r>
      <w:r>
        <w:t xml:space="preserve">[6]</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[7]</w:t>
      </w:r>
      <w:r>
        <w:t xml:space="preserve">. Simple comparison of categorical variables was performed using Fisher’s exact test, continous variables were analysed using Mann-Whithney U test. We defined statistical significance as α = 0.05. Data along with the analysis script can be accessed at www.github.com/wolass/RefractoryAnaOrg.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cardiopulmonary resuscitation was unsuccessful. In cases where patients responded to life support,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and was sustained only in 19% as the therapy progressed in the hospital environment.</w:t>
      </w:r>
      <w:r>
        <w:t xml:space="preserve"> </w:t>
      </w:r>
    </w:p>
    <w:p>
      <w:pPr>
        <w:pStyle w:val="BodyText"/>
      </w:pPr>
      <w:r>
        <w:t xml:space="preserve">Second 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medical history. Also other unspecified concomitant conditions were significantly more often reported in refractory cases. It is worth noticing that concomitant cardiologic conditions, diabetes and mastocytosis were similarly frequent in both groups.</w:t>
      </w:r>
    </w:p>
    <w:p>
      <w:pPr>
        <w:pStyle w:val="BodyText"/>
      </w:pPr>
      <w:r>
        <w:t xml:space="preserve">Patients with refractory anaphylaxis more often reported concomitant proton pump inhibitors (PPI) and acetylsalicilic acid (ASA) use compared to patients with severe non-refractory anaphylaxis. Other (not specified) medications were also more frequent in refractory cases. In 6 cases of refractory anaphylaxis (14.3%) patients reported receiving beta-blockers as a concomitant medication, but none of these patients recieved a glucagon infusion.</w:t>
      </w:r>
    </w:p>
    <w:p>
      <w:pPr>
        <w:pStyle w:val="BodyText"/>
      </w:pPr>
      <w:r>
        <w:t xml:space="preserve">The intensity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An early use of drugs (e.g. methylene blue and dopamine) might increse their survival chance.</w:t>
      </w:r>
    </w:p>
    <w:p>
      <w:pPr>
        <w:pStyle w:val="BodyText"/>
      </w:pPr>
      <w:r>
        <w:t xml:space="preserve">Overall, the severity of an anaphylaxis and its probable transition into a refractory episode might be described by four co-influencing mechanisms:</w:t>
      </w:r>
      <w:r>
        <w:t xml:space="preserve"> </w:t>
      </w:r>
      <w:r>
        <w:t xml:space="preserve">1) elicitors - the type of an eliciting agent and duration of the exposition, which correlates to the amount of the allergen and its metabolism;</w:t>
      </w:r>
      <w:r>
        <w:t xml:space="preserve"> </w:t>
      </w:r>
      <w:r>
        <w:t xml:space="preserve">2) cofactors - the presence of other factors which may increase the severity of a given reaction i.e. concomitant use of a betablocker etc.;</w:t>
      </w:r>
      <w:r>
        <w:t xml:space="preserve"> </w:t>
      </w:r>
      <w:r>
        <w:t xml:space="preserve">3) compensation - how well is the body able to compensate reaction symptoms e.g. hypotension;</w:t>
      </w:r>
      <w:r>
        <w:t xml:space="preserve"> </w:t>
      </w:r>
      <w:r>
        <w:t xml:space="preserve">4) therapy - how fast and accurately the therapeutic procedures were introduced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Recent study on IgE-independent anaphylaxis showed that peroperative drugs (i.e. rocuronium, turbocurarine, fluorochinolones, atracurium) may trigger anaphylaxis by activating mast cells directly through the MRGPRX2 receptor</w:t>
      </w:r>
      <w:r>
        <w:t xml:space="preserve"> </w:t>
      </w:r>
      <w:r>
        <w:t xml:space="preserve">[11]</w:t>
      </w:r>
      <w:r>
        <w:t xml:space="preserve">. Therefore patients who undergo surgical procedures and have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a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saw RCM to be the most frequent elicitor of refractory anaphylaxis</w:t>
      </w:r>
      <w:r>
        <w:t xml:space="preserve"> </w:t>
      </w:r>
      <w:r>
        <w:t xml:space="preserve">[4]</w:t>
      </w:r>
      <w:r>
        <w:t xml:space="preserve">. It might be that RCM promote complement activation</w:t>
      </w:r>
      <w:r>
        <w:t xml:space="preserve"> </w:t>
      </w:r>
      <w:r>
        <w:t xml:space="preserve">[14]</w:t>
      </w:r>
      <w:r>
        <w:t xml:space="preserve"> </w:t>
      </w:r>
      <w:r>
        <w:t xml:space="preserve">and thus - unspecific activation of multiple immune cell classes (mast cells, basophiles, platelets and neutophiles). Therefore, treatment with adrenaline may be less effective in these reactions.</w:t>
      </w:r>
    </w:p>
    <w:p>
      <w:pPr>
        <w:pStyle w:val="BodyText"/>
      </w:pPr>
      <w:r>
        <w:t xml:space="preserve">Only few refractory cases were elicited by yellow-jacket-stings. Therefore, the ratio of yellow-jacket to honey-bee venom elicited anaphylaxis was inverted in the refractory group. Reasons for this observation might include higher allergen exposition due to either longer exposition to the allergen (bee’s sting remains in the skin) or the venom volume being 10 times higher than in a wasp sting</w:t>
      </w:r>
      <w:r>
        <w:t xml:space="preserve"> </w:t>
      </w:r>
      <w:r>
        <w:t xml:space="preserve">[15]</w:t>
      </w:r>
      <w:r>
        <w:t xml:space="preserve">.</w:t>
      </w:r>
      <w:r>
        <w:t xml:space="preserve"> </w:t>
      </w:r>
    </w:p>
    <w:p>
      <w:pPr>
        <w:pStyle w:val="Heading2"/>
      </w:pPr>
      <w:bookmarkStart w:id="35" w:name="risk-factors"/>
      <w:bookmarkEnd w:id="35"/>
      <w:r>
        <w:t xml:space="preserve">Risk factors</w:t>
      </w:r>
    </w:p>
    <w:p>
      <w:pPr>
        <w:pStyle w:val="FirstParagraph"/>
      </w:pPr>
      <w:r>
        <w:t xml:space="preserve">Although we have previously identified older age and male sex to be associated with severe anaphylaxis</w:t>
      </w:r>
      <w:r>
        <w:t xml:space="preserve"> </w:t>
      </w:r>
      <w:r>
        <w:t xml:space="preserve">[6]</w:t>
      </w:r>
      <w:r>
        <w:t xml:space="preserve">, these factors seem to be less important when refractory anaphylaxis is considered. Asthma and malignant diseases in the medical history were more frequently present in the refractory anaphylaxis group. The underlying reason is unclear.</w:t>
      </w:r>
    </w:p>
    <w:p>
      <w:pPr>
        <w:pStyle w:val="BodyText"/>
      </w:pPr>
      <w:r>
        <w:t xml:space="preserve">It is however interesting that past malignant diseases were mostly recognized in male refractory anaphylaxis patients. Many cases of hypersenitivity due to cancer drugs were described in the literature, but malignancy in medical history has never been previously associated with severe anaphylaxis. It is possible that patients with reported malignancies were simply older (mean age of 34.6 vs 58.3 years, p &lt;</w:t>
      </w:r>
      <w:r>
        <w:t xml:space="preserve"> </w:t>
      </w:r>
      <w:r>
        <w:t xml:space="preserve"> </w:t>
      </w:r>
      <w:r>
        <w:t xml:space="preserve">0.001) and therefore less able to compensate the anaphylactic shock.</w:t>
      </w:r>
    </w:p>
    <w:p>
      <w:pPr>
        <w:pStyle w:val="BodyText"/>
      </w:pPr>
      <w:r>
        <w:t xml:space="preserve">We previously observed concomitant asthma to be associated with less severe anaphylaxis</w:t>
      </w:r>
      <w:r>
        <w:t xml:space="preserve"> </w:t>
      </w:r>
      <w:r>
        <w:t xml:space="preserve">[6]</w:t>
      </w:r>
      <w:r>
        <w:t xml:space="preserve">. However, the present analysis suggests concomitant asthma as a risk factor for a refractory episode. It is possible that during a refractory episode the bronchospasm is mediated via other mediators (deriving from basophiles, and eosinophiles) what makes it refractory to adrenaline and therefore results in a prolonged anaphylactic episode. This might also explain why we saw more respiratory distress symptoms in the refractory anaphylaxis cases.</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Stress induces the complement cascade activation</w:t>
      </w:r>
      <w:r>
        <w:t xml:space="preserve"> </w:t>
      </w:r>
      <w:r>
        <w:t xml:space="preserve">[16]</w:t>
      </w:r>
      <w:r>
        <w:t xml:space="preserve">. Substance P, which is released during stress</w:t>
      </w:r>
      <w:r>
        <w:t xml:space="preserve"> </w:t>
      </w:r>
      <w:r>
        <w:t xml:space="preserve">[17]</w:t>
      </w:r>
      <w:r>
        <w:t xml:space="preserve">, is a known vasodilator</w:t>
      </w:r>
      <w:r>
        <w:t xml:space="preserve"> </w:t>
      </w:r>
      <w:r>
        <w:t xml:space="preserve">[18]</w:t>
      </w:r>
      <w:r>
        <w:t xml:space="preserve"> </w:t>
      </w:r>
      <w:r>
        <w:t xml:space="preserve">and can activate mast cells directly</w:t>
      </w:r>
      <w:r>
        <w:t xml:space="preserve"> </w:t>
      </w:r>
      <w:r>
        <w:t xml:space="preserve">[19]</w:t>
      </w:r>
      <w:r>
        <w:t xml:space="preserve">. These mediators may contribute to an increased mast cell response and more severe anaphylaxis.</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[20]</w:t>
      </w:r>
      <w:r>
        <w:t xml:space="preserve">. Moreover, there are reports on PPI as elicitors of anaphylaxis</w:t>
      </w:r>
      <w:r>
        <w:t xml:space="preserve"> </w:t>
      </w:r>
      <w:r>
        <w:t xml:space="preserve">[21]</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Heading2"/>
      </w:pPr>
      <w:bookmarkStart w:id="36" w:name="symptom-compensation"/>
      <w:bookmarkEnd w:id="36"/>
      <w:r>
        <w:t xml:space="preserve">Symptom compensation</w:t>
      </w:r>
    </w:p>
    <w:p>
      <w:pPr>
        <w:pStyle w:val="FirstParagraph"/>
      </w:pPr>
      <w:r>
        <w:t xml:space="preserve">Age is the most important factor influencing the risk of developing severe anaphylaxis</w:t>
      </w:r>
      <w:r>
        <w:t xml:space="preserve"> </w:t>
      </w:r>
      <w:r>
        <w:t xml:space="preserve">[6]</w:t>
      </w:r>
      <w:r>
        <w:t xml:space="preserve">. We and others have shown that older age may correlate with the decreased abillity to retain homeostasis on increased strain</w:t>
      </w:r>
      <w:r>
        <w:t xml:space="preserve"> </w:t>
      </w:r>
      <w:r>
        <w:t xml:space="preserve">[22]</w:t>
      </w:r>
      <w:r>
        <w:t xml:space="preserve">.</w:t>
      </w:r>
      <w:r>
        <w:t xml:space="preserve"> </w:t>
      </w:r>
      <w:r>
        <w:t xml:space="preserve">Patients who underwent refractory anahpylaxis more often had perioperative reactions and therefore a decreased ablity to compensate the reaction symptoms with reflexory renal or cardiopulmonary response</w:t>
      </w:r>
      <w:r>
        <w:t xml:space="preserve"> </w:t>
      </w:r>
      <w:r>
        <w:t xml:space="preserve">[23]</w:t>
      </w:r>
      <w:r>
        <w:t xml:space="preserve">.</w:t>
      </w:r>
    </w:p>
    <w:p>
      <w:pPr>
        <w:pStyle w:val="Heading2"/>
      </w:pPr>
      <w:bookmarkStart w:id="37" w:name="therapy"/>
      <w:bookmarkEnd w:id="37"/>
      <w:r>
        <w:t xml:space="preserve">Therapy</w:t>
      </w:r>
    </w:p>
    <w:p>
      <w:pPr>
        <w:pStyle w:val="FirstParagraph"/>
      </w:pPr>
      <w:r>
        <w:t xml:space="preserve">Adrenaline i.v. as first-line therapy use was high in the refractory cases. This was probably due to the fact that most of them occur in a medical setting. However, other second-line therapeutic options were rarely used. Grabenhenrich et al.</w:t>
      </w:r>
      <w:r>
        <w:t xml:space="preserve"> </w:t>
      </w:r>
      <w:r>
        <w:t xml:space="preserve">[2]</w:t>
      </w:r>
      <w:r>
        <w:t xml:space="preserve"> </w:t>
      </w:r>
      <w:r>
        <w:t xml:space="preserve">recently evaluated the epinephrine use in anaphylaxis patients and concluded that, even in this state of the art drug, large discrepancies between recommenden use and actual treatment practice exist. Therefore, more effort needs to be dedicated to promote and develop the consensus guidelenes as practically as possible in order to increase adherence.</w:t>
      </w:r>
    </w:p>
    <w:p>
      <w:pPr>
        <w:pStyle w:val="BodyText"/>
      </w:pPr>
      <w:r>
        <w:t xml:space="preserve">Methylene blue and vasopressors have been described to successfully restore refractory hypotension and recommended by managment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[24]</w:t>
      </w:r>
      <w:r>
        <w:t xml:space="preserve"> </w:t>
      </w:r>
      <w:r>
        <w:t xml:space="preserve">reported 6 cases of refractory, peroperative anaphylaxis (to RCM and penicillin) which responded to methylene blue i.v. within minutes. Its mode of action is by blocking the guanylate cyclase and therefore preventing further nitric-oxide-dependent vasodilation in a distributive shock</w:t>
      </w:r>
      <w:r>
        <w:t xml:space="preserve"> </w:t>
      </w:r>
      <w:r>
        <w:t xml:space="preserve">[25]</w:t>
      </w:r>
      <w:r>
        <w:t xml:space="preserve">.</w:t>
      </w:r>
    </w:p>
    <w:p>
      <w:pPr>
        <w:pStyle w:val="BodyText"/>
      </w:pPr>
      <w:r>
        <w:t xml:space="preserve">Suprisingly, even though multiple anaphylaxis management guidelines recommend glucagon infusions in cases of concomitant beta-blocker therapy in anaphylactic patients</w:t>
      </w:r>
      <w:r>
        <w:t xml:space="preserve"> </w:t>
      </w:r>
      <w:r>
        <w:t xml:space="preserve">[8,26,27]</w:t>
      </w:r>
      <w:r>
        <w:t xml:space="preserve">, it has not been administered in any of the severe or refractory cases. Glucagon has been reported to sucessfully relive refractory anaphylaxis</w:t>
      </w:r>
      <w:r>
        <w:t xml:space="preserve"> </w:t>
      </w:r>
      <w:r>
        <w:t xml:space="preserve">[28,29]</w:t>
      </w:r>
      <w:r>
        <w:t xml:space="preserve"> </w:t>
      </w:r>
      <w:r>
        <w:t xml:space="preserve">by directly activating the adenylyl cyclase and therefore bypassing the β-adrenergic receptor blockade</w:t>
      </w:r>
      <w:r>
        <w:t xml:space="preserve"> </w:t>
      </w:r>
      <w:r>
        <w:t xml:space="preserve">[28]</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published report on a patient sample containing over 30 refractory anaphylaxis cases.</w:t>
      </w:r>
    </w:p>
    <w:p>
      <w:pPr>
        <w:pStyle w:val="BodyText"/>
      </w:pPr>
      <w:r>
        <w:t xml:space="preserve">Definition of refractory anaphylaxis is not universal. The confirmation of a refractory anaphylaxis based on the answers to our online questionnaire posed difficulties.</w:t>
      </w:r>
      <w:r>
        <w:t xml:space="preserve"> </w:t>
      </w:r>
      <w:r>
        <w:t xml:space="preserve">If a fatal reaction occured before the second dose of adrenaline was administered to the patient - it could not be diagnosed as refractory (as we defined at least two doses of minimum 300 µg adrenaline for refractory anaphylaxis) although, it in fact could have been refractory.</w:t>
      </w:r>
    </w:p>
    <w:p>
      <w:pPr>
        <w:pStyle w:val="BodyText"/>
      </w:pPr>
      <w:r>
        <w:t xml:space="preserve">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managment of refractory anaphylaxis needs to improve. Although, more studies need to be conducted to better understand the pathomechanisms involved in refractory anaphylaxis,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3">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4">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5">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6">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7">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8">
        <w:r>
          <w:rPr>
            <w:rStyle w:val="Hyperlink"/>
          </w:rPr>
          <w:t xml:space="preserve">https://doi.org/10.1016/s0140-6736(96)01367-0</w:t>
        </w:r>
      </w:hyperlink>
      <w:r>
        <w:t xml:space="preserve">.</w:t>
      </w:r>
    </w:p>
    <w:p>
      <w:pPr>
        <w:pStyle w:val="BodyText"/>
      </w:pPr>
      <w:r>
        <w:t xml:space="preserve">[16] Burns VE, Edwards KM, Ring C, et al. Complement cascade activation after an acute psychological stress task. Psychosomatic Medicine [Internet]. 2008;70:387–396. Available from:</w:t>
      </w:r>
      <w:r>
        <w:t xml:space="preserve"> </w:t>
      </w:r>
      <w:hyperlink r:id="rId49">
        <w:r>
          <w:rPr>
            <w:rStyle w:val="Hyperlink"/>
          </w:rPr>
          <w:t xml:space="preserve">https://doi.org/10.1097/psy.0b013e31816ded22</w:t>
        </w:r>
      </w:hyperlink>
      <w:r>
        <w:t xml:space="preserve">.</w:t>
      </w:r>
    </w:p>
    <w:p>
      <w:pPr>
        <w:pStyle w:val="BodyText"/>
      </w:pPr>
      <w:r>
        <w:t xml:space="preserve">[17]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0">
        <w:r>
          <w:rPr>
            <w:rStyle w:val="Hyperlink"/>
          </w:rPr>
          <w:t xml:space="preserve">https://doi.org/10.1016/s0002-9440(10)63877-1</w:t>
        </w:r>
      </w:hyperlink>
      <w:r>
        <w:t xml:space="preserve">.</w:t>
      </w:r>
    </w:p>
    <w:p>
      <w:pPr>
        <w:pStyle w:val="BodyText"/>
      </w:pPr>
      <w:r>
        <w:t xml:space="preserve">[18] Bossaller C, Reither K, Hehlert-Friedrich C, et al. In vivo measurement of endothelium-dependent vasodilation with substance p in man. Herz. 1992;17:284–290.</w:t>
      </w:r>
    </w:p>
    <w:p>
      <w:pPr>
        <w:pStyle w:val="BodyText"/>
      </w:pPr>
      <w:r>
        <w:t xml:space="preserve">[19]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1">
        <w:r>
          <w:rPr>
            <w:rStyle w:val="Hyperlink"/>
          </w:rPr>
          <w:t xml:space="preserve">https://doi.org/10.1006/brbi.1998.0541</w:t>
        </w:r>
      </w:hyperlink>
      <w:r>
        <w:t xml:space="preserve">.</w:t>
      </w:r>
    </w:p>
    <w:p>
      <w:pPr>
        <w:pStyle w:val="BodyText"/>
      </w:pPr>
      <w:r>
        <w:t xml:space="preserve">[20] Wölbing F, Fischer J, Köberle M, et al. About the role and underlying mechanisms of cofactors in anaphylaxis. Allergy. 2013;n/a–n/a.</w:t>
      </w:r>
    </w:p>
    <w:p>
      <w:pPr>
        <w:pStyle w:val="BodyText"/>
      </w:pPr>
      <w:r>
        <w:t xml:space="preserve">[21] Natsch S, Vinks MH, Voogt AK, et al. Anaphylactic reactions to proton-pump inhibitors. Annals of Pharmacotherapy [Internet]. 2000;34:474–476. Available from:</w:t>
      </w:r>
      <w:r>
        <w:t xml:space="preserve"> </w:t>
      </w:r>
      <w:hyperlink r:id="rId52">
        <w:r>
          <w:rPr>
            <w:rStyle w:val="Hyperlink"/>
          </w:rPr>
          <w:t xml:space="preserve">https://doi.org/10.1345/aph.19235</w:t>
        </w:r>
      </w:hyperlink>
      <w:r>
        <w:t xml:space="preserve">.</w:t>
      </w:r>
    </w:p>
    <w:p>
      <w:pPr>
        <w:pStyle w:val="BodyText"/>
      </w:pPr>
      <w:r>
        <w:t xml:space="preserve">[22] Fleg JL, O’connor F, Gerstenblith G, et al. Impact of age on the cardiovascular response to dynamic upright exercise in healthy men and women. Journal of Applied Physiology. 1995;78:890–900.</w:t>
      </w:r>
    </w:p>
    <w:p>
      <w:pPr>
        <w:pStyle w:val="BodyText"/>
      </w:pPr>
      <w:r>
        <w:t xml:space="preserve">[23] Rogers KMA, Mccutcheon K. Understanding arterial blood gases. Journal of Perioperative Practice [Internet]. 2013;23:191–197. Available from:</w:t>
      </w:r>
      <w:r>
        <w:t xml:space="preserve"> </w:t>
      </w:r>
      <w:hyperlink r:id="rId53">
        <w:r>
          <w:rPr>
            <w:rStyle w:val="Hyperlink"/>
          </w:rPr>
          <w:t xml:space="preserve">https://doi.org/10.1177/175045891302300903</w:t>
        </w:r>
      </w:hyperlink>
      <w:r>
        <w:t xml:space="preserve">.</w:t>
      </w:r>
    </w:p>
    <w:p>
      <w:pPr>
        <w:pStyle w:val="BodyText"/>
      </w:pPr>
      <w:r>
        <w:t xml:space="preserve">[24] Evora PRB. Should methylene blue be the drug of choice to treat vasoplegias caused by cardiopulmonary bypass and anaphylactic shock? The Journal of Thoracic and Cardiovascular Surgery [Internet]. 2000;119:632–633. Available from:</w:t>
      </w:r>
      <w:r>
        <w:t xml:space="preserve"> </w:t>
      </w:r>
      <w:hyperlink r:id="rId54">
        <w:r>
          <w:rPr>
            <w:rStyle w:val="Hyperlink"/>
          </w:rPr>
          <w:t xml:space="preserve">https://doi.org/10.1016/s0022-5223(00)70152-8</w:t>
        </w:r>
      </w:hyperlink>
      <w:r>
        <w:t xml:space="preserve">.</w:t>
      </w:r>
    </w:p>
    <w:p>
      <w:pPr>
        <w:pStyle w:val="BodyText"/>
      </w:pPr>
      <w:r>
        <w:t xml:space="preserve">[25] Dfaz JE, Roberts JR. Anaphylactic shock. Schweiz Rundsch Med Prax. 1995;84:1307–1313.</w:t>
      </w:r>
    </w:p>
    <w:p>
      <w:pPr>
        <w:pStyle w:val="BodyText"/>
      </w:pPr>
      <w:r>
        <w:t xml:space="preserve">[26] Simons FER, Ardusso LRF, Bilò MB, et al. World Allergy Organization Guidelines for the Assessment and Management of Anaphylaxis. World Allergy Organization Journal. 2011;4:13–36.</w:t>
      </w:r>
    </w:p>
    <w:p>
      <w:pPr>
        <w:pStyle w:val="BodyText"/>
      </w:pPr>
      <w:r>
        <w:t xml:space="preserve">[27] Lieberman P, Kemp S, Oppenheimer J, et al. The diagnosis and management of anaphylaxis: An updated practice parameter. Journal of Allergy and Clinical Immunology. 2005;115:S483–S523.</w:t>
      </w:r>
    </w:p>
    <w:p>
      <w:pPr>
        <w:pStyle w:val="BodyText"/>
      </w:pPr>
      <w:r>
        <w:t xml:space="preserve">[28] Zaloga GP, Delacey W, Holmboe E, et al. Glucagon reversal of hypotension in a case of anaphylactoid shock. Annals of Internal Medicine. 1986;105:65–66.</w:t>
      </w:r>
    </w:p>
    <w:p>
      <w:pPr>
        <w:pStyle w:val="BodyText"/>
      </w:pPr>
      <w:r>
        <w:t xml:space="preserve">[29] Javeed N, Javeed H, Javeed S, et al. Refractory anaphylactoid shock potentiated by beta-blockers. 1996. pp. 383–384.</w:t>
      </w:r>
    </w:p>
    <w:p>
      <w:pPr>
        <w:pStyle w:val="Heading5"/>
      </w:pPr>
      <w:bookmarkStart w:id="55" w:name="pagebreak-1"/>
      <w:bookmarkEnd w:id="55"/>
      <w:r>
        <w:t xml:space="preserve">pagebreak</w:t>
      </w:r>
    </w:p>
    <w:p>
      <w:pPr>
        <w:pStyle w:val="Heading1"/>
      </w:pPr>
      <w:bookmarkStart w:id="56" w:name="figures"/>
      <w:bookmarkEnd w:id="5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58" w:name="section"/>
      <w:bookmarkEnd w:id="58"/>
    </w:p>
    <w:p>
      <w:pPr>
        <w:pStyle w:val="FigureWithCaption"/>
      </w:pPr>
      <w:r>
        <w:drawing>
          <wp:inline>
            <wp:extent cx="3009900" cy="3009900"/>
            <wp:effectExtent b="0" l="0" r="0" t="0"/>
            <wp:docPr descr="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 title="" id="1" name="Picture"/>
            <a:graphic>
              <a:graphicData uri="http://schemas.openxmlformats.org/drawingml/2006/picture">
                <pic:pic>
                  <pic:nvPicPr>
                    <pic:cNvPr descr="../figures/diag2.png" id="0" name="Picture"/>
                    <pic:cNvPicPr>
                      <a:picLocks noChangeArrowheads="1" noChangeAspect="1"/>
                    </pic:cNvPicPr>
                  </pic:nvPicPr>
                  <pic:blipFill>
                    <a:blip r:embed="rId59"/>
                    <a:stretch>
                      <a:fillRect/>
                    </a:stretch>
                  </pic:blipFill>
                  <pic:spPr bwMode="auto">
                    <a:xfrm>
                      <a:off x="0" y="0"/>
                      <a:ext cx="3009900" cy="30099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w:t>
      </w:r>
    </w:p>
    <w:p>
      <w:pPr>
        <w:pStyle w:val="Heading5"/>
      </w:pPr>
      <w:bookmarkStart w:id="60" w:name="section-1"/>
      <w:bookmarkEnd w:id="60"/>
    </w:p>
    <w:p>
      <w:pPr>
        <w:pStyle w:val="Heading1"/>
      </w:pPr>
      <w:bookmarkStart w:id="61" w:name="tables"/>
      <w:bookmarkEnd w:id="61"/>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 Refractory group was compared to severe anaphylaxis cases without differentiating into male and female subgroups.</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Refractory group was compared to severe anaphylaxis cases without differentiating into male and female subgroup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left"/>
            </w:pPr>
            <w:r>
              <w:t xml:space="preserve">female</w:t>
            </w:r>
          </w:p>
        </w:tc>
        <w:tc>
          <w:p>
            <w:pPr>
              <w:pStyle w:val="Compact"/>
              <w:jc w:val="right"/>
            </w:pPr>
            <w:r>
              <w:t xml:space="preserve">refractory</w:t>
            </w:r>
          </w:p>
        </w:tc>
        <w:tc>
          <w:p>
            <w:pPr>
              <w:pStyle w:val="Compact"/>
              <w:jc w:val="right"/>
            </w:pPr>
            <w:r>
              <w:t xml:space="preserve">22</w:t>
            </w:r>
          </w:p>
        </w:tc>
        <w:tc>
          <w:p>
            <w:pPr>
              <w:pStyle w:val="Compact"/>
              <w:jc w:val="right"/>
            </w:pPr>
            <w:r>
              <w:t xml:space="preserve">40</w:t>
            </w:r>
          </w:p>
        </w:tc>
        <w:tc>
          <w:p>
            <w:pPr>
              <w:pStyle w:val="Compact"/>
              <w:jc w:val="right"/>
            </w:pPr>
            <w:r>
              <w:t xml:space="preserve">31.818</w:t>
            </w:r>
          </w:p>
        </w:tc>
        <w:tc>
          <w:p>
            <w:pPr>
              <w:pStyle w:val="Compact"/>
              <w:jc w:val="right"/>
            </w:pPr>
            <w:r>
              <w:t xml:space="preserve">9.091</w:t>
            </w:r>
          </w:p>
        </w:tc>
        <w:tc>
          <w:p>
            <w:pPr>
              <w:pStyle w:val="Compact"/>
              <w:jc w:val="right"/>
            </w:pPr>
            <w:r>
              <w:t xml:space="preserve">13.636</w:t>
            </w:r>
          </w:p>
        </w:tc>
        <w:tc>
          <w:p>
            <w:pPr>
              <w:pStyle w:val="Compact"/>
              <w:jc w:val="right"/>
            </w:pPr>
            <w:r>
              <w:t xml:space="preserve">9.091</w:t>
            </w:r>
          </w:p>
        </w:tc>
        <w:tc>
          <w:p>
            <w:pPr>
              <w:pStyle w:val="Compact"/>
              <w:jc w:val="right"/>
            </w:pPr>
            <w:r>
              <w:t xml:space="preserve">0</w:t>
            </w:r>
          </w:p>
        </w:tc>
        <w:tc>
          <w:p>
            <w:pPr>
              <w:pStyle w:val="Compact"/>
              <w:jc w:val="right"/>
            </w:pPr>
            <w:r>
              <w:t xml:space="preserve">18.182</w:t>
            </w:r>
          </w:p>
        </w:tc>
        <w:tc>
          <w:p>
            <w:pPr>
              <w:pStyle w:val="Compact"/>
              <w:jc w:val="right"/>
            </w:pPr>
            <w:r>
              <w:t xml:space="preserve">5.225</w:t>
            </w:r>
          </w:p>
        </w:tc>
      </w:tr>
      <w:tr>
        <w:tc>
          <w:p>
            <w:pPr>
              <w:pStyle w:val="Compact"/>
              <w:jc w:val="left"/>
            </w:pPr>
            <w:r>
              <w:t xml:space="preserve">male</w:t>
            </w:r>
          </w:p>
        </w:tc>
        <w:tc>
          <w:p>
            <w:pPr>
              <w:pStyle w:val="Compact"/>
              <w:jc w:val="right"/>
            </w:pPr>
            <w:r>
              <w:t xml:space="preserve">refractory</w:t>
            </w:r>
          </w:p>
        </w:tc>
        <w:tc>
          <w:p>
            <w:pPr>
              <w:pStyle w:val="Compact"/>
              <w:jc w:val="right"/>
            </w:pPr>
            <w:r>
              <w:t xml:space="preserve">20</w:t>
            </w:r>
          </w:p>
        </w:tc>
        <w:tc>
          <w:p>
            <w:pPr>
              <w:pStyle w:val="Compact"/>
              <w:jc w:val="right"/>
            </w:pPr>
            <w:r>
              <w:t xml:space="preserve">43</w:t>
            </w:r>
          </w:p>
        </w:tc>
        <w:tc>
          <w:p>
            <w:pPr>
              <w:pStyle w:val="Compact"/>
              <w:jc w:val="right"/>
            </w:pPr>
            <w:r>
              <w:t xml:space="preserve">30</w:t>
            </w:r>
          </w:p>
        </w:tc>
        <w:tc>
          <w:p>
            <w:pPr>
              <w:pStyle w:val="Compact"/>
              <w:jc w:val="right"/>
            </w:pPr>
            <w:r>
              <w:t xml:space="preserve">15</w:t>
            </w:r>
          </w:p>
        </w:tc>
        <w:tc>
          <w:p>
            <w:pPr>
              <w:pStyle w:val="Compact"/>
              <w:jc w:val="right"/>
            </w:pPr>
            <w:r>
              <w:t xml:space="preserve">5</w:t>
            </w:r>
          </w:p>
        </w:tc>
        <w:tc>
          <w:p>
            <w:pPr>
              <w:pStyle w:val="Compact"/>
              <w:jc w:val="right"/>
            </w:pPr>
            <w:r>
              <w:t xml:space="preserve">5</w:t>
            </w:r>
          </w:p>
        </w:tc>
        <w:tc>
          <w:p>
            <w:pPr>
              <w:pStyle w:val="Compact"/>
              <w:jc w:val="right"/>
            </w:pPr>
            <w:r>
              <w:t xml:space="preserve">15</w:t>
            </w:r>
          </w:p>
        </w:tc>
        <w:tc>
          <w:p>
            <w:pPr>
              <w:pStyle w:val="Compact"/>
              <w:jc w:val="right"/>
            </w:pPr>
            <w:r>
              <w:t xml:space="preserve">5</w:t>
            </w:r>
          </w:p>
        </w:tc>
        <w:tc>
          <w:p>
            <w:pPr>
              <w:pStyle w:val="Compact"/>
              <w:jc w:val="right"/>
            </w:pPr>
            <w:r>
              <w:t xml:space="preserve">7.435</w:t>
            </w:r>
          </w:p>
        </w:tc>
      </w:tr>
      <w:tr>
        <w:tc>
          <w:p>
            <w:pPr>
              <w:pStyle w:val="Compact"/>
              <w:jc w:val="left"/>
            </w:pPr>
            <w:r>
              <w:t xml:space="preserve">female</w:t>
            </w:r>
          </w:p>
        </w:tc>
        <w:tc>
          <w:p>
            <w:pPr>
              <w:pStyle w:val="Compact"/>
              <w:jc w:val="right"/>
            </w:pPr>
            <w:r>
              <w:t xml:space="preserve">severe</w:t>
            </w:r>
          </w:p>
        </w:tc>
        <w:tc>
          <w:p>
            <w:pPr>
              <w:pStyle w:val="Compact"/>
              <w:jc w:val="right"/>
            </w:pPr>
            <w:r>
              <w:t xml:space="preserve">2421</w:t>
            </w:r>
          </w:p>
        </w:tc>
        <w:tc>
          <w:p>
            <w:pPr>
              <w:pStyle w:val="Compact"/>
              <w:jc w:val="right"/>
            </w:pPr>
            <w:r>
              <w:t xml:space="preserve">43.4</w:t>
            </w:r>
          </w:p>
        </w:tc>
        <w:tc>
          <w:p>
            <w:pPr>
              <w:pStyle w:val="Compact"/>
              <w:jc w:val="right"/>
            </w:pPr>
            <w:r>
              <w:t xml:space="preserve">20.57</w:t>
            </w:r>
          </w:p>
        </w:tc>
        <w:tc>
          <w:p>
            <w:pPr>
              <w:pStyle w:val="Compact"/>
              <w:jc w:val="right"/>
            </w:pPr>
            <w:r>
              <w:t xml:space="preserve">2.272</w:t>
            </w:r>
          </w:p>
        </w:tc>
        <w:tc>
          <w:p>
            <w:pPr>
              <w:pStyle w:val="Compact"/>
              <w:jc w:val="right"/>
            </w:pPr>
            <w:r>
              <w:t xml:space="preserve">5.37</w:t>
            </w:r>
          </w:p>
        </w:tc>
        <w:tc>
          <w:p>
            <w:pPr>
              <w:pStyle w:val="Compact"/>
              <w:jc w:val="right"/>
            </w:pPr>
            <w:r>
              <w:t xml:space="preserve">2.561</w:t>
            </w:r>
          </w:p>
        </w:tc>
        <w:tc>
          <w:p>
            <w:pPr>
              <w:pStyle w:val="Compact"/>
              <w:jc w:val="right"/>
            </w:pPr>
            <w:r>
              <w:t xml:space="preserve">2.189</w:t>
            </w:r>
          </w:p>
        </w:tc>
        <w:tc>
          <w:p>
            <w:pPr>
              <w:pStyle w:val="Compact"/>
              <w:jc w:val="right"/>
            </w:pPr>
            <w:r>
              <w:t xml:space="preserve">6.733</w:t>
            </w:r>
          </w:p>
        </w:tc>
        <w:tc>
          <w:p>
            <w:pPr>
              <w:pStyle w:val="Compact"/>
              <w:jc w:val="right"/>
            </w:pPr>
            <w:r>
              <w:t xml:space="preserve">4.3</w:t>
            </w:r>
          </w:p>
        </w:tc>
      </w:tr>
      <w:tr>
        <w:tc>
          <w:p>
            <w:pPr>
              <w:pStyle w:val="Compact"/>
              <w:jc w:val="left"/>
            </w:pPr>
            <w:r>
              <w:t xml:space="preserve">male</w:t>
            </w:r>
          </w:p>
        </w:tc>
        <w:tc>
          <w:p>
            <w:pPr>
              <w:pStyle w:val="Compact"/>
              <w:jc w:val="right"/>
            </w:pPr>
            <w:r>
              <w:t xml:space="preserve">severe</w:t>
            </w:r>
          </w:p>
        </w:tc>
        <w:tc>
          <w:p>
            <w:pPr>
              <w:pStyle w:val="Compact"/>
              <w:jc w:val="right"/>
            </w:pPr>
            <w:r>
              <w:t xml:space="preserve">2399</w:t>
            </w:r>
          </w:p>
        </w:tc>
        <w:tc>
          <w:p>
            <w:pPr>
              <w:pStyle w:val="Compact"/>
              <w:jc w:val="right"/>
            </w:pPr>
            <w:r>
              <w:t xml:space="preserve">40.2</w:t>
            </w:r>
          </w:p>
        </w:tc>
        <w:tc>
          <w:p>
            <w:pPr>
              <w:pStyle w:val="Compact"/>
              <w:jc w:val="right"/>
            </w:pPr>
            <w:r>
              <w:t xml:space="preserve">22.885</w:t>
            </w:r>
          </w:p>
        </w:tc>
        <w:tc>
          <w:p>
            <w:pPr>
              <w:pStyle w:val="Compact"/>
              <w:jc w:val="right"/>
            </w:pPr>
            <w:r>
              <w:t xml:space="preserve">3.585</w:t>
            </w:r>
          </w:p>
        </w:tc>
        <w:tc>
          <w:p>
            <w:pPr>
              <w:pStyle w:val="Compact"/>
              <w:jc w:val="right"/>
            </w:pPr>
            <w:r>
              <w:t xml:space="preserve">5.836</w:t>
            </w:r>
          </w:p>
        </w:tc>
        <w:tc>
          <w:p>
            <w:pPr>
              <w:pStyle w:val="Compact"/>
              <w:jc w:val="right"/>
            </w:pPr>
            <w:r>
              <w:t xml:space="preserve">2.543</w:t>
            </w:r>
          </w:p>
        </w:tc>
        <w:tc>
          <w:p>
            <w:pPr>
              <w:pStyle w:val="Compact"/>
              <w:jc w:val="right"/>
            </w:pPr>
            <w:r>
              <w:t xml:space="preserve">2.084</w:t>
            </w:r>
          </w:p>
        </w:tc>
        <w:tc>
          <w:p>
            <w:pPr>
              <w:pStyle w:val="Compact"/>
              <w:jc w:val="right"/>
            </w:pPr>
            <w:r>
              <w:t xml:space="preserve">6.253</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0.781</w:t>
            </w:r>
          </w:p>
        </w:tc>
        <w:tc>
          <w:p>
            <w:pPr>
              <w:pStyle w:val="Compact"/>
              <w:jc w:val="right"/>
            </w:pPr>
            <w:r>
              <w:t xml:space="preserve">0.897</w:t>
            </w:r>
          </w:p>
        </w:tc>
        <w:tc>
          <w:p>
            <w:pPr>
              <w:pStyle w:val="Compact"/>
              <w:jc w:val="right"/>
            </w:pPr>
            <w:r>
              <w:t xml:space="preserve">0.191</w:t>
            </w:r>
          </w:p>
        </w:tc>
        <w:tc>
          <w:p>
            <w:pPr>
              <w:pStyle w:val="Compact"/>
              <w:jc w:val="right"/>
            </w:pPr>
            <w:r>
              <w:t xml:space="preserve">0.07</w:t>
            </w:r>
          </w:p>
        </w:tc>
        <w:tc>
          <w:p>
            <w:pPr>
              <w:pStyle w:val="Compact"/>
              <w:jc w:val="right"/>
            </w:pPr>
            <w:r>
              <w:t xml:space="preserve">1</w:t>
            </w:r>
          </w:p>
        </w:tc>
        <w:tc>
          <w:p>
            <w:pPr>
              <w:pStyle w:val="Compact"/>
              <w:jc w:val="right"/>
            </w:pPr>
            <w:r>
              <w:t xml:space="preserve">0.099</w:t>
            </w:r>
          </w:p>
        </w:tc>
        <w:tc>
          <w:p>
            <w:pPr>
              <w:pStyle w:val="Compact"/>
              <w:jc w:val="right"/>
            </w:pPr>
            <w:r>
              <w:t xml:space="preserve">0.066</w:t>
            </w:r>
          </w:p>
        </w:tc>
        <w:tc>
          <w:p>
            <w:pPr>
              <w:pStyle w:val="Compact"/>
              <w:jc w:val="right"/>
            </w:pPr>
            <w:r>
              <w:t xml:space="preserve">0.2</w:t>
            </w:r>
          </w:p>
        </w:tc>
        <w:tc>
          <w:p>
            <w:pPr>
              <w:pStyle w:val="Compact"/>
              <w:jc w:val="right"/>
            </w:pPr>
            <w:r>
              <w:t xml:space="preserve">0.007</w:t>
            </w:r>
          </w:p>
        </w:tc>
      </w:tr>
    </w:tbl>
    <w:p>
      <w:pPr>
        <w:pStyle w:val="Heading5"/>
      </w:pPr>
      <w:bookmarkStart w:id="62" w:name="section-2"/>
      <w:bookmarkEnd w:id="62"/>
    </w:p>
    <w:p>
      <w:pPr>
        <w:pStyle w:val="TableCaption"/>
      </w:pPr>
      <w:r>
        <w:t xml:space="preserve">Table 2 Summary of elicitors in the refractory anaphylaxis cases and severe, non-refractory anaphylaxis cases as a control. ANA - anaphylaxis, Age is represented as a mean, p-value derived from the Fisher’s exact test.</w:t>
      </w:r>
    </w:p>
    <w:tbl>
      <w:tblPr>
        <w:tblStyle w:val="TableNormal"/>
        <w:tblW w:type="pct" w:w="0.0"/>
        <w:tblLook w:firstRow="1"/>
        <w:tblCaption w:val="Table 2 Summary of elicitors in the refractory anaphylaxis cases and severe, non-refractory anaphylaxis cases as a control. ANA - anaphylaxis, Age is represented as a mean, p-value derived from the Fisher’s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r>
      <w:tr>
        <w:tc>
          <w:p>
            <w:pPr>
              <w:pStyle w:val="Compact"/>
              <w:jc w:val="left"/>
            </w:pPr>
            <w:r>
              <w:t xml:space="preserve">food</w:t>
            </w:r>
          </w:p>
        </w:tc>
        <w:tc>
          <w:p>
            <w:pPr>
              <w:pStyle w:val="Compact"/>
              <w:jc w:val="left"/>
            </w:pPr>
            <w:r>
              <w:t xml:space="preserve">9</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r>
      <w:tr>
        <w:tc>
          <w:p>
            <w:pPr>
              <w:pStyle w:val="Compact"/>
              <w:jc w:val="left"/>
            </w:pPr>
            <w:r>
              <w:t xml:space="preserve">drugs</w:t>
            </w:r>
          </w:p>
        </w:tc>
        <w:tc>
          <w:p>
            <w:pPr>
              <w:pStyle w:val="Compact"/>
              <w:jc w:val="left"/>
            </w:pPr>
            <w:r>
              <w:t xml:space="preserve">21</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c>
          <w:p>
            <w:pPr>
              <w:pStyle w:val="Compact"/>
              <w:jc w:val="left"/>
            </w:pPr>
            <w:r>
              <w:t xml:space="preserve">50</w:t>
            </w:r>
          </w:p>
        </w:tc>
        <w:tc>
          <w:p>
            <w:pPr>
              <w:pStyle w:val="Compact"/>
              <w:jc w:val="left"/>
            </w:pPr>
            <w:r>
              <w:t xml:space="preserve">18.4</w:t>
            </w:r>
          </w:p>
        </w:tc>
        <w:tc>
          <w:p>
            <w:pPr>
              <w:pStyle w:val="Compact"/>
              <w:jc w:val="left"/>
            </w:pPr>
            <w:r>
              <w:t xml:space="preserve">1e-04</w:t>
            </w:r>
          </w:p>
        </w:tc>
      </w:tr>
      <w:tr>
        <w:tc>
          <w:p>
            <w:pPr>
              <w:pStyle w:val="Compact"/>
              <w:jc w:val="left"/>
            </w:pPr>
            <w:r>
              <w:t xml:space="preserve">insects</w:t>
            </w:r>
          </w:p>
        </w:tc>
        <w:tc>
          <w:p>
            <w:pPr>
              <w:pStyle w:val="Compact"/>
              <w:jc w:val="left"/>
            </w:pPr>
            <w:r>
              <w:t xml:space="preserve">8</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c>
          <w:p>
            <w:pPr>
              <w:pStyle w:val="Compact"/>
              <w:jc w:val="left"/>
            </w:pPr>
            <w:r>
              <w:t xml:space="preserve">19</w:t>
            </w:r>
          </w:p>
        </w:tc>
        <w:tc>
          <w:p>
            <w:pPr>
              <w:pStyle w:val="Compact"/>
              <w:jc w:val="left"/>
            </w:pPr>
            <w:r>
              <w:t xml:space="preserve">38.7</w:t>
            </w:r>
          </w:p>
        </w:tc>
        <w:tc>
          <w:p>
            <w:pPr>
              <w:pStyle w:val="Compact"/>
              <w:jc w:val="left"/>
            </w:pPr>
            <w:r>
              <w:t xml:space="preserve">1e-04</w:t>
            </w:r>
          </w:p>
        </w:tc>
      </w:tr>
      <w:tr>
        <w:tc>
          <w:p>
            <w:pPr>
              <w:pStyle w:val="Compact"/>
              <w:jc w:val="left"/>
            </w:pPr>
            <w:r>
              <w:t xml:space="preserve">other</w:t>
            </w:r>
          </w:p>
        </w:tc>
        <w:tc>
          <w:p>
            <w:pPr>
              <w:pStyle w:val="Compact"/>
              <w:jc w:val="left"/>
            </w:pPr>
            <w:r>
              <w:t xml:space="preserve">2</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c>
          <w:p>
            <w:pPr>
              <w:pStyle w:val="Compact"/>
              <w:jc w:val="left"/>
            </w:pPr>
            <w:r>
              <w:t xml:space="preserve">4.8</w:t>
            </w:r>
          </w:p>
        </w:tc>
        <w:tc>
          <w:p>
            <w:pPr>
              <w:pStyle w:val="Compact"/>
              <w:jc w:val="left"/>
            </w:pPr>
            <w:r>
              <w:t xml:space="preserve">3.4</w:t>
            </w:r>
          </w:p>
        </w:tc>
        <w:tc>
          <w:p>
            <w:pPr>
              <w:pStyle w:val="Compact"/>
              <w:jc w:val="left"/>
            </w:pPr>
            <w:r>
              <w:t xml:space="preserve">0.361</w:t>
            </w:r>
          </w:p>
        </w:tc>
      </w:tr>
      <w:tr>
        <w:tc>
          <w:p>
            <w:pPr>
              <w:pStyle w:val="Compact"/>
              <w:jc w:val="left"/>
            </w:pPr>
            <w:r>
              <w:t xml:space="preserve">unkown</w:t>
            </w:r>
          </w:p>
        </w:tc>
        <w:tc>
          <w:p>
            <w:pPr>
              <w:pStyle w:val="Compact"/>
              <w:jc w:val="left"/>
            </w:pPr>
            <w:r>
              <w:t xml:space="preserve">2</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c>
          <w:p>
            <w:pPr>
              <w:pStyle w:val="Compact"/>
              <w:jc w:val="left"/>
            </w:pPr>
            <w:r>
              <w:t xml:space="preserve">4.8</w:t>
            </w:r>
          </w:p>
        </w:tc>
        <w:tc>
          <w:p>
            <w:pPr>
              <w:pStyle w:val="Compact"/>
              <w:jc w:val="left"/>
            </w:pPr>
            <w:r>
              <w:t xml:space="preserve">6</w:t>
            </w:r>
          </w:p>
        </w:tc>
        <w:tc>
          <w:p>
            <w:pPr>
              <w:pStyle w:val="Compact"/>
              <w:jc w:val="left"/>
            </w:pPr>
            <w:r>
              <w:t xml:space="preserve">1e-04</w:t>
            </w:r>
          </w:p>
        </w:tc>
      </w:tr>
    </w:tbl>
    <w:p>
      <w:pPr>
        <w:pStyle w:val="Heading5"/>
      </w:pPr>
      <w:bookmarkStart w:id="63" w:name="section-3"/>
      <w:bookmarkEnd w:id="63"/>
    </w:p>
    <w:p>
      <w:pPr>
        <w:pStyle w:val="TableCaption"/>
      </w:pPr>
      <w:r>
        <w:t xml:space="preserve">Table 3 Summary of the elicitors broken down into specific elicitors from each group in the refractory anaphylaxis cases and severe anaphylaxis cases as a control. ANA - anaphylaxis, p-value derived from the Fisher’s exact test.</w:t>
      </w:r>
    </w:p>
    <w:tbl>
      <w:tblPr>
        <w:tblStyle w:val="TableNormal"/>
        <w:tblW w:type="pct" w:w="0.0"/>
        <w:tblLook w:firstRow="1"/>
        <w:tblCaption w:val="Table 3 Summary of the elicitors broken down into specific elicitors from each group in the refractory anaphylaxis cases and severe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6.14</w:t>
            </w:r>
          </w:p>
        </w:tc>
        <w:tc>
          <w:p>
            <w:pPr>
              <w:pStyle w:val="Compact"/>
              <w:jc w:val="left"/>
            </w:pPr>
            <w:r>
              <w:t xml:space="preserve">19</w:t>
            </w:r>
          </w:p>
        </w:tc>
        <w:tc>
          <w:p>
            <w:pPr>
              <w:pStyle w:val="Compact"/>
              <w:jc w:val="left"/>
            </w:pPr>
            <w:r>
              <w:t xml:space="preserve">0.004</w:t>
            </w:r>
          </w:p>
        </w:tc>
      </w:tr>
      <w:tr>
        <w:tc>
          <w:p>
            <w:pPr>
              <w:pStyle w:val="Compact"/>
              <w:jc w:val="left"/>
            </w:pPr>
            <w:r>
              <w:t xml:space="preserve">X-ray medium</w:t>
            </w:r>
          </w:p>
        </w:tc>
        <w:tc>
          <w:p>
            <w:pPr>
              <w:pStyle w:val="Compact"/>
              <w:jc w:val="left"/>
            </w:pPr>
            <w:r>
              <w:t xml:space="preserve">0.954</w:t>
            </w:r>
          </w:p>
        </w:tc>
        <w:tc>
          <w:p>
            <w:pPr>
              <w:pStyle w:val="Compact"/>
              <w:jc w:val="left"/>
            </w:pPr>
            <w:r>
              <w:t xml:space="preserve">7.14</w:t>
            </w:r>
          </w:p>
        </w:tc>
        <w:tc>
          <w:p>
            <w:pPr>
              <w:pStyle w:val="Compact"/>
              <w:jc w:val="left"/>
            </w:pPr>
            <w:r>
              <w:t xml:space="preserve">0.008</w:t>
            </w:r>
          </w:p>
        </w:tc>
      </w:tr>
      <w:tr>
        <w:tc>
          <w:p>
            <w:pPr>
              <w:pStyle w:val="Compact"/>
              <w:jc w:val="left"/>
            </w:pPr>
            <w:r>
              <w:t xml:space="preserve">Muscle relaxant</w:t>
            </w:r>
          </w:p>
        </w:tc>
        <w:tc>
          <w:p>
            <w:pPr>
              <w:pStyle w:val="Compact"/>
              <w:jc w:val="left"/>
            </w:pPr>
            <w:r>
              <w:t xml:space="preserve">0.456</w:t>
            </w:r>
          </w:p>
        </w:tc>
        <w:tc>
          <w:p>
            <w:pPr>
              <w:pStyle w:val="Compact"/>
              <w:jc w:val="left"/>
            </w:pPr>
            <w:r>
              <w:t xml:space="preserve">4.76</w:t>
            </w:r>
          </w:p>
        </w:tc>
        <w:tc>
          <w:p>
            <w:pPr>
              <w:pStyle w:val="Compact"/>
              <w:jc w:val="left"/>
            </w:pPr>
            <w:r>
              <w:t xml:space="preserve">0.018</w:t>
            </w:r>
          </w:p>
        </w:tc>
      </w:tr>
      <w:tr>
        <w:tc>
          <w:p>
            <w:pPr>
              <w:pStyle w:val="Compact"/>
              <w:jc w:val="left"/>
            </w:pPr>
            <w:r>
              <w:t xml:space="preserve">Legumes</w:t>
            </w:r>
          </w:p>
        </w:tc>
        <w:tc>
          <w:p>
            <w:pPr>
              <w:pStyle w:val="Compact"/>
              <w:jc w:val="left"/>
            </w:pPr>
            <w:r>
              <w:t xml:space="preserve">4.02</w:t>
            </w:r>
          </w:p>
        </w:tc>
        <w:tc>
          <w:p>
            <w:pPr>
              <w:pStyle w:val="Compact"/>
              <w:jc w:val="left"/>
            </w:pPr>
            <w:r>
              <w:t xml:space="preserve">7.14</w:t>
            </w:r>
          </w:p>
        </w:tc>
        <w:tc>
          <w:p>
            <w:pPr>
              <w:pStyle w:val="Compact"/>
              <w:jc w:val="left"/>
            </w:pPr>
            <w:r>
              <w:t xml:space="preserve">0.241</w:t>
            </w:r>
          </w:p>
        </w:tc>
      </w:tr>
      <w:tr>
        <w:tc>
          <w:p>
            <w:pPr>
              <w:pStyle w:val="Compact"/>
              <w:jc w:val="left"/>
            </w:pPr>
            <w:r>
              <w:t xml:space="preserve">Bee venom</w:t>
            </w:r>
          </w:p>
        </w:tc>
        <w:tc>
          <w:p>
            <w:pPr>
              <w:pStyle w:val="Compact"/>
              <w:jc w:val="left"/>
            </w:pPr>
            <w:r>
              <w:t xml:space="preserve">9.32</w:t>
            </w:r>
          </w:p>
        </w:tc>
        <w:tc>
          <w:p>
            <w:pPr>
              <w:pStyle w:val="Compact"/>
              <w:jc w:val="left"/>
            </w:pPr>
            <w:r>
              <w:t xml:space="preserve">11.9</w:t>
            </w:r>
          </w:p>
        </w:tc>
        <w:tc>
          <w:p>
            <w:pPr>
              <w:pStyle w:val="Compact"/>
              <w:jc w:val="left"/>
            </w:pPr>
            <w:r>
              <w:t xml:space="preserve">0.589</w:t>
            </w:r>
          </w:p>
        </w:tc>
      </w:tr>
      <w:tr>
        <w:tc>
          <w:p>
            <w:pPr>
              <w:pStyle w:val="Compact"/>
              <w:jc w:val="left"/>
            </w:pPr>
            <w:r>
              <w:t xml:space="preserve">Yellow-jacket venom</w:t>
            </w:r>
          </w:p>
        </w:tc>
        <w:tc>
          <w:p>
            <w:pPr>
              <w:pStyle w:val="Compact"/>
              <w:jc w:val="left"/>
            </w:pPr>
            <w:r>
              <w:t xml:space="preserve">33.3</w:t>
            </w:r>
          </w:p>
        </w:tc>
        <w:tc>
          <w:p>
            <w:pPr>
              <w:pStyle w:val="Compact"/>
              <w:jc w:val="left"/>
            </w:pPr>
            <w:r>
              <w:t xml:space="preserve">4.76</w:t>
            </w:r>
          </w:p>
        </w:tc>
        <w:tc>
          <w:p>
            <w:pPr>
              <w:pStyle w:val="Compact"/>
              <w:jc w:val="left"/>
            </w:pPr>
            <w:r>
              <w:t xml:space="preserve">1e-04</w:t>
            </w:r>
          </w:p>
        </w:tc>
      </w:tr>
    </w:tbl>
    <w:p>
      <w:pPr>
        <w:pStyle w:val="Heading5"/>
      </w:pPr>
      <w:bookmarkStart w:id="64" w:name="section-4"/>
      <w:bookmarkEnd w:id="64"/>
    </w:p>
    <w:p>
      <w:pPr>
        <w:pStyle w:val="TableCaption"/>
      </w:pPr>
      <w:r>
        <w:t xml:space="preserve">Table 4 Summary of the symptoms in the refractory anaphylaxis cases and severe, non-refractory anaphylaxis cases as a control. ANA - anaphylaxis, p-value derived from the Fisher’s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0.005</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0.019</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1e-04</w:t>
            </w:r>
          </w:p>
        </w:tc>
      </w:tr>
      <w:tr>
        <w:tc>
          <w:p>
            <w:pPr>
              <w:pStyle w:val="Compact"/>
              <w:jc w:val="left"/>
            </w:pPr>
            <w:r>
              <w:t xml:space="preserve">Chest tightness</w:t>
            </w:r>
          </w:p>
        </w:tc>
        <w:tc>
          <w:p>
            <w:pPr>
              <w:pStyle w:val="Compact"/>
              <w:jc w:val="left"/>
            </w:pPr>
            <w:r>
              <w:t xml:space="preserve">8.9</w:t>
            </w:r>
          </w:p>
        </w:tc>
        <w:tc>
          <w:p>
            <w:pPr>
              <w:pStyle w:val="Compact"/>
              <w:jc w:val="left"/>
            </w:pPr>
            <w:r>
              <w:t xml:space="preserve">2.38</w:t>
            </w:r>
          </w:p>
        </w:tc>
        <w:tc>
          <w:p>
            <w:pPr>
              <w:pStyle w:val="Compact"/>
              <w:jc w:val="left"/>
            </w:pPr>
            <w:r>
              <w:t xml:space="preserve">0.176</w:t>
            </w:r>
          </w:p>
        </w:tc>
      </w:tr>
      <w:tr>
        <w:tc>
          <w:p>
            <w:pPr>
              <w:pStyle w:val="Compact"/>
              <w:jc w:val="left"/>
            </w:pPr>
            <w:r>
              <w:t xml:space="preserve">Throat tightness</w:t>
            </w:r>
          </w:p>
        </w:tc>
        <w:tc>
          <w:p>
            <w:pPr>
              <w:pStyle w:val="Compact"/>
              <w:jc w:val="left"/>
            </w:pPr>
            <w:r>
              <w:t xml:space="preserve">14.6</w:t>
            </w:r>
          </w:p>
        </w:tc>
        <w:tc>
          <w:p>
            <w:pPr>
              <w:pStyle w:val="Compact"/>
              <w:jc w:val="left"/>
            </w:pPr>
            <w:r>
              <w:t xml:space="preserve">7.14</w:t>
            </w:r>
          </w:p>
        </w:tc>
        <w:tc>
          <w:p>
            <w:pPr>
              <w:pStyle w:val="Compact"/>
              <w:jc w:val="left"/>
            </w:pPr>
            <w:r>
              <w:t xml:space="preserve">0.268</w:t>
            </w:r>
          </w:p>
        </w:tc>
      </w:tr>
      <w:tr>
        <w:tc>
          <w:p>
            <w:pPr>
              <w:pStyle w:val="Compact"/>
              <w:jc w:val="left"/>
            </w:pPr>
            <w:r>
              <w:t xml:space="preserve">Expiratory distress</w:t>
            </w:r>
          </w:p>
        </w:tc>
        <w:tc>
          <w:p>
            <w:pPr>
              <w:pStyle w:val="Compact"/>
              <w:jc w:val="left"/>
            </w:pPr>
            <w:r>
              <w:t xml:space="preserve">5.08</w:t>
            </w:r>
          </w:p>
        </w:tc>
        <w:tc>
          <w:p>
            <w:pPr>
              <w:pStyle w:val="Compact"/>
              <w:jc w:val="left"/>
            </w:pPr>
            <w:r>
              <w:t xml:space="preserve">26.2</w:t>
            </w:r>
          </w:p>
        </w:tc>
        <w:tc>
          <w:p>
            <w:pPr>
              <w:pStyle w:val="Compact"/>
              <w:jc w:val="left"/>
            </w:pPr>
            <w:r>
              <w:t xml:space="preserve">1e-04</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0.002</w:t>
            </w:r>
          </w:p>
        </w:tc>
      </w:tr>
      <w:tr>
        <w:tc>
          <w:p>
            <w:pPr>
              <w:pStyle w:val="Compact"/>
              <w:jc w:val="left"/>
            </w:pPr>
            <w:r>
              <w:t xml:space="preserve">Loss of consciusness</w:t>
            </w:r>
          </w:p>
        </w:tc>
        <w:tc>
          <w:p>
            <w:pPr>
              <w:pStyle w:val="Compact"/>
              <w:jc w:val="left"/>
            </w:pPr>
            <w:r>
              <w:t xml:space="preserve">31.9</w:t>
            </w:r>
          </w:p>
        </w:tc>
        <w:tc>
          <w:p>
            <w:pPr>
              <w:pStyle w:val="Compact"/>
              <w:jc w:val="left"/>
            </w:pPr>
            <w:r>
              <w:t xml:space="preserve">40.5</w:t>
            </w:r>
          </w:p>
        </w:tc>
        <w:tc>
          <w:p>
            <w:pPr>
              <w:pStyle w:val="Compact"/>
              <w:jc w:val="left"/>
            </w:pPr>
            <w:r>
              <w:t xml:space="preserve">0.247</w:t>
            </w:r>
          </w:p>
        </w:tc>
      </w:tr>
      <w:tr>
        <w:tc>
          <w:p>
            <w:pPr>
              <w:pStyle w:val="Compact"/>
              <w:jc w:val="left"/>
            </w:pPr>
            <w:r>
              <w:t xml:space="preserve">Cardiac arrythmia</w:t>
            </w:r>
          </w:p>
        </w:tc>
        <w:tc>
          <w:p>
            <w:pPr>
              <w:pStyle w:val="Compact"/>
              <w:jc w:val="left"/>
            </w:pPr>
            <w:r>
              <w:t xml:space="preserve">3.3</w:t>
            </w:r>
          </w:p>
        </w:tc>
        <w:tc>
          <w:p>
            <w:pPr>
              <w:pStyle w:val="Compact"/>
              <w:jc w:val="left"/>
            </w:pPr>
            <w:r>
              <w:t xml:space="preserve">11.9</w:t>
            </w:r>
          </w:p>
        </w:tc>
        <w:tc>
          <w:p>
            <w:pPr>
              <w:pStyle w:val="Compact"/>
              <w:jc w:val="left"/>
            </w:pPr>
            <w:r>
              <w:t xml:space="preserve">0.013</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1e-04</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1e-04</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1e-04</w:t>
            </w:r>
          </w:p>
        </w:tc>
      </w:tr>
    </w:tbl>
    <w:p>
      <w:pPr>
        <w:pStyle w:val="Heading5"/>
      </w:pPr>
      <w:bookmarkStart w:id="65" w:name="section-5"/>
      <w:bookmarkEnd w:id="65"/>
    </w:p>
    <w:p>
      <w:pPr>
        <w:pStyle w:val="TableCaption"/>
      </w:pPr>
      <w:r>
        <w:t xml:space="preserve">Table 5 Summary of therapeutic measures in the refractory anaphylaxis cases and severe, non-refractory anaphylaxis cases as a control.</w:t>
      </w:r>
      <w:r>
        <w:t xml:space="preserve"> </w:t>
      </w:r>
      <w:r>
        <w:t xml:space="preserve">‘</w:t>
      </w:r>
      <w:r>
        <w:t xml:space="preserve">2nd line</w:t>
      </w:r>
      <w:r>
        <w:t xml:space="preserve">’</w:t>
      </w:r>
      <w:r>
        <w:t xml:space="preserve"> </w:t>
      </w:r>
      <w:r>
        <w:t xml:space="preserve">refers to the therapy performed by the professional medical emergency team after the initial rescue procedures. ANA - anaphylaxis, p-value derived from the Fisher’s exact test.</w:t>
      </w:r>
    </w:p>
    <w:tbl>
      <w:tblPr>
        <w:tblStyle w:val="TableNormal"/>
        <w:tblW w:type="pct" w:w="0.0"/>
        <w:tblLook w:firstRow="1"/>
        <w:tblCaption w:val="Table 5 Summary of therapeutic measures in the refractory anaphylaxis cases and severe, non-refractory anaphylaxis cases as a control. 2nd line refers to the therapy performed by the professional medical emergency team after the initial rescue procedures. ANA - anaphylaxis, p-value derived from the Fisher’s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8.38</w:t>
            </w:r>
          </w:p>
        </w:tc>
        <w:tc>
          <w:p>
            <w:pPr>
              <w:pStyle w:val="Compact"/>
              <w:jc w:val="left"/>
            </w:pPr>
            <w:r>
              <w:t xml:space="preserve">16.7</w:t>
            </w:r>
          </w:p>
        </w:tc>
        <w:tc>
          <w:p>
            <w:pPr>
              <w:pStyle w:val="Compact"/>
              <w:jc w:val="left"/>
            </w:pPr>
            <w:r>
              <w:t xml:space="preserve">0.084</w:t>
            </w:r>
          </w:p>
        </w:tc>
      </w:tr>
      <w:tr>
        <w:tc>
          <w:p>
            <w:pPr>
              <w:pStyle w:val="Compact"/>
              <w:jc w:val="left"/>
            </w:pPr>
            <w:r>
              <w:t xml:space="preserve">adrenaline i.v.</w:t>
            </w:r>
          </w:p>
        </w:tc>
        <w:tc>
          <w:p>
            <w:pPr>
              <w:pStyle w:val="Compact"/>
              <w:jc w:val="left"/>
            </w:pPr>
            <w:r>
              <w:t xml:space="preserve">12.3</w:t>
            </w:r>
          </w:p>
        </w:tc>
        <w:tc>
          <w:p>
            <w:pPr>
              <w:pStyle w:val="Compact"/>
              <w:jc w:val="left"/>
            </w:pPr>
            <w:r>
              <w:t xml:space="preserve">83.3</w:t>
            </w:r>
          </w:p>
        </w:tc>
        <w:tc>
          <w:p>
            <w:pPr>
              <w:pStyle w:val="Compact"/>
              <w:jc w:val="left"/>
            </w:pPr>
            <w:r>
              <w:t xml:space="preserve">1e-04</w:t>
            </w:r>
          </w:p>
        </w:tc>
      </w:tr>
      <w:tr>
        <w:tc>
          <w:p>
            <w:pPr>
              <w:pStyle w:val="Compact"/>
              <w:jc w:val="left"/>
            </w:pPr>
            <w:r>
              <w:t xml:space="preserve">adrenaline i.v. 2nd line</w:t>
            </w:r>
          </w:p>
        </w:tc>
        <w:tc>
          <w:p>
            <w:pPr>
              <w:pStyle w:val="Compact"/>
              <w:jc w:val="left"/>
            </w:pPr>
            <w:r>
              <w:t xml:space="preserve">0.726</w:t>
            </w:r>
          </w:p>
        </w:tc>
        <w:tc>
          <w:p>
            <w:pPr>
              <w:pStyle w:val="Compact"/>
              <w:jc w:val="left"/>
            </w:pPr>
            <w:r>
              <w:t xml:space="preserve">40.5</w:t>
            </w:r>
          </w:p>
        </w:tc>
        <w:tc>
          <w:p>
            <w:pPr>
              <w:pStyle w:val="Compact"/>
              <w:jc w:val="left"/>
            </w:pPr>
            <w:r>
              <w:t xml:space="preserve">1e-04</w:t>
            </w:r>
          </w:p>
        </w:tc>
      </w:tr>
      <w:tr>
        <w:tc>
          <w:p>
            <w:pPr>
              <w:pStyle w:val="Compact"/>
              <w:jc w:val="left"/>
            </w:pPr>
            <w:r>
              <w:t xml:space="preserve">volume</w:t>
            </w:r>
          </w:p>
        </w:tc>
        <w:tc>
          <w:p>
            <w:pPr>
              <w:pStyle w:val="Compact"/>
              <w:jc w:val="left"/>
            </w:pPr>
            <w:r>
              <w:t xml:space="preserve">20.5</w:t>
            </w:r>
          </w:p>
        </w:tc>
        <w:tc>
          <w:p>
            <w:pPr>
              <w:pStyle w:val="Compact"/>
              <w:jc w:val="left"/>
            </w:pPr>
            <w:r>
              <w:t xml:space="preserve">61.9</w:t>
            </w:r>
          </w:p>
        </w:tc>
        <w:tc>
          <w:p>
            <w:pPr>
              <w:pStyle w:val="Compact"/>
              <w:jc w:val="left"/>
            </w:pPr>
            <w:r>
              <w:t xml:space="preserve">1e-04</w:t>
            </w:r>
          </w:p>
        </w:tc>
      </w:tr>
      <w:tr>
        <w:tc>
          <w:p>
            <w:pPr>
              <w:pStyle w:val="Compact"/>
              <w:jc w:val="left"/>
            </w:pPr>
            <w:r>
              <w:t xml:space="preserve">volume, 2nd line</w:t>
            </w:r>
          </w:p>
        </w:tc>
        <w:tc>
          <w:p>
            <w:pPr>
              <w:pStyle w:val="Compact"/>
              <w:jc w:val="left"/>
            </w:pPr>
            <w:r>
              <w:t xml:space="preserve">3.34</w:t>
            </w:r>
          </w:p>
        </w:tc>
        <w:tc>
          <w:p>
            <w:pPr>
              <w:pStyle w:val="Compact"/>
              <w:jc w:val="left"/>
            </w:pPr>
            <w:r>
              <w:t xml:space="preserve">19</w:t>
            </w:r>
          </w:p>
        </w:tc>
        <w:tc>
          <w:p>
            <w:pPr>
              <w:pStyle w:val="Compact"/>
              <w:jc w:val="left"/>
            </w:pPr>
            <w:r>
              <w:t xml:space="preserve">1e-04</w:t>
            </w:r>
          </w:p>
        </w:tc>
      </w:tr>
      <w:tr>
        <w:tc>
          <w:p>
            <w:pPr>
              <w:pStyle w:val="Compact"/>
              <w:jc w:val="left"/>
            </w:pPr>
            <w:r>
              <w:t xml:space="preserve">antihistaminics i.v.</w:t>
            </w:r>
          </w:p>
        </w:tc>
        <w:tc>
          <w:p>
            <w:pPr>
              <w:pStyle w:val="Compact"/>
              <w:jc w:val="left"/>
            </w:pPr>
            <w:r>
              <w:t xml:space="preserve">40.9</w:t>
            </w:r>
          </w:p>
        </w:tc>
        <w:tc>
          <w:p>
            <w:pPr>
              <w:pStyle w:val="Compact"/>
              <w:jc w:val="left"/>
            </w:pPr>
            <w:r>
              <w:t xml:space="preserve">64.3</w:t>
            </w:r>
          </w:p>
        </w:tc>
        <w:tc>
          <w:p>
            <w:pPr>
              <w:pStyle w:val="Compact"/>
              <w:jc w:val="left"/>
            </w:pPr>
            <w:r>
              <w:t xml:space="preserve">0.003</w:t>
            </w:r>
          </w:p>
        </w:tc>
      </w:tr>
      <w:tr>
        <w:tc>
          <w:p>
            <w:pPr>
              <w:pStyle w:val="Compact"/>
              <w:jc w:val="left"/>
            </w:pPr>
            <w:r>
              <w:t xml:space="preserve">antihistaminics i.v. 2nd line</w:t>
            </w:r>
          </w:p>
        </w:tc>
        <w:tc>
          <w:p>
            <w:pPr>
              <w:pStyle w:val="Compact"/>
              <w:jc w:val="left"/>
            </w:pPr>
            <w:r>
              <w:t xml:space="preserve">3.84</w:t>
            </w:r>
          </w:p>
        </w:tc>
        <w:tc>
          <w:p>
            <w:pPr>
              <w:pStyle w:val="Compact"/>
              <w:jc w:val="left"/>
            </w:pPr>
            <w:r>
              <w:t xml:space="preserve">21.4</w:t>
            </w:r>
          </w:p>
        </w:tc>
        <w:tc>
          <w:p>
            <w:pPr>
              <w:pStyle w:val="Compact"/>
              <w:jc w:val="left"/>
            </w:pPr>
            <w:r>
              <w:t xml:space="preserve">1e-04</w:t>
            </w:r>
          </w:p>
        </w:tc>
      </w:tr>
      <w:tr>
        <w:tc>
          <w:p>
            <w:pPr>
              <w:pStyle w:val="Compact"/>
              <w:jc w:val="left"/>
            </w:pPr>
            <w:r>
              <w:t xml:space="preserve">corticosteoids, all routes</w:t>
            </w:r>
          </w:p>
        </w:tc>
        <w:tc>
          <w:p>
            <w:pPr>
              <w:pStyle w:val="Compact"/>
              <w:jc w:val="left"/>
            </w:pPr>
            <w:r>
              <w:t xml:space="preserve">5.52</w:t>
            </w:r>
          </w:p>
        </w:tc>
        <w:tc>
          <w:p>
            <w:pPr>
              <w:pStyle w:val="Compact"/>
              <w:jc w:val="left"/>
            </w:pPr>
            <w:r>
              <w:t xml:space="preserve">7.14</w:t>
            </w:r>
          </w:p>
        </w:tc>
        <w:tc>
          <w:p>
            <w:pPr>
              <w:pStyle w:val="Compact"/>
              <w:jc w:val="left"/>
            </w:pPr>
            <w:r>
              <w:t xml:space="preserve">0.504</w:t>
            </w:r>
          </w:p>
        </w:tc>
      </w:tr>
      <w:tr>
        <w:tc>
          <w:p>
            <w:pPr>
              <w:pStyle w:val="Compact"/>
              <w:jc w:val="left"/>
            </w:pPr>
            <w:r>
              <w:t xml:space="preserve">corticosteroids i.v.</w:t>
            </w:r>
          </w:p>
        </w:tc>
        <w:tc>
          <w:p>
            <w:pPr>
              <w:pStyle w:val="Compact"/>
              <w:jc w:val="left"/>
            </w:pPr>
            <w:r>
              <w:t xml:space="preserve">48.8</w:t>
            </w:r>
          </w:p>
        </w:tc>
        <w:tc>
          <w:p>
            <w:pPr>
              <w:pStyle w:val="Compact"/>
              <w:jc w:val="left"/>
            </w:pPr>
            <w:r>
              <w:t xml:space="preserve">73.8</w:t>
            </w:r>
          </w:p>
        </w:tc>
        <w:tc>
          <w:p>
            <w:pPr>
              <w:pStyle w:val="Compact"/>
              <w:jc w:val="left"/>
            </w:pPr>
            <w:r>
              <w:t xml:space="preserve">0.002</w:t>
            </w:r>
          </w:p>
        </w:tc>
      </w:tr>
      <w:tr>
        <w:tc>
          <w:p>
            <w:pPr>
              <w:pStyle w:val="Compact"/>
              <w:jc w:val="left"/>
            </w:pPr>
            <w:r>
              <w:t xml:space="preserve">corticosteroids i.v. 2nd line</w:t>
            </w:r>
          </w:p>
        </w:tc>
        <w:tc>
          <w:p>
            <w:pPr>
              <w:pStyle w:val="Compact"/>
              <w:jc w:val="left"/>
            </w:pPr>
            <w:r>
              <w:t xml:space="preserve">5.37</w:t>
            </w:r>
          </w:p>
        </w:tc>
        <w:tc>
          <w:p>
            <w:pPr>
              <w:pStyle w:val="Compact"/>
              <w:jc w:val="left"/>
            </w:pPr>
            <w:r>
              <w:t xml:space="preserve">28.6</w:t>
            </w:r>
          </w:p>
        </w:tc>
        <w:tc>
          <w:p>
            <w:pPr>
              <w:pStyle w:val="Compact"/>
              <w:jc w:val="left"/>
            </w:pPr>
            <w:r>
              <w:t xml:space="preserve">1e-04</w:t>
            </w:r>
          </w:p>
        </w:tc>
      </w:tr>
      <w:tr>
        <w:tc>
          <w:p>
            <w:pPr>
              <w:pStyle w:val="Compact"/>
              <w:jc w:val="left"/>
            </w:pPr>
            <w:r>
              <w:t xml:space="preserve">beta-2-mimetics i.v.</w:t>
            </w:r>
          </w:p>
        </w:tc>
        <w:tc>
          <w:p>
            <w:pPr>
              <w:pStyle w:val="Compact"/>
              <w:jc w:val="left"/>
            </w:pPr>
            <w:r>
              <w:t xml:space="preserve">0.664</w:t>
            </w:r>
          </w:p>
        </w:tc>
        <w:tc>
          <w:p>
            <w:pPr>
              <w:pStyle w:val="Compact"/>
              <w:jc w:val="left"/>
            </w:pPr>
            <w:r>
              <w:t xml:space="preserve">2.38</w:t>
            </w:r>
          </w:p>
        </w:tc>
        <w:tc>
          <w:p>
            <w:pPr>
              <w:pStyle w:val="Compact"/>
              <w:jc w:val="left"/>
            </w:pPr>
            <w:r>
              <w:t xml:space="preserve">0.25</w:t>
            </w:r>
          </w:p>
        </w:tc>
      </w:tr>
      <w:tr>
        <w:tc>
          <w:p>
            <w:pPr>
              <w:pStyle w:val="Compact"/>
              <w:jc w:val="left"/>
            </w:pPr>
            <w:r>
              <w:t xml:space="preserve">beta-2-mimetics inh. 2nd line</w:t>
            </w:r>
          </w:p>
        </w:tc>
        <w:tc>
          <w:p>
            <w:pPr>
              <w:pStyle w:val="Compact"/>
              <w:jc w:val="left"/>
            </w:pPr>
            <w:r>
              <w:t xml:space="preserve">0.747</w:t>
            </w:r>
          </w:p>
        </w:tc>
        <w:tc>
          <w:p>
            <w:pPr>
              <w:pStyle w:val="Compact"/>
              <w:jc w:val="left"/>
            </w:pPr>
            <w:r>
              <w:t xml:space="preserve">7.14</w:t>
            </w:r>
          </w:p>
        </w:tc>
        <w:tc>
          <w:p>
            <w:pPr>
              <w:pStyle w:val="Compact"/>
              <w:jc w:val="left"/>
            </w:pPr>
            <w:r>
              <w:t xml:space="preserve">0.004</w:t>
            </w:r>
          </w:p>
        </w:tc>
      </w:tr>
      <w:tr>
        <w:tc>
          <w:p>
            <w:pPr>
              <w:pStyle w:val="Compact"/>
              <w:jc w:val="left"/>
            </w:pPr>
            <w:r>
              <w:t xml:space="preserve">theophyline i.v.</w:t>
            </w:r>
          </w:p>
        </w:tc>
        <w:tc>
          <w:p>
            <w:pPr>
              <w:pStyle w:val="Compact"/>
              <w:jc w:val="left"/>
            </w:pPr>
            <w:r>
              <w:t xml:space="preserve">0.415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9.42</w:t>
            </w:r>
          </w:p>
        </w:tc>
        <w:tc>
          <w:p>
            <w:pPr>
              <w:pStyle w:val="Compact"/>
              <w:jc w:val="left"/>
            </w:pPr>
            <w:r>
              <w:t xml:space="preserve">47.6</w:t>
            </w:r>
          </w:p>
        </w:tc>
        <w:tc>
          <w:p>
            <w:pPr>
              <w:pStyle w:val="Compact"/>
              <w:jc w:val="left"/>
            </w:pPr>
            <w:r>
              <w:t xml:space="preserve">1e-04</w:t>
            </w:r>
          </w:p>
        </w:tc>
      </w:tr>
      <w:tr>
        <w:tc>
          <w:p>
            <w:pPr>
              <w:pStyle w:val="Compact"/>
              <w:jc w:val="left"/>
            </w:pPr>
            <w:r>
              <w:t xml:space="preserve">dopamine i.v.</w:t>
            </w:r>
          </w:p>
        </w:tc>
        <w:tc>
          <w:p>
            <w:pPr>
              <w:pStyle w:val="Compact"/>
              <w:jc w:val="left"/>
            </w:pPr>
            <w:r>
              <w:t xml:space="preserve">0.0415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0.0207</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28</w:t>
            </w:r>
          </w:p>
        </w:tc>
        <w:tc>
          <w:p>
            <w:pPr>
              <w:pStyle w:val="Compact"/>
              <w:jc w:val="left"/>
            </w:pPr>
            <w:r>
              <w:t xml:space="preserve">85.7</w:t>
            </w:r>
          </w:p>
        </w:tc>
        <w:tc>
          <w:p>
            <w:pPr>
              <w:pStyle w:val="Compact"/>
              <w:jc w:val="left"/>
            </w:pPr>
            <w:r>
              <w:t xml:space="preserve">1e-04</w:t>
            </w:r>
          </w:p>
        </w:tc>
      </w:tr>
      <w:tr>
        <w:tc>
          <w:p>
            <w:pPr>
              <w:pStyle w:val="Compact"/>
              <w:jc w:val="left"/>
            </w:pPr>
            <w:r>
              <w:t xml:space="preserve">intensive care</w:t>
            </w:r>
          </w:p>
        </w:tc>
        <w:tc>
          <w:p>
            <w:pPr>
              <w:pStyle w:val="Compact"/>
              <w:jc w:val="left"/>
            </w:pPr>
            <w:r>
              <w:t xml:space="preserve">7.55</w:t>
            </w:r>
          </w:p>
        </w:tc>
        <w:tc>
          <w:p>
            <w:pPr>
              <w:pStyle w:val="Compact"/>
              <w:jc w:val="left"/>
            </w:pPr>
            <w:r>
              <w:t xml:space="preserve">78.6</w:t>
            </w:r>
          </w:p>
        </w:tc>
        <w:tc>
          <w:p>
            <w:pPr>
              <w:pStyle w:val="Compact"/>
              <w:jc w:val="left"/>
            </w:pPr>
            <w:r>
              <w:t xml:space="preserve">1e-04</w:t>
            </w:r>
          </w:p>
        </w:tc>
      </w:tr>
    </w:tbl>
    <w:p>
      <w:pPr>
        <w:pStyle w:val="Heading5"/>
      </w:pPr>
      <w:bookmarkStart w:id="66" w:name="section-6"/>
      <w:bookmarkEnd w:id="66"/>
    </w:p>
    <w:p>
      <w:pPr>
        <w:pStyle w:val="TableCaption"/>
      </w:pPr>
      <w:r>
        <w:t xml:space="preserve">Table 6 Factors potentially increasing the risk of a severe anaphylaxis investigated in refractory cases. ANA - anaphylaxis, p-value derived from the Fisher’s exact test.</w:t>
      </w:r>
    </w:p>
    <w:tbl>
      <w:tblPr>
        <w:tblStyle w:val="TableNormal"/>
        <w:tblW w:type="pct" w:w="0.0"/>
        <w:tblLook w:firstRow="1"/>
        <w:tblCaption w:val="Table 6 Factors potentially increasing the risk of a severe anaphylaxis investigated in refractory cases. ANA - anaphylaxis, p-value derived from the Fisher’s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w:t>
            </w:r>
          </w:p>
        </w:tc>
      </w:tr>
      <w:tr>
        <w:tc>
          <w:p>
            <w:pPr>
              <w:pStyle w:val="Compact"/>
              <w:jc w:val="left"/>
            </w:pPr>
            <w:r>
              <w:t xml:space="preserve">Concomitant AD</w:t>
            </w:r>
          </w:p>
        </w:tc>
        <w:tc>
          <w:p>
            <w:pPr>
              <w:pStyle w:val="Compact"/>
              <w:jc w:val="left"/>
            </w:pPr>
            <w:r>
              <w:t xml:space="preserve">6.49</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2.93</w:t>
            </w:r>
          </w:p>
        </w:tc>
        <w:tc>
          <w:p>
            <w:pPr>
              <w:pStyle w:val="Compact"/>
              <w:jc w:val="left"/>
            </w:pPr>
            <w:r>
              <w:t xml:space="preserve">11.9</w:t>
            </w:r>
          </w:p>
        </w:tc>
        <w:tc>
          <w:p>
            <w:pPr>
              <w:pStyle w:val="Compact"/>
              <w:jc w:val="left"/>
            </w:pPr>
            <w:r>
              <w:t xml:space="preserve">0.008</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0.392</w:t>
            </w:r>
          </w:p>
        </w:tc>
      </w:tr>
      <w:tr>
        <w:tc>
          <w:p>
            <w:pPr>
              <w:pStyle w:val="Compact"/>
              <w:jc w:val="left"/>
            </w:pPr>
            <w:r>
              <w:t xml:space="preserve">History of malignant disease</w:t>
            </w:r>
          </w:p>
        </w:tc>
        <w:tc>
          <w:p>
            <w:pPr>
              <w:pStyle w:val="Compact"/>
              <w:jc w:val="left"/>
            </w:pPr>
            <w:r>
              <w:t xml:space="preserve">2.07</w:t>
            </w:r>
          </w:p>
        </w:tc>
        <w:tc>
          <w:p>
            <w:pPr>
              <w:pStyle w:val="Compact"/>
              <w:jc w:val="left"/>
            </w:pPr>
            <w:r>
              <w:t xml:space="preserve">9.52</w:t>
            </w:r>
          </w:p>
        </w:tc>
        <w:tc>
          <w:p>
            <w:pPr>
              <w:pStyle w:val="Compact"/>
              <w:jc w:val="left"/>
            </w:pPr>
            <w:r>
              <w:t xml:space="preserve">0.012</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1e-04</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6.78</w:t>
            </w:r>
          </w:p>
        </w:tc>
        <w:tc>
          <w:p>
            <w:pPr>
              <w:pStyle w:val="Compact"/>
              <w:jc w:val="left"/>
            </w:pPr>
            <w:r>
              <w:t xml:space="preserve">26.2</w:t>
            </w:r>
          </w:p>
        </w:tc>
        <w:tc>
          <w:p>
            <w:pPr>
              <w:pStyle w:val="Compact"/>
              <w:jc w:val="left"/>
            </w:pPr>
            <w:r>
              <w:t xml:space="preserve">1e-04</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0.015</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2.93</w:t>
            </w:r>
          </w:p>
        </w:tc>
        <w:tc>
          <w:p>
            <w:pPr>
              <w:pStyle w:val="Compact"/>
              <w:jc w:val="left"/>
            </w:pPr>
            <w:r>
              <w:t xml:space="preserve">16.7</w:t>
            </w:r>
          </w:p>
        </w:tc>
        <w:tc>
          <w:p>
            <w:pPr>
              <w:pStyle w:val="Compact"/>
              <w:jc w:val="left"/>
            </w:pPr>
            <w:r>
              <w:t xml:space="preserve">1e-04</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1e-04</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5946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2018-09-18T10:36:55Z</dcterms:created>
  <dcterms:modified xsi:type="dcterms:W3CDTF">2018-09-18T10:36:55Z</dcterms:modified>
</cp:coreProperties>
</file>