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30</w:t>
      </w:r>
      <w:r>
        <w:t xml:space="preserve"> </w:t>
      </w:r>
      <w:r>
        <w:t xml:space="preserve">August,</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was given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low use of intramuscular adrenaline as a first line therapy might contribute to refractoriness of an episode. Also, the lack of suggested second line medication use in refractory cases indicate that the availability of these drugs is either restricted or anaphylaxis management guidelines may need to be revised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respond with an expected normalization of clinical symptoms. Typical elicitors and symptoms of refractory anaphylaxis, as well as the therapeutic strategy for the most severe cases, differ from the usual reactions</w:t>
      </w:r>
      <w:r>
        <w:t xml:space="preserve"> </w:t>
      </w:r>
      <w:r>
        <w:t xml:space="preserve">[2]</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[3]</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[1]</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[4]</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[5]</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often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it has been also given more often as a second line therapy in refractory cases.</w:t>
      </w:r>
      <w:r>
        <w:t xml:space="preserve"> </w:t>
      </w:r>
      <w:r>
        <w:t xml:space="preserve">Median time to the second dose of adrenaline was also shorter in refractory cases (2 minutes vs. 15 minutes in non-refractory cases, p = 2.25</w:t>
      </w:r>
      <w:r>
        <w:t xml:space="preserve">10^{-5}).</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 past.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used proton pump inhibitors (PPI) and acetylsalicilic acid (ASA) than patients with severe non-refractory anaphylaxis. Other (not specified) medications were also more frequent in refractory cases.</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[6]</w:t>
      </w:r>
      <w:r>
        <w:t xml:space="preserve">. Such cases have the highest risk of a fatal outcome, and therefore need to be treated adequately.</w:t>
      </w:r>
    </w:p>
    <w:p>
      <w:pPr>
        <w:pStyle w:val="BodyText"/>
      </w:pPr>
      <w:r>
        <w:t xml:space="preserve">Overall, the severity of anaphylaxis and its probable transition into a refractory episode might be described as in the figure</w:t>
      </w:r>
      <w:r>
        <w:t xml:space="preserve"> </w:t>
      </w:r>
      <w:r>
        <w:t xml:space="preserve">2</w:t>
      </w:r>
      <w:r>
        <w:t xml:space="preserve">. Patients who undergo anaphylaxis have four main aspects that influence the severity of a particular episode: 1) compensation - how well is the body able to compensate reaction symptoms e.g. hypotension; 2) elicitors - what was the eliciting agent and duration of the exposition; 3) cofactors - is the presence of other factors which may increase the severity of a given reaction i.e. concomitant use of betablocker etc.; 4) therapy - how fast and accurate the therapeutic procedures were introduced.</w:t>
      </w:r>
      <w:r>
        <w:br w:type="textWrapping"/>
      </w:r>
    </w:p>
    <w:p>
      <w:pPr>
        <w:pStyle w:val="Heading2"/>
      </w:pPr>
      <w:bookmarkStart w:id="34" w:name="symptom-compensation"/>
      <w:bookmarkEnd w:id="34"/>
      <w:r>
        <w:t xml:space="preserve">Symptom compensation</w:t>
      </w:r>
    </w:p>
    <w:p>
      <w:pPr>
        <w:pStyle w:val="FirstParagraph"/>
      </w:pPr>
      <w:r>
        <w:t xml:space="preserve">Age is the most important factor influencing the risk of developing severe anaphylaxis</w:t>
      </w:r>
      <w:r>
        <w:t xml:space="preserve"> </w:t>
      </w:r>
      <w:r>
        <w:t xml:space="preserve">[4]</w:t>
      </w:r>
      <w:r>
        <w:t xml:space="preserve">. It has been shown that older age may correlate with the decreased abillity to retain homeostasis on increased strain</w:t>
      </w:r>
      <w:r>
        <w:t xml:space="preserve"> </w:t>
      </w:r>
      <w:r>
        <w:t xml:space="preserve">[7]</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[8]</w:t>
      </w:r>
      <w:r>
        <w:t xml:space="preserve">.</w:t>
      </w:r>
    </w:p>
    <w:p>
      <w:pPr>
        <w:pStyle w:val="Heading2"/>
      </w:pPr>
      <w:bookmarkStart w:id="35" w:name="elicitors"/>
      <w:bookmarkEnd w:id="35"/>
      <w:r>
        <w:t xml:space="preserve">Elicitors</w:t>
      </w:r>
    </w:p>
    <w:p>
      <w:pPr>
        <w:pStyle w:val="FirstParagraph"/>
      </w:pPr>
      <w:r>
        <w:t xml:space="preserve">Drugs were the most commonly occurring elicitor, what is in concordance with our previous findings</w:t>
      </w:r>
      <w:r>
        <w:t xml:space="preserve"> </w:t>
      </w:r>
      <w:r>
        <w:t xml:space="preserve">[2]</w:t>
      </w:r>
      <w:r>
        <w:t xml:space="preserve">. Multiple medications given in a perioperative setting increase the chance of a hypersensitivity reaction and drug interactions</w:t>
      </w:r>
      <w:r>
        <w:t xml:space="preserve"> </w:t>
      </w:r>
      <w:r>
        <w:t xml:space="preserve">[9]</w:t>
      </w:r>
      <w:r>
        <w:t xml:space="preserve">. Therefore patients who undergo medical procedures and have a history of anaphylaxis should remain under extraordinary caution.</w:t>
      </w:r>
    </w:p>
    <w:p>
      <w:pPr>
        <w:pStyle w:val="BodyText"/>
      </w:pPr>
      <w:r>
        <w:t xml:space="preserve">Antibiotics, although commonly triggering pseudoallergic reactions</w:t>
      </w:r>
      <w:r>
        <w:t xml:space="preserve">[10]</w:t>
      </w:r>
      <w:r>
        <w:t xml:space="preserve">, are rarely reported in the literature as the cause of a refractory anaphylaxis. We saw multiple refractory reactions to antibiotics but in clinical practice, these might be overestimated, as patients in a perioperative setting receive multiple drugs along with antibiotics.</w:t>
      </w:r>
    </w:p>
    <w:p>
      <w:pPr>
        <w:pStyle w:val="BodyText"/>
      </w:pPr>
      <w:r>
        <w:t xml:space="preserve">RCM however, commonly elicit hypersensitivity episodes refractory to adrenaline and are responsible for 1-5 deaths per 100,000 administrations</w:t>
      </w:r>
      <w:r>
        <w:t xml:space="preserve"> </w:t>
      </w:r>
      <w:r>
        <w:t xml:space="preserve">[11]</w:t>
      </w:r>
      <w:r>
        <w:t xml:space="preserve">. We previously saw RCM to be the most frequent elicitor of refractory anaphylaxis</w:t>
      </w:r>
      <w:r>
        <w:t xml:space="preserve"> </w:t>
      </w:r>
      <w:r>
        <w:t xml:space="preserve">[2]</w:t>
      </w:r>
      <w:r>
        <w:t xml:space="preserve">. One of the plausible explanation to this is that RCM promote complement activation related pseudo allergy (CARPA)</w:t>
      </w:r>
      <w:r>
        <w:t xml:space="preserve"> </w:t>
      </w:r>
      <w:r>
        <w:t xml:space="preserve">[12]</w:t>
      </w:r>
      <w:r>
        <w:t xml:space="preserve">, and therfore the treatment with adrenaline may be less effective in these reactions.</w:t>
      </w:r>
    </w:p>
    <w:p>
      <w:pPr>
        <w:pStyle w:val="BodyText"/>
      </w:pPr>
      <w:r>
        <w:t xml:space="preserve">There were also relatively less refractory cases elicited by yellow jacket stings (but not bee-stings). It means that the ratio of yellow jacket to honey bee venom elicited anaphylaxis was inverted in the refractory group. Plausible explanations for this observation might include either longer exposition to the allergen (bee’s sting remains in the skin) or the venom volume being 10 times higher than in a wasp sting. Patients should remove the bee sting as quickly as possible (optimal &lt; 2 seconds)</w:t>
      </w:r>
      <w:r>
        <w:t xml:space="preserve"> </w:t>
      </w:r>
      <w:r>
        <w:t xml:space="preserve">[13]</w:t>
      </w:r>
      <w:r>
        <w:t xml:space="preserve">.</w:t>
      </w:r>
    </w:p>
    <w:p>
      <w:pPr>
        <w:pStyle w:val="Heading2"/>
      </w:pPr>
      <w:bookmarkStart w:id="36" w:name="risk-factors"/>
      <w:bookmarkEnd w:id="36"/>
      <w:r>
        <w:t xml:space="preserve">Risk factors</w:t>
      </w:r>
    </w:p>
    <w:p>
      <w:pPr>
        <w:pStyle w:val="FirstParagraph"/>
      </w:pPr>
      <w:r>
        <w:t xml:space="preserve">Although we have previously identified older age and male sex to be associated with more severe anaphylaxis</w:t>
      </w:r>
      <w:r>
        <w:t xml:space="preserve"> </w:t>
      </w:r>
      <w:r>
        <w:t xml:space="preserve">[4]</w:t>
      </w:r>
      <w:r>
        <w:t xml:space="preserve">,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Literature describes many cases of hypersenitivity due to cancer drugs, but malignancy in medical history has never been previously associated with severe anaphylaxis.</w:t>
      </w:r>
      <w:r>
        <w:t xml:space="preserve"> </w:t>
      </w:r>
    </w:p>
    <w:p>
      <w:pPr>
        <w:pStyle w:val="BodyText"/>
      </w:pPr>
      <w:r>
        <w:t xml:space="preserve">It might be possible that patients with reported malignancies were simply older (mean age of 34.5755385 vs 58.2538655 p &lt;</w:t>
      </w:r>
      <w:r>
        <w:t xml:space="preserve"> </w:t>
      </w:r>
      <w:r>
        <w:t xml:space="preserve"> </w:t>
      </w:r>
      <w:r>
        <w:t xml:space="preserve">0.001) and therefore less able to compensate the anaphylactic shock.</w:t>
      </w:r>
    </w:p>
    <w:p>
      <w:pPr>
        <w:pStyle w:val="BodyText"/>
      </w:pPr>
      <w:r>
        <w:t xml:space="preserve">We previously saw that concomitant asthma was rather associated with less severe anaphylaxis</w:t>
      </w:r>
      <w:r>
        <w:t xml:space="preserve"> </w:t>
      </w:r>
      <w:r>
        <w:t xml:space="preserve">[4]</w:t>
      </w:r>
      <w:r>
        <w:t xml:space="preserve"> </w:t>
      </w:r>
      <w:r>
        <w:t xml:space="preserve">but the present analysis indicated concomitant asthma as a risk factor for a refractory episode. Either patients receive already antihistaminic and mast cell blocking agents and their reaction to adrenaline is therefore restricted, or the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The role of PPI however has not been identified as a risk factor, and there are only reports on PPI as elicitors of anaphylaxis.</w:t>
      </w:r>
    </w:p>
    <w:p>
      <w:pPr>
        <w:pStyle w:val="Heading2"/>
      </w:pPr>
      <w:bookmarkStart w:id="37" w:name="therapy"/>
      <w:bookmarkEnd w:id="37"/>
      <w:r>
        <w:t xml:space="preserve">Therapy</w:t>
      </w:r>
    </w:p>
    <w:p>
      <w:pPr>
        <w:pStyle w:val="FirstParagraph"/>
      </w:pPr>
      <w:r>
        <w:t xml:space="preserve">Adrenaline i.v. as first-line therapy use was higher in the refractory cases, probably due to most of them happening in a medical setting, however, other second-line therapeutic options were rarely used.</w:t>
      </w:r>
    </w:p>
    <w:p>
      <w:pPr>
        <w:pStyle w:val="BodyText"/>
      </w:pPr>
      <w:r>
        <w:t xml:space="preserve">Methylene blue and vasopressors have been described to successfully restore refractory hypotension, but their actual use in anaphylaxis patients is scarce, although they are mentioned in recognized guidelines on the management of anaphylaxis</w:t>
      </w:r>
      <w:r>
        <w:t xml:space="preserve"> </w:t>
      </w:r>
      <w:r>
        <w:t xml:space="preserve">[6]</w:t>
      </w:r>
      <w:r>
        <w:t xml:space="preserve">.</w:t>
      </w:r>
    </w:p>
    <w:p>
      <w:pPr>
        <w:pStyle w:val="Heading2"/>
      </w:pPr>
      <w:bookmarkStart w:id="38" w:name="limitations-and-strength"/>
      <w:bookmarkEnd w:id="38"/>
      <w:r>
        <w:t xml:space="preserve">Limitations and strength</w:t>
      </w:r>
    </w:p>
    <w:p>
      <w:pPr>
        <w:pStyle w:val="FirstParagraph"/>
      </w:pPr>
      <w:r>
        <w:t xml:space="preserve">Low number of refractory cases prevented us from analyzing the data with more advanced statistical models, however, our analysis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fatal reaction occurs before the second dose of adrenaline could be administered to the patient - it cannot be diagnosed as refractory (as we defined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39" w:name="conclusion"/>
      <w:bookmarkEnd w:id="39"/>
      <w:r>
        <w:t xml:space="preserve">Conclusion</w:t>
      </w:r>
    </w:p>
    <w:p>
      <w:pPr>
        <w:pStyle w:val="FirstParagraph"/>
      </w:pPr>
      <w:r>
        <w:t xml:space="preserve">Refractory anaphylaxis is a rare form of life-threatening hypersensitivity reaction with high mortality. We propose to increase the use of second line medication such as methylene blue, vasopressin and glucagon</w:t>
      </w:r>
      <w:r>
        <w:t xml:space="preserve"> </w:t>
      </w:r>
      <w:r>
        <w:t xml:space="preserve">in cases where 2 doses of adrenaline did not result in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Francuzik W, Dölle S, Worm M. Risk factors and treatment of refractory anaphylaxis-a review of case reports. Expert review of clinical immunology. 2018;14:307–314.</w:t>
      </w:r>
    </w:p>
    <w:p>
      <w:pPr>
        <w:pStyle w:val="BodyText"/>
      </w:pPr>
      <w:r>
        <w:t xml:space="preserve">[3] Grabenhenrich LB, Dölle S, Moneret-Vautrin A, et al. Anaphylaxis in children and adolescents: The european anaphylaxis registry. Journal of Allergy and Clinical Immunology. 2016;137:1128–1137.e1.</w:t>
      </w:r>
    </w:p>
    <w:p>
      <w:pPr>
        <w:pStyle w:val="BodyText"/>
      </w:pPr>
      <w:r>
        <w:t xml:space="preserve">[4] Worm M, Francuzik W, Renaudin J-M, et al. Factors increasing the risk for a severe reaction in anaphylaxis: An analysis of data from the european anaphylaxis registry. Allergy. 2018;</w:t>
      </w:r>
    </w:p>
    <w:p>
      <w:pPr>
        <w:pStyle w:val="BodyText"/>
      </w:pPr>
      <w:r>
        <w:t xml:space="preserve">[5] R Core Team. R: A language and environment for statistical computing. Vienna, Austria: R Foundation for Statistical Computing; 2017.</w:t>
      </w:r>
    </w:p>
    <w:p>
      <w:pPr>
        <w:pStyle w:val="BodyText"/>
      </w:pPr>
      <w:r>
        <w:t xml:space="preserve">[6] Muraro A, Roberts G, Worm M, et al. Anaphylaxis: Guidelines from the european academy of allergy and clinical immunology. Allergy. 2014;69:1026–1045.</w:t>
      </w:r>
    </w:p>
    <w:p>
      <w:pPr>
        <w:pStyle w:val="BodyText"/>
      </w:pPr>
      <w:r>
        <w:t xml:space="preserve">[7] Fleg JL, O’connor F, Gerstenblith G, et al. Impact of age on the cardiovascular response to dynamic upright exercise in healthy men and women. Journal of Applied Physiology. 1995;78:890–900.</w:t>
      </w:r>
    </w:p>
    <w:p>
      <w:pPr>
        <w:pStyle w:val="BodyText"/>
      </w:pPr>
      <w:r>
        <w:t xml:space="preserve">[8] Rogers KMA, Mccutcheon K. Understanding arterial blood gases. Journal of Perioperative Practice [Internet]. 2013;23:191–197. Available from:</w:t>
      </w:r>
      <w:r>
        <w:t xml:space="preserve"> </w:t>
      </w:r>
      <w:hyperlink r:id="rId43">
        <w:r>
          <w:rPr>
            <w:rStyle w:val="Hyperlink"/>
          </w:rPr>
          <w:t xml:space="preserve">https://doi.org/10.1177/175045891302300903</w:t>
        </w:r>
      </w:hyperlink>
      <w:r>
        <w:t xml:space="preserve">.</w:t>
      </w:r>
    </w:p>
    <w:p>
      <w:pPr>
        <w:pStyle w:val="BodyText"/>
      </w:pPr>
      <w:r>
        <w:t xml:space="preserve">[9] Ebo DG, Fisher MM, Hagendorens MM, et al. Anaphylaxis during anaesthesia: Diagnostic approach. Allergy [Internet]. 2007;62:471–487. Available from:</w:t>
      </w:r>
      <w:r>
        <w:t xml:space="preserve"> </w:t>
      </w:r>
      <w:hyperlink r:id="rId44">
        <w:r>
          <w:rPr>
            <w:rStyle w:val="Hyperlink"/>
          </w:rPr>
          <w:t xml:space="preserve">https://doi.org/10.1111/j.1398-9995.2007.01347.x</w:t>
        </w:r>
      </w:hyperlink>
      <w:r>
        <w:t xml:space="preserve">.</w:t>
      </w:r>
    </w:p>
    <w:p>
      <w:pPr>
        <w:pStyle w:val="BodyText"/>
      </w:pPr>
      <w:r>
        <w:t xml:space="preserve">[10] Saxon A. Immediate hypersensitivity reactions to</w:t>
      </w:r>
      <w:r>
        <w:t xml:space="preserve"> </w:t>
      </w:r>
      <m:oMath>
        <m:r>
          <m:t>β</m:t>
        </m:r>
      </m:oMath>
      <w:r>
        <w:t xml:space="preserve">-lactam antibiotics. Reviews of Infectious Diseases. 1983;5:S368–S379.</w:t>
      </w:r>
    </w:p>
    <w:p>
      <w:pPr>
        <w:pStyle w:val="BodyText"/>
      </w:pPr>
      <w:r>
        <w:t xml:space="preserve">[11] Greenberger PA, Patterson R. The prevention of immediate generalized reactions to radiocontrast media in high-risk patients. Journal of Allergy and Clinical Immunology [Internet]. 1991;87:867–872. Available from:</w:t>
      </w:r>
      <w:r>
        <w:t xml:space="preserve"> </w:t>
      </w:r>
      <w:hyperlink r:id="rId45">
        <w:r>
          <w:rPr>
            <w:rStyle w:val="Hyperlink"/>
          </w:rPr>
          <w:t xml:space="preserve">https://doi.org/10.1016/0091-6749(91)90135-b</w:t>
        </w:r>
      </w:hyperlink>
      <w:r>
        <w:t xml:space="preserve">.</w:t>
      </w:r>
    </w:p>
    <w:p>
      <w:pPr>
        <w:pStyle w:val="BodyText"/>
      </w:pPr>
      <w:r>
        <w:t xml:space="preserve">[12] Wang H, Wang H, Liu Z. Agents that induce pseudo-allergic reaction. Drug Discov Ther. 2011;5:211–219.</w:t>
      </w:r>
    </w:p>
    <w:p>
      <w:pPr>
        <w:pStyle w:val="BodyText"/>
      </w:pPr>
      <w:r>
        <w:t xml:space="preserve">[13] Visscher PK, Vetter RS, Camazine S. Removing bee stings. The Lancet [Internet]. 1996;348:301–302. Available from:</w:t>
      </w:r>
      <w:r>
        <w:t xml:space="preserve"> </w:t>
      </w:r>
      <w:hyperlink r:id="rId46">
        <w:r>
          <w:rPr>
            <w:rStyle w:val="Hyperlink"/>
          </w:rPr>
          <w:t xml:space="preserve">https://doi.org/10.1016/s0140-6736(96)01367-0</w:t>
        </w:r>
      </w:hyperlink>
      <w:r>
        <w:t xml:space="preserve">.</w:t>
      </w:r>
    </w:p>
    <w:p>
      <w:pPr>
        <w:pStyle w:val="Heading5"/>
      </w:pPr>
      <w:bookmarkStart w:id="47" w:name="pagebreak-1"/>
      <w:bookmarkEnd w:id="47"/>
      <w:r>
        <w:t xml:space="preserve">pagebreak</w:t>
      </w:r>
    </w:p>
    <w:p>
      <w:pPr>
        <w:pStyle w:val="Heading1"/>
      </w:pPr>
      <w:bookmarkStart w:id="48" w:name="figures"/>
      <w:bookmarkEnd w:id="48"/>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49"/>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FigureWithCaption"/>
      </w:pPr>
      <w:r>
        <w:drawing>
          <wp:inline>
            <wp:extent cx="3797300" cy="3467100"/>
            <wp:effectExtent b="0" l="0" r="0" t="0"/>
            <wp:docPr descr="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 title="" id="1" name="Picture"/>
            <a:graphic>
              <a:graphicData uri="http://schemas.openxmlformats.org/drawingml/2006/picture">
                <pic:pic>
                  <pic:nvPicPr>
                    <pic:cNvPr descr="../figures/diag.png" id="0" name="Picture"/>
                    <pic:cNvPicPr>
                      <a:picLocks noChangeArrowheads="1" noChangeAspect="1"/>
                    </pic:cNvPicPr>
                  </pic:nvPicPr>
                  <pic:blipFill>
                    <a:blip r:embed="rId50"/>
                    <a:stretch>
                      <a:fillRect/>
                    </a:stretch>
                  </pic:blipFill>
                  <pic:spPr bwMode="auto">
                    <a:xfrm>
                      <a:off x="0" y="0"/>
                      <a:ext cx="3797300" cy="34671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w:t>
      </w:r>
    </w:p>
    <w:p>
      <w:pPr>
        <w:pStyle w:val="Heading1"/>
      </w:pPr>
      <w:bookmarkStart w:id="51" w:name="tables"/>
      <w:bookmarkEnd w:id="51"/>
      <w:r>
        <w:t xml:space="preserve">Tables</w:t>
      </w:r>
    </w:p>
    <w:p>
      <w:pPr>
        <w:pStyle w:val="TableCaption"/>
      </w:pPr>
      <w:r>
        <w:t xml:space="preserve">Table 1 Summary of the refractory anaphylaxis cases. Age is represented by a mean value, other as fractions [%]. DM - diabetes mellitus</w:t>
      </w:r>
    </w:p>
    <w:tbl>
      <w:tblPr>
        <w:tblStyle w:val="TableNormal"/>
        <w:tblW w:type="pct" w:w="0.0"/>
        <w:tblLook w:firstRow="1"/>
        <w:tblCaption w:val="Table 1 Summary of the refractory anaphylaxis cases. Age is represented by a mean value, other as fractions [%]. DM - diabetes mellitu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32</w:t>
            </w:r>
          </w:p>
        </w:tc>
        <w:tc>
          <w:p>
            <w:pPr>
              <w:pStyle w:val="Compact"/>
              <w:jc w:val="left"/>
            </w:pPr>
            <w:r>
              <w:t xml:space="preserve">9</w:t>
            </w:r>
          </w:p>
        </w:tc>
        <w:tc>
          <w:p>
            <w:pPr>
              <w:pStyle w:val="Compact"/>
              <w:jc w:val="left"/>
            </w:pPr>
            <w:r>
              <w:t xml:space="preserve">14</w:t>
            </w:r>
          </w:p>
        </w:tc>
        <w:tc>
          <w:p>
            <w:pPr>
              <w:pStyle w:val="Compact"/>
              <w:jc w:val="left"/>
            </w:pPr>
            <w:r>
              <w:t xml:space="preserve">9</w:t>
            </w:r>
          </w:p>
        </w:tc>
        <w:tc>
          <w:p>
            <w:pPr>
              <w:pStyle w:val="Compact"/>
              <w:jc w:val="left"/>
            </w:pPr>
            <w:r>
              <w:t xml:space="preserve">0</w:t>
            </w:r>
          </w:p>
        </w:tc>
        <w:tc>
          <w:p>
            <w:pPr>
              <w:pStyle w:val="Compact"/>
              <w:jc w:val="left"/>
            </w:pPr>
            <w:r>
              <w:t xml:space="preserve">18</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21</w:t>
            </w:r>
          </w:p>
        </w:tc>
        <w:tc>
          <w:p>
            <w:pPr>
              <w:pStyle w:val="Compact"/>
              <w:jc w:val="left"/>
            </w:pPr>
            <w:r>
              <w:t xml:space="preserve">2</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7</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23</w:t>
            </w:r>
          </w:p>
        </w:tc>
        <w:tc>
          <w:p>
            <w:pPr>
              <w:pStyle w:val="Compact"/>
              <w:jc w:val="left"/>
            </w:pPr>
            <w:r>
              <w:t xml:space="preserve">4</w:t>
            </w:r>
          </w:p>
        </w:tc>
        <w:tc>
          <w:p>
            <w:pPr>
              <w:pStyle w:val="Compact"/>
              <w:jc w:val="left"/>
            </w:pPr>
            <w:r>
              <w:t xml:space="preserve">6</w:t>
            </w:r>
          </w:p>
        </w:tc>
        <w:tc>
          <w:p>
            <w:pPr>
              <w:pStyle w:val="Compact"/>
              <w:jc w:val="left"/>
            </w:pPr>
            <w:r>
              <w:t xml:space="preserve">3</w:t>
            </w:r>
          </w:p>
        </w:tc>
        <w:tc>
          <w:p>
            <w:pPr>
              <w:pStyle w:val="Compact"/>
              <w:jc w:val="left"/>
            </w:pPr>
            <w:r>
              <w:t xml:space="preserve">2</w:t>
            </w:r>
          </w:p>
        </w:tc>
        <w:tc>
          <w:p>
            <w:pPr>
              <w:pStyle w:val="Compact"/>
              <w:jc w:val="left"/>
            </w:pPr>
            <w:r>
              <w:t xml:space="preserve">6</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5</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5</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0.00388</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0.00838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0.0178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1.83e-05</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0.00488</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4.35e-09</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6.93e-06</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0.0127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2.75e-16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0.0839</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3.91e-25</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3.63e-24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7.93e-09</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7.76e-05</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0.0026</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3.03e-05</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0.0016</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1.73e-06</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0.00441</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2.74e-10</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1.31e-14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7.95e-29</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0.00792</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0.0119</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0.000751</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9.41e-05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0.000232</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806e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hyperlink" Id="rId45" Target="https://doi.org/10.1016/0091-6749(91)90135-b" TargetMode="External" /><Relationship Type="http://schemas.openxmlformats.org/officeDocument/2006/relationships/hyperlink" Id="rId46" Target="https://doi.org/10.1016/s0140-6736(96)01367-0" TargetMode="External" /><Relationship Type="http://schemas.openxmlformats.org/officeDocument/2006/relationships/hyperlink" Id="rId44" Target="https://doi.org/10.1111/j.1398-9995.2007.01347.x" TargetMode="External" /><Relationship Type="http://schemas.openxmlformats.org/officeDocument/2006/relationships/hyperlink" Id="rId43" Target="https://doi.org/10.1177/175045891302300903"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0091-6749(91)90135-b" TargetMode="External" /><Relationship Type="http://schemas.openxmlformats.org/officeDocument/2006/relationships/hyperlink" Id="rId46" Target="https://doi.org/10.1016/s0140-6736(96)01367-0" TargetMode="External" /><Relationship Type="http://schemas.openxmlformats.org/officeDocument/2006/relationships/hyperlink" Id="rId44" Target="https://doi.org/10.1111/j.1398-9995.2007.01347.x" TargetMode="External" /><Relationship Type="http://schemas.openxmlformats.org/officeDocument/2006/relationships/hyperlink" Id="rId43" Target="https://doi.org/10.1177/175045891302300903"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2018-08-30T12:08:51Z</dcterms:created>
  <dcterms:modified xsi:type="dcterms:W3CDTF">2018-08-30T12:08:51Z</dcterms:modified>
</cp:coreProperties>
</file>