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Macarena</w:t>
      </w:r>
      <w:r>
        <w:t xml:space="preserve"> </w:t>
      </w:r>
      <w:r>
        <w:t xml:space="preserve">Knop</w:t>
      </w:r>
      <w:r>
        <w:rPr>
          <w:vertAlign w:val="superscript"/>
        </w:rPr>
        <w:t xml:space="preserve">2</w:t>
      </w:r>
    </w:p>
    <w:p>
      <w:pPr>
        <w:pStyle w:val="Author"/>
      </w:pPr>
      <w:r>
        <w:t xml:space="preserve">Kathrin</w:t>
      </w:r>
      <w:r>
        <w:t xml:space="preserve"> </w:t>
      </w:r>
      <w:r>
        <w:t xml:space="preserve">Scherer</w:t>
      </w:r>
      <w:r>
        <w:t xml:space="preserve"> </w:t>
      </w:r>
      <w:r>
        <w:t xml:space="preserve">Hofmeier</w:t>
      </w:r>
      <w:r>
        <w:rPr>
          <w:vertAlign w:val="superscript"/>
        </w:rPr>
        <w:t xml:space="preserve">3</w:t>
      </w:r>
    </w:p>
    <w:p>
      <w:pPr>
        <w:pStyle w:val="Author"/>
      </w:pPr>
      <w:r>
        <w:t xml:space="preserve">Ewa</w:t>
      </w:r>
      <w:r>
        <w:t xml:space="preserve"> </w:t>
      </w:r>
      <w:r>
        <w:t xml:space="preserve">Cichocka-Jarosz</w:t>
      </w:r>
      <w:r>
        <w:rPr>
          <w:vertAlign w:val="superscript"/>
        </w:rPr>
        <w:t xml:space="preserve">4</w:t>
      </w:r>
    </w:p>
    <w:p>
      <w:pPr>
        <w:pStyle w:val="Author"/>
      </w:pPr>
      <w:r>
        <w:t xml:space="preserve">Blanca</w:t>
      </w:r>
      <w:r>
        <w:t xml:space="preserve"> </w:t>
      </w:r>
      <w:r>
        <w:t xml:space="preserve">E.</w:t>
      </w:r>
      <w:r>
        <w:t xml:space="preserve"> </w:t>
      </w:r>
      <w:r>
        <w:t xml:space="preserve">García</w:t>
      </w:r>
      <w:r>
        <w:rPr>
          <w:vertAlign w:val="superscript"/>
        </w:rPr>
        <w:t xml:space="preserve">5</w:t>
      </w:r>
    </w:p>
    <w:p>
      <w:pPr>
        <w:pStyle w:val="Author"/>
      </w:pPr>
      <w:r>
        <w:t xml:space="preserve">Roland</w:t>
      </w:r>
      <w:r>
        <w:t xml:space="preserve"> </w:t>
      </w:r>
      <w:r>
        <w:t xml:space="preserve">Lang</w:t>
      </w:r>
      <w:r>
        <w:rPr>
          <w:vertAlign w:val="superscript"/>
        </w:rPr>
        <w:t xml:space="preserve">6</w:t>
      </w:r>
    </w:p>
    <w:p>
      <w:pPr>
        <w:pStyle w:val="Author"/>
      </w:pPr>
      <w:r>
        <w:t xml:space="preserve">Ioana</w:t>
      </w:r>
      <w:r>
        <w:t xml:space="preserve"> </w:t>
      </w:r>
      <w:r>
        <w:t xml:space="preserve">Maris</w:t>
      </w:r>
      <w:r>
        <w:rPr>
          <w:vertAlign w:val="superscript"/>
        </w:rPr>
        <w:t xml:space="preserve">7</w:t>
      </w:r>
    </w:p>
    <w:p>
      <w:pPr>
        <w:pStyle w:val="Author"/>
      </w:pPr>
      <w:r>
        <w:t xml:space="preserve">Jean-Marie</w:t>
      </w:r>
      <w:r>
        <w:t xml:space="preserve"> </w:t>
      </w:r>
      <w:r>
        <w:t xml:space="preserve">Renaudin</w:t>
      </w:r>
      <w:r>
        <w:rPr>
          <w:vertAlign w:val="superscript"/>
        </w:rPr>
        <w:t xml:space="preserve">8</w:t>
      </w:r>
    </w:p>
    <w:p>
      <w:pPr>
        <w:pStyle w:val="Author"/>
      </w:pPr>
      <w:r>
        <w:t xml:space="preserve">Margitta</w:t>
      </w:r>
      <w:r>
        <w:t xml:space="preserve"> </w:t>
      </w:r>
      <w:r>
        <w:t xml:space="preserve">Worm</w:t>
      </w:r>
      <w:r>
        <w:rPr>
          <w:vertAlign w:val="superscript"/>
        </w:rPr>
        <w:t xml:space="preserve">1</w:t>
      </w:r>
    </w:p>
    <w:p>
      <w:pPr>
        <w:pStyle w:val="Date"/>
      </w:pPr>
      <w:r>
        <w:t xml:space="preserve">27</w:t>
      </w:r>
      <w:r>
        <w:t xml:space="preserve"> </w:t>
      </w:r>
      <w:r>
        <w:t xml:space="preserve">August,</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Munich, Germany</w:t>
      </w:r>
    </w:p>
    <w:p>
      <w:pPr>
        <w:pStyle w:val="BodyText"/>
      </w:pPr>
      <w:r>
        <w:rPr>
          <w:vertAlign w:val="superscript"/>
        </w:rPr>
        <w:t xml:space="preserve">3</w:t>
      </w:r>
      <w:r>
        <w:t xml:space="preserve"> </w:t>
      </w:r>
      <w:r>
        <w:t xml:space="preserve">Department of Dermatology, University Hospital Basel, Basel, Switzerland</w:t>
      </w:r>
    </w:p>
    <w:p>
      <w:pPr>
        <w:pStyle w:val="BodyText"/>
      </w:pPr>
      <w:r>
        <w:rPr>
          <w:vertAlign w:val="superscript"/>
        </w:rPr>
        <w:t xml:space="preserve">4</w:t>
      </w:r>
      <w:r>
        <w:t xml:space="preserve"> </w:t>
      </w:r>
      <w:r>
        <w:t xml:space="preserve">Department of Pediatrics, Jagiellonian University Medical College, Krakow, Poland</w:t>
      </w:r>
    </w:p>
    <w:p>
      <w:pPr>
        <w:pStyle w:val="BodyText"/>
      </w:pPr>
      <w:r>
        <w:rPr>
          <w:vertAlign w:val="superscript"/>
        </w:rPr>
        <w:t xml:space="preserve">5</w:t>
      </w:r>
      <w:r>
        <w:t xml:space="preserve"> </w:t>
      </w:r>
      <w:r>
        <w:t xml:space="preserve">Service of Allergology, Complejo Hospitalario de Navarra, Pamplona, Spain</w:t>
      </w:r>
    </w:p>
    <w:p>
      <w:pPr>
        <w:pStyle w:val="BodyText"/>
      </w:pPr>
      <w:r>
        <w:rPr>
          <w:vertAlign w:val="superscript"/>
        </w:rPr>
        <w:t xml:space="preserve">6</w:t>
      </w:r>
      <w:r>
        <w:t xml:space="preserve"> </w:t>
      </w:r>
      <w:r>
        <w:t xml:space="preserve">Department of Dermatology, Paracelsus Private Medical University Salzburg, Salzburg, Austria</w:t>
      </w:r>
    </w:p>
    <w:p>
      <w:pPr>
        <w:pStyle w:val="BodyText"/>
      </w:pPr>
      <w:r>
        <w:rPr>
          <w:vertAlign w:val="superscript"/>
        </w:rPr>
        <w:t xml:space="preserve">7</w:t>
      </w:r>
      <w:r>
        <w:t xml:space="preserve"> </w:t>
      </w:r>
      <w:r>
        <w:t xml:space="preserve">Bon Secours Hospital, Cork/Department of Paediatrics and Child Health, University College Cork, Ireland</w:t>
      </w:r>
    </w:p>
    <w:p>
      <w:pPr>
        <w:pStyle w:val="BodyText"/>
      </w:pPr>
      <w:r>
        <w:rPr>
          <w:vertAlign w:val="superscript"/>
        </w:rPr>
        <w:t xml:space="preserve">8</w:t>
      </w:r>
      <w:r>
        <w:t xml:space="preserve"> </w:t>
      </w:r>
      <w:r>
        <w:t xml:space="preserve">Réseau d’Allergo-Vigilance (Allergy Vigilance Network), Vandoeuvre les Nancy, France</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vasoconstriction, refractory</w:t>
      </w:r>
    </w:p>
    <w:p>
      <w:pPr>
        <w:pStyle w:val="Heading1"/>
      </w:pPr>
      <w:bookmarkStart w:id="22" w:name="abstract"/>
      <w:bookmarkEnd w:id="22"/>
      <w:r>
        <w:t xml:space="preserve">Abstract</w:t>
      </w:r>
    </w:p>
    <w:p>
      <w:pPr>
        <w:pStyle w:val="FirstParagraph"/>
      </w:pPr>
      <w:r>
        <w:t xml:space="preserve">Refractory anaphylaxis (unresponsive to treatment with at least two doses of minimum 300 µg adrenaline) is a rare and often fatal hypersensitivity reaction. Comprehensive data on its definition, prevalence, and risk factors are missing. Using the data from the European Anaphylaxis Registry (11596 cases in total) we identified refractory anaphylaxis cases (n = 42) and analyzed these in comparison to a control group of severe anaphylaxis cases (n = 4820).</w:t>
      </w:r>
    </w:p>
    <w:p>
      <w:pPr>
        <w:pStyle w:val="BodyText"/>
      </w:pPr>
      <w:r>
        <w:t xml:space="preserve">The data show that drugs more frequently elicited refractory anaphylaxis (50% of cases, p &lt; 0.0001) compared to other severe anaphylaxis cases (19.7%). Cases elicited by insects (n = 8) were more often due to bees than wasps in refractory cases (62.5% vs 19.4%, p = 0.009). The refractory cases occurred mostly in a perioperative setting (45.2% vs. 9.05, p &lt; 0.0001). Intramuscular adrenaline (as a first line therapy) was administered in 16.7% of refractory cases, whereas in 83.3% of cases it was applied intravenously (significantly more often than in severe anaphylaxis cases: 12.3%, p &lt; 0.0001). Second line treatment options (e.g. vasopression with dopamine, methylene blue, glucagon) were not used at all for the treatment of refractory cases. The mortality rate in refractory anaphylaxis was significantly higher (26.2%) than in severe cases (0.353%, p &lt; 0.0001).</w:t>
      </w:r>
    </w:p>
    <w:p>
      <w:pPr>
        <w:pStyle w:val="BodyText"/>
      </w:pPr>
      <w:r>
        <w:t xml:space="preserve">Refractory anaphylaxis is associated with drug-induced anaphylaxis in particular if allergens are given intravenously. Although physicians frequently use adrenaline in cases of perioperative anaphylaxis, not all patients are responding to treatment. Whether a delay in recognition of anaphylaxis is responsible for the refractory case or whether these cases are due to an overflow with mast cell activating substances - requires further studies. Reasons for the low use of second-line medication (i.e., methylene blue or dopamine) in refractory cases are unknown, but their use might improve the outcome of severe refractory anaphylaxis cases.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w:t>
      </w:r>
      <w:r>
        <w:t xml:space="preserve"> </w:t>
      </w:r>
      <w:r>
        <w:t xml:space="preserve">[1]</w:t>
      </w:r>
      <w:r>
        <w:t xml:space="preserve">. This variability introduces a wide range of possible reaction-symptom severities. Therefore, multiple subtypes of anaphylaxis have been previously identified (i.e., food-dependent exercise-induced anaphylaxis, venom anaphylaxis, biphasic anaphylaxis).</w:t>
      </w:r>
    </w:p>
    <w:p>
      <w:pPr>
        <w:pStyle w:val="BodyText"/>
      </w:pPr>
      <w:r>
        <w:t xml:space="preserve">The mainstay of anaphylaxis management is the intramuscular dose of adrenaline</w:t>
      </w:r>
      <w:r>
        <w:t xml:space="preserve"> </w:t>
      </w:r>
      <w:r>
        <w:t xml:space="preserve">[2]</w:t>
      </w:r>
      <w:r>
        <w:t xml:space="preserv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[3]</w:t>
      </w:r>
      <w:r>
        <w:t xml:space="preserve"> </w:t>
      </w:r>
      <w:r>
        <w:t xml:space="preserve">which, after the treatment with at least two doses of minimum 300 µg adrenaline, does not achieve normalization of the clinical symptoms in a given individual. Common elicitors and symptoms of refractory anaphylaxis, as well as the therapeutic strategy for the most severe cases, differ from the usual reactions</w:t>
      </w:r>
      <w:r>
        <w:t xml:space="preserve"> </w:t>
      </w:r>
      <w:r>
        <w:t xml:space="preserve">[4]</w:t>
      </w:r>
      <w:r>
        <w:t xml:space="preserve"> </w:t>
      </w:r>
      <w:r>
        <w:t xml:space="preserve">and call for specific research and targeted guideline development for refractory anaphylaxis cases.</w:t>
      </w:r>
    </w:p>
    <w:p>
      <w:pPr>
        <w:pStyle w:val="BodyText"/>
      </w:pPr>
      <w:r>
        <w:t xml:space="preserve">We aimed to distinguish the prevalence of refractory anaphylaxis among anaphylaxis cases and to describe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[5]</w:t>
      </w:r>
      <w:r>
        <w:t xml:space="preserve">) provided data for this analysis (status from March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w:t>
      </w:r>
      <w:r>
        <w:t xml:space="preserve">The flowchart in figure</w:t>
      </w:r>
      <w:r>
        <w:t xml:space="preserve"> </w:t>
      </w:r>
      <w:r>
        <w:t xml:space="preserve">1</w:t>
      </w:r>
      <w:r>
        <w:t xml:space="preserve"> </w:t>
      </w:r>
      <w:r>
        <w:t xml:space="preserve">represents the detailed case-selection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[3]</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[6]</w:t>
      </w:r>
      <w:r>
        <w:t xml:space="preserve"> </w:t>
      </w:r>
      <w:r>
        <w:t xml:space="preserve">in both groups as well as their management.</w:t>
      </w:r>
    </w:p>
    <w:p>
      <w:pPr>
        <w:pStyle w:val="BodyText"/>
      </w:pPr>
      <w:r>
        <w:t xml:space="preserve">We performed a statistical analysis in the R Statistical Package</w:t>
      </w:r>
      <w:r>
        <w:t xml:space="preserve"> </w:t>
      </w:r>
      <w:r>
        <w:t xml:space="preserve">[7]</w:t>
      </w:r>
      <w:r>
        <w:t xml:space="preserve">. A simple comparison of categorical variables was performed using Fisher’s exact test; continuous variables were analyzed using the Mann-Whitney U test. We defined statistical significance as α = 0.05. Data, along with the analysis script, can be accessed at www.github.com/wolass/RefractoryAnaOrg.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who experienced anaphylaxis in a perioperative setting or a medical facility, nearly 3.72% patients present with reactions that do not respond to adrenaline vs. 0.448% in non-medical setting (9.3 times more).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50%. More patients suffered from a concomitant malignant disease in the refractory anaphylaxis group. Most strikingly, patients with refractory reactions more often had a previous anaphylactic reaction in their medical history (p = 0.0336). Baseline tryptase levels were significantly higher in the refractory anaphylaxis group as 7 refractory patients (16.7%) had tryptase level above 11.5 µg/L (vs. 7.8%)). 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33.3333% of food elicited refractory cases had a previously confirmed diagnosis of food allergy. Insect-venom and food allergens most frequently elicited severe cases of anaphylaxis.</w:t>
      </w:r>
      <w:r>
        <w:t xml:space="preserve"> </w:t>
      </w:r>
      <w:r>
        <w:t xml:space="preserve">Refractory anaphylaxis cases were more often elicited by bees than severe, non-refractory cases, p = 0.0092 (table</w:t>
      </w:r>
      <w:r>
        <w:t xml:space="preserve"> </w:t>
      </w:r>
      <w:r>
        <w:t xml:space="preserve">3</w:t>
      </w:r>
      <w:r>
        <w:t xml:space="preserve">).</w:t>
      </w:r>
    </w:p>
    <w:p>
      <w:pPr>
        <w:pStyle w:val="Heading2"/>
      </w:pPr>
      <w:bookmarkStart w:id="29" w:name="refractory-anaphylaxis-is-life-threatening"/>
      <w:bookmarkEnd w:id="29"/>
      <w:r>
        <w:t xml:space="preserve">Refractory anaphylaxis is life-threatening</w:t>
      </w:r>
    </w:p>
    <w:p>
      <w:pPr>
        <w:pStyle w:val="FirstParagraph"/>
      </w:pPr>
      <w:r>
        <w:t xml:space="preserve">Milder anaphylaxis symptoms (i.e., pruritus, gastrointestinal symptoms, vertigo, chest, and throat tightness) were significantly less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allergen exposure and were highly associated with refractory cases (26.2% vs. only 0.353% of severe anaphylaxis cases, p &lt; 0.0001) In cases where patients responded to life support, but failed to be reanimated due to post-resuscitative complication (e.g., hypoxic brain injury), death occurred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 Median time to the second dose of adrenaline was also shorter in refractory cases (2 minutes vs. 15 minutes in non-refractory cases, p &lt;0.0001).</w:t>
      </w:r>
      <w:r>
        <w:t xml:space="preserve"> </w:t>
      </w:r>
      <w:r>
        <w:t xml:space="preserve"> </w:t>
      </w:r>
      <w:r>
        <w:t xml:space="preserve"> </w:t>
      </w:r>
    </w:p>
    <w:p>
      <w:pPr>
        <w:pStyle w:val="BodyText"/>
      </w:pPr>
      <w:r>
        <w:t xml:space="preserve">Corticosteroids i.v. were the second most frequently administered group of drugs in refractory cases (as a first and second-line treatment), outpacing antihistaminic drugs and volume replacement therapy, and were significantly more often given in refractory cases. Volume replacement therapy was given initially in 61.9% of refractory cases and was sustained only in 19% as the therapy progressed in the hospital environment.</w:t>
      </w:r>
    </w:p>
    <w:p>
      <w:pPr>
        <w:pStyle w:val="BodyText"/>
      </w:pPr>
      <w:r>
        <w:t xml:space="preserve">Second-line medication like dopamine, glucagon, and methylene blue were not given in all refractory anaphylaxis cases as well as in severe non-refractory ones. However, patients with refractory anaphylaxis were more frequently admitted to the hospital (85.7%) and treated at the ICUs (78.6%).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their medical history. Also, other unspecified concomitant conditions were significantly more often reported in refractory cases. Concomitant cardiologic conditions, diabetes, and mastocytosis were similarly frequent in both groups.</w:t>
      </w:r>
    </w:p>
    <w:p>
      <w:pPr>
        <w:pStyle w:val="BodyText"/>
      </w:pPr>
      <w:r>
        <w:t xml:space="preserve">Patients with refractory anaphylaxis more often reported concomitant intake of proton pump inhibitors (PPI) and acetylsalicilic acid (ASA) compared with patients with severe non-refractory anaphylaxis. Other (not specified) medications were also more frequent in refractory cases. In 6 cases of refractory anaphylaxis (14.3%) patients reported receiving beta-blockers as a concomitant medication, but none of these patients received a glucagon infusion.</w:t>
      </w:r>
    </w:p>
    <w:p>
      <w:pPr>
        <w:pStyle w:val="BodyText"/>
      </w:pPr>
      <w:r>
        <w:t xml:space="preserve">The intensity of physical exercise exceeding the reaction was indifferent between groups, however psychological burden (defined as a stressful event preceding the reaction, rated by the physician) was reported three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of-refractory-anaphylaxis-and-patients-at-risk"/>
      <w:bookmarkEnd w:id="33"/>
      <w:r>
        <w:t xml:space="preserve">Frequency of refractory anaphylaxis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[8]</w:t>
      </w:r>
      <w:r>
        <w:t xml:space="preserve">. Such cases have the highest risk of a fatal outcome, and therefore need to be treated accordingly. Early use of adrenaline and maybe other second-line drugs (e.g., methylene blue and dopamine) might increase their survival chance.</w:t>
      </w:r>
    </w:p>
    <w:p>
      <w:pPr>
        <w:pStyle w:val="BodyText"/>
      </w:pPr>
      <w:r>
        <w:t xml:space="preserve">Overall, the severity of anaphylaxis and its probable transition into a refractory episode might depend on several co-influencing mechanisms:</w:t>
      </w:r>
      <w:r>
        <w:t xml:space="preserve"> </w:t>
      </w:r>
      <w:r>
        <w:t xml:space="preserve">1) elicitors - the type and dose of an eliciting agent and route of exposure;</w:t>
      </w:r>
      <w:r>
        <w:t xml:space="preserve"> </w:t>
      </w:r>
      <w:r>
        <w:t xml:space="preserve">2) cofactors - the presence of other individual and external factors which may increase the severity of a given reaction, e.g., concomitant use of a beta-blocker;</w:t>
      </w:r>
      <w:r>
        <w:t xml:space="preserve"> </w:t>
      </w:r>
      <w:r>
        <w:t xml:space="preserve">3) compensation - how well the affected individual can compensate reaction symptoms, e.g., hypotension;</w:t>
      </w:r>
      <w:r>
        <w:t xml:space="preserve"> </w:t>
      </w:r>
      <w:r>
        <w:t xml:space="preserve">4) therapy - how fast and accurately the therapeutic interventions were applied (Fig.</w:t>
      </w:r>
      <w:r>
        <w:t xml:space="preserve"> </w:t>
      </w:r>
      <w:r>
        <w:t xml:space="preserve">2</w:t>
      </w:r>
      <w:r>
        <w:t xml:space="preserve">).</w:t>
      </w:r>
      <w:r>
        <w:t xml:space="preserve"> </w:t>
      </w:r>
    </w:p>
    <w:p>
      <w:pPr>
        <w:pStyle w:val="Heading2"/>
      </w:pPr>
      <w:bookmarkStart w:id="34" w:name="elicitors"/>
      <w:bookmarkEnd w:id="34"/>
      <w:r>
        <w:t xml:space="preserve">Elicitors</w:t>
      </w:r>
    </w:p>
    <w:p>
      <w:pPr>
        <w:pStyle w:val="FirstParagraph"/>
      </w:pPr>
      <w:r>
        <w:t xml:space="preserve">Drugs were the most commonly occurring elicitor, which is in concordance with the literature and our previous findings</w:t>
      </w:r>
      <w:r>
        <w:t xml:space="preserve"> </w:t>
      </w:r>
      <w:r>
        <w:t xml:space="preserve">[4]</w:t>
      </w:r>
      <w:r>
        <w:t xml:space="preserve">. Multiple medications with mast cell activation potential</w:t>
      </w:r>
      <w:r>
        <w:t xml:space="preserve"> </w:t>
      </w:r>
      <w:r>
        <w:t xml:space="preserve">[9]</w:t>
      </w:r>
      <w:r>
        <w:t xml:space="preserve"> </w:t>
      </w:r>
      <w:r>
        <w:t xml:space="preserve">given in a perioperative setting increase the chance of a hypersensitivity reaction and drug interactions</w:t>
      </w:r>
      <w:r>
        <w:t xml:space="preserve"> </w:t>
      </w:r>
      <w:r>
        <w:t xml:space="preserve">[10]</w:t>
      </w:r>
      <w:r>
        <w:t xml:space="preserve">. A recent study on IgE-independent anaphylaxis showed that perioperative drugs (i.e., rocuronium, tubocurarine, fluoroquinolones, atracurium) might trigger anaphylaxis by activating mast cells directly through the MRGPRX2 receptor</w:t>
      </w:r>
      <w:r>
        <w:t xml:space="preserve"> </w:t>
      </w:r>
      <w:r>
        <w:t xml:space="preserve">[11]</w:t>
      </w:r>
      <w:r>
        <w:t xml:space="preserve">. Therefore, patients undergoing surgical procedures and having a history of anaphylaxis should remain under extraordinary caution.</w:t>
      </w:r>
    </w:p>
    <w:p>
      <w:pPr>
        <w:pStyle w:val="BodyText"/>
      </w:pPr>
      <w:r>
        <w:t xml:space="preserve">Antibiotics, although commonly triggering IgE-dependent reactions</w:t>
      </w:r>
      <w:r>
        <w:t xml:space="preserve"> </w:t>
      </w:r>
      <w:r>
        <w:t xml:space="preserve">[12]</w:t>
      </w:r>
      <w:r>
        <w:t xml:space="preserve">, are rarely reported in the literature as the cause of refractory anaphylaxis. RCM, on the other hand, commonly elicit IgE-independent hypersensitivity episodes that are refractory to adrenaline and are responsible for 1-5 deaths per 100,000 administrations</w:t>
      </w:r>
      <w:r>
        <w:t xml:space="preserve"> </w:t>
      </w:r>
      <w:r>
        <w:t xml:space="preserve">[13]</w:t>
      </w:r>
      <w:r>
        <w:t xml:space="preserve">. We previously reported RCM to be the most frequent elicitor of refractory anaphylaxis</w:t>
      </w:r>
      <w:r>
        <w:t xml:space="preserve"> </w:t>
      </w:r>
      <w:r>
        <w:t xml:space="preserve">[4]</w:t>
      </w:r>
      <w:r>
        <w:t xml:space="preserve">. It might be that RCM promotes complement activation</w:t>
      </w:r>
      <w:r>
        <w:t xml:space="preserve"> </w:t>
      </w:r>
      <w:r>
        <w:t xml:space="preserve">[14]</w:t>
      </w:r>
      <w:r>
        <w:t xml:space="preserve"> </w:t>
      </w:r>
      <w:r>
        <w:t xml:space="preserve">and thus - unspecific activation of multiple immune cell classes (mast cells, basophils, platelets, and neutrophils). Therefore, treatment with adrenaline may be less effective in these reactions.</w:t>
      </w:r>
    </w:p>
    <w:p>
      <w:pPr>
        <w:pStyle w:val="BodyText"/>
      </w:pPr>
      <w:r>
        <w:t xml:space="preserve">Yellow-jacket-stings elicited only a few refractory cases. Therefore, the ratio of yellow-jacket to honey-bee venom elicited anaphylaxis was inverted in the refractory group. Reasons for this observation might include higher allergen exposition due to either extended exposition to the allergen (bee’s sting remains in the skin) or the venom volume being ten times higher than in a wasp sting</w:t>
      </w:r>
      <w:r>
        <w:t xml:space="preserve"> </w:t>
      </w:r>
      <w:r>
        <w:t xml:space="preserve">[15]</w:t>
      </w:r>
      <w:r>
        <w:t xml:space="preserve">.</w:t>
      </w:r>
    </w:p>
    <w:p>
      <w:pPr>
        <w:pStyle w:val="Heading2"/>
      </w:pPr>
      <w:bookmarkStart w:id="35" w:name="risk-factors"/>
      <w:bookmarkEnd w:id="35"/>
      <w:r>
        <w:t xml:space="preserve">Risk factors</w:t>
      </w:r>
    </w:p>
    <w:p>
      <w:pPr>
        <w:pStyle w:val="FirstParagraph"/>
      </w:pPr>
      <w:r>
        <w:t xml:space="preserve">Although we have previously identified higher age and male sex to be associated with severe anaphylaxis</w:t>
      </w:r>
      <w:r>
        <w:t xml:space="preserve"> </w:t>
      </w:r>
      <w:r>
        <w:t xml:space="preserve">[6]</w:t>
      </w:r>
      <w:r>
        <w:t xml:space="preserve">, these factors seem to be less critical in refractory anaphylaxis cases. By contrast, we previously associated concomitant asthma with less severe anaphylaxis in our registry data</w:t>
      </w:r>
      <w:r>
        <w:t xml:space="preserve"> </w:t>
      </w:r>
      <w:r>
        <w:t xml:space="preserve">[6]</w:t>
      </w:r>
      <w:r>
        <w:t xml:space="preserve">. However, the present analysis, as well as other previous data</w:t>
      </w:r>
      <w:r>
        <w:t xml:space="preserve"> </w:t>
      </w:r>
      <w:r>
        <w:t xml:space="preserve">[16]</w:t>
      </w:r>
      <w:r>
        <w:t xml:space="preserve">, suggest concomitant asthma as a risk factor for a severe episode. Probably the control of the asthmatic condition is essential in this context and should be therefore evaluated in patients at risk. Moreover, it might be possible that during a refractory episode the bronchospasm is additionally triggered via mediators derived from basophils and eosinophils or the vegetative nerve system what makes it refractory to adrenaline and results in a prolonged anaphylactic episode. Accordingly, we observed more respiratory distress symptoms in the refractory anaphylaxis cases.</w:t>
      </w:r>
    </w:p>
    <w:p>
      <w:pPr>
        <w:pStyle w:val="BodyText"/>
      </w:pPr>
      <w:r>
        <w:t xml:space="preserve">Baseline serum tryptase (BST) levels were increased in patients with refractory anaphylaxis, although only in 7 patients they were over the threshold level of 11.5 ng/mL - what is commonly recognized as elevated</w:t>
      </w:r>
      <w:r>
        <w:t xml:space="preserve"> </w:t>
      </w:r>
      <w:r>
        <w:t xml:space="preserve">[17]</w:t>
      </w:r>
      <w:r>
        <w:t xml:space="preserve">. BST may reflect pro-β tryptase due to increased body mast cell content</w:t>
      </w:r>
      <w:r>
        <w:t xml:space="preserve"> </w:t>
      </w:r>
      <w:r>
        <w:t xml:space="preserve">[18]</w:t>
      </w:r>
      <w:r>
        <w:t xml:space="preserve"> </w:t>
      </w:r>
      <w:r>
        <w:t xml:space="preserve">or result from alpha-tryptasemia due to multiple copies of</w:t>
      </w:r>
      <w:r>
        <w:t xml:space="preserve"> </w:t>
      </w:r>
      <w:r>
        <w:rPr>
          <w:i/>
        </w:rPr>
        <w:t xml:space="preserve">TPSAB1</w:t>
      </w:r>
      <w:r>
        <w:t xml:space="preserve"> </w:t>
      </w:r>
      <w:r>
        <w:t xml:space="preserve">gene</w:t>
      </w:r>
      <w:r>
        <w:t xml:space="preserve"> </w:t>
      </w:r>
      <w:r>
        <w:t xml:space="preserve">[19]</w:t>
      </w:r>
      <w:r>
        <w:t xml:space="preserve">. Irrespective of the mechanism - increased BST has been shown to correlate with the severity of anaphylaxis</w:t>
      </w:r>
      <w:r>
        <w:t xml:space="preserve"> </w:t>
      </w:r>
      <w:r>
        <w:t xml:space="preserve">[20]</w:t>
      </w:r>
      <w:r>
        <w:t xml:space="preserve">.</w:t>
      </w:r>
    </w:p>
    <w:p>
      <w:pPr>
        <w:pStyle w:val="BodyText"/>
      </w:pPr>
      <w:r>
        <w:t xml:space="preserve">The higher rate of malignancy in patients with refractory anaphylaxis diseases might be a confounder as certain intravenous chemotherapeutics are well known to directly activate mast cells (e.g. taxanes)</w:t>
      </w:r>
      <w:r>
        <w:t xml:space="preserve"> </w:t>
      </w:r>
      <w:r>
        <w:t xml:space="preserve">[21]</w:t>
      </w:r>
      <w:r>
        <w:t xml:space="preserve">.</w:t>
      </w:r>
      <w:r>
        <w:t xml:space="preserve"> </w:t>
      </w:r>
      <w:r>
        <w:t xml:space="preserve">On the other hand, it is possible that patients with reported malignancies were older (mean age of 34.6 vs 58.3 years, p &lt; 0.001) and therefore less able to compensate the anaphylactic shock.</w:t>
      </w:r>
    </w:p>
    <w:p>
      <w:pPr>
        <w:pStyle w:val="BodyText"/>
      </w:pPr>
      <w:r>
        <w:t xml:space="preserve">Psychological stress in temporal proximity to the reaction might increase the severity of the reaction as we previously reported</w:t>
      </w:r>
      <w:r>
        <w:t xml:space="preserve"> </w:t>
      </w:r>
      <w:r>
        <w:t xml:space="preserve">[6]</w:t>
      </w:r>
      <w:r>
        <w:t xml:space="preserve">. Stress induces the complement cascade activation</w:t>
      </w:r>
      <w:r>
        <w:t xml:space="preserve"> </w:t>
      </w:r>
      <w:r>
        <w:t xml:space="preserve">[22]</w:t>
      </w:r>
      <w:r>
        <w:t xml:space="preserve">. Substance P, released during stress</w:t>
      </w:r>
      <w:r>
        <w:t xml:space="preserve"> </w:t>
      </w:r>
      <w:r>
        <w:t xml:space="preserve">[23]</w:t>
      </w:r>
      <w:r>
        <w:t xml:space="preserve">, is a known vasodilator</w:t>
      </w:r>
      <w:r>
        <w:t xml:space="preserve"> </w:t>
      </w:r>
      <w:r>
        <w:t xml:space="preserve">[24]</w:t>
      </w:r>
      <w:r>
        <w:t xml:space="preserve"> </w:t>
      </w:r>
      <w:r>
        <w:t xml:space="preserve">and can activate mast cells directly</w:t>
      </w:r>
      <w:r>
        <w:t xml:space="preserve"> </w:t>
      </w:r>
      <w:r>
        <w:t xml:space="preserve">[25]</w:t>
      </w:r>
      <w:r>
        <w:t xml:space="preserve">. These mediators may contribute to an increased mast cell response and more severe anaphylaxis. Some published case reports indicated stressful event as the anaphylaxis trigger</w:t>
      </w:r>
      <w:r>
        <w:t xml:space="preserve"> </w:t>
      </w:r>
      <w:r>
        <w:t xml:space="preserve">[26]</w:t>
      </w:r>
      <w:r>
        <w:t xml:space="preserve">.</w:t>
      </w:r>
    </w:p>
    <w:p>
      <w:pPr>
        <w:pStyle w:val="BodyText"/>
      </w:pPr>
      <w:r>
        <w:t xml:space="preserve">Wölbling et al. indicated the role of PPI as a risk factor for severe anaphylaxis by prolonging the exposition to an oral allergen (preventing its degradation due to lower gastric acid production)</w:t>
      </w:r>
      <w:r>
        <w:t xml:space="preserve"> </w:t>
      </w:r>
      <w:r>
        <w:t xml:space="preserve">[27]</w:t>
      </w:r>
      <w:r>
        <w:t xml:space="preserve">. Moreover, there are reports on PPI themselves as elicitors of anaphylaxis</w:t>
      </w:r>
      <w:r>
        <w:t xml:space="preserve"> </w:t>
      </w:r>
      <w:r>
        <w:t xml:space="preserve">[28]</w:t>
      </w:r>
      <w:r>
        <w:t xml:space="preserve">. We observed a significantly higher rate of PPI intake in the refractory anaphylaxis group. Its mechanistic contribution to the increase in severity of an episode or being responsible for its refractoriness cannot be estimated based on this observation.</w:t>
      </w:r>
    </w:p>
    <w:p>
      <w:pPr>
        <w:pStyle w:val="BodyText"/>
      </w:pPr>
      <w:r>
        <w:t xml:space="preserve">Concomitant ASA use was also associated with refractory cases more frequently than in severe anaphylaxis. The role of ASA on increasing the severity of anaphylaxis has previously been implicated by increasing the intestinal absorption of allergens</w:t>
      </w:r>
      <w:r>
        <w:t xml:space="preserve"> </w:t>
      </w:r>
      <w:r>
        <w:t xml:space="preserve">[27]</w:t>
      </w:r>
      <w:r>
        <w:t xml:space="preserve">. Nevertheless, as ASA might be both a cofactor and elicitor of anaphylaxis</w:t>
      </w:r>
      <w:r>
        <w:t xml:space="preserve"> </w:t>
      </w:r>
      <w:r>
        <w:t xml:space="preserve">[29]</w:t>
      </w:r>
      <w:r>
        <w:t xml:space="preserve"> </w:t>
      </w:r>
      <w:r>
        <w:t xml:space="preserve">and is highly correlated with another cofactor - concomitant cardiologic conditions - it is tough to evaluate its isolated influence on the anaphylaxis severity.</w:t>
      </w:r>
    </w:p>
    <w:p>
      <w:pPr>
        <w:pStyle w:val="Heading2"/>
      </w:pPr>
      <w:bookmarkStart w:id="36" w:name="symptom-compensation"/>
      <w:bookmarkEnd w:id="36"/>
      <w:r>
        <w:t xml:space="preserve">Symptom compensation</w:t>
      </w:r>
    </w:p>
    <w:p>
      <w:pPr>
        <w:pStyle w:val="FirstParagraph"/>
      </w:pPr>
      <w:r>
        <w:t xml:space="preserve">Age is the most critical factor influencing the risk of developing severe anaphylaxis</w:t>
      </w:r>
      <w:r>
        <w:t xml:space="preserve"> </w:t>
      </w:r>
      <w:r>
        <w:t xml:space="preserve">[6]</w:t>
      </w:r>
      <w:r>
        <w:t xml:space="preserve">. We and others have shown that older age may correlate with the decreased ability to retain homeostasis on increased strain</w:t>
      </w:r>
      <w:r>
        <w:t xml:space="preserve"> </w:t>
      </w:r>
      <w:r>
        <w:t xml:space="preserve">[30]</w:t>
      </w:r>
      <w:r>
        <w:t xml:space="preserve">.</w:t>
      </w:r>
      <w:r>
        <w:t xml:space="preserve"> </w:t>
      </w:r>
      <w:r>
        <w:t xml:space="preserve">Patients who underwent refractory anaphylaxis more often had perioperative reactions and therefore, a decreased ability to compensate the reaction symptoms with reflexive renal or cardiopulmonary response</w:t>
      </w:r>
      <w:r>
        <w:t xml:space="preserve"> </w:t>
      </w:r>
      <w:r>
        <w:t xml:space="preserve">[31]</w:t>
      </w:r>
      <w:r>
        <w:t xml:space="preserve">.</w:t>
      </w:r>
    </w:p>
    <w:p>
      <w:pPr>
        <w:pStyle w:val="BodyText"/>
      </w:pPr>
      <w:r>
        <w:t xml:space="preserve">Compensation mechanisms demonstrated in animal models indicated that anaphylactic hypotension activates the hypothalamic paraventricular nucleus, medullary nucleus tractus solitarii, and rostral ventrolateral medulla, independently of the baroreflex pathway. Further, it stimulates efferent sympathetic nerve activity to the adrenal gland and kidney to restore blood pressure</w:t>
      </w:r>
      <w:r>
        <w:t xml:space="preserve"> </w:t>
      </w:r>
      <w:r>
        <w:t xml:space="preserve">[32]</w:t>
      </w:r>
      <w:r>
        <w:t xml:space="preserve">.</w:t>
      </w:r>
    </w:p>
    <w:p>
      <w:pPr>
        <w:pStyle w:val="Heading2"/>
      </w:pPr>
      <w:bookmarkStart w:id="37" w:name="therapy"/>
      <w:bookmarkEnd w:id="37"/>
      <w:r>
        <w:t xml:space="preserve">Therapy</w:t>
      </w:r>
    </w:p>
    <w:p>
      <w:pPr>
        <w:pStyle w:val="FirstParagraph"/>
      </w:pPr>
      <w:r>
        <w:t xml:space="preserve">Physicians and surgeons often used adrenaline i.v. as first-line therapy in refractory cases, probably because most of them occurred in a medical setting. However, other second-line therapeutic options were rarely used. Grabenhenrich et al.</w:t>
      </w:r>
      <w:r>
        <w:t xml:space="preserve"> </w:t>
      </w:r>
      <w:r>
        <w:t xml:space="preserve">[2]</w:t>
      </w:r>
      <w:r>
        <w:t xml:space="preserve"> </w:t>
      </w:r>
      <w:r>
        <w:t xml:space="preserve">recently evaluated the epinephrine usage in anaphylaxis patients and concluded that, even in this state of the art drug, significant discrepancies between recommended use and actual treatment practice exist. Similarly, US studies documented poor adherence in patients and caregivers to anaphylaxis guidelines recommending more than one adrenaline autoinjector available at all times</w:t>
      </w:r>
      <w:r>
        <w:t xml:space="preserve"> </w:t>
      </w:r>
      <w:r>
        <w:t xml:space="preserve">[33]</w:t>
      </w:r>
      <w:r>
        <w:t xml:space="preserve">.</w:t>
      </w:r>
      <w:r>
        <w:t xml:space="preserve"> </w:t>
      </w:r>
      <w:r>
        <w:t xml:space="preserve">Therefore, more effort needs to be dedicated to promote and develop consensus guidelines as practically as possible in order to increase adherence.</w:t>
      </w:r>
    </w:p>
    <w:p>
      <w:pPr>
        <w:pStyle w:val="BodyText"/>
      </w:pPr>
      <w:r>
        <w:t xml:space="preserve">Methylene blue and vasopressors have been described to successfully restore refractory hypotension and recommended by management guidelines</w:t>
      </w:r>
      <w:r>
        <w:t xml:space="preserve"> </w:t>
      </w:r>
      <w:r>
        <w:t xml:space="preserve">[8]</w:t>
      </w:r>
      <w:r>
        <w:t xml:space="preserve">, but their actual use in anaphylaxis patients is scarce. There are multiple reports of successful methylene blue use in refractory anaphylaxis</w:t>
      </w:r>
      <w:r>
        <w:t xml:space="preserve"> </w:t>
      </w:r>
      <w:r>
        <w:t xml:space="preserve">[4]</w:t>
      </w:r>
      <w:r>
        <w:t xml:space="preserve">. Evora</w:t>
      </w:r>
      <w:r>
        <w:t xml:space="preserve"> </w:t>
      </w:r>
      <w:r>
        <w:t xml:space="preserve">[34]</w:t>
      </w:r>
      <w:r>
        <w:t xml:space="preserve"> </w:t>
      </w:r>
      <w:r>
        <w:t xml:space="preserve">reported 6 cases of refractory, perioperative anaphylaxis (to RCM and penicillin) which responded to methylene blue i.v. within minutes. Methylene blue blocks the guanylate cyclase and therefore prevents further nitric-oxide-dependent vasodilation in a distributive shock</w:t>
      </w:r>
      <w:r>
        <w:t xml:space="preserve"> </w:t>
      </w:r>
      <w:r>
        <w:t xml:space="preserve">[35]</w:t>
      </w:r>
      <w:r>
        <w:t xml:space="preserve">. Its potential role in neuroprotection has also been indicated</w:t>
      </w:r>
      <w:r>
        <w:t xml:space="preserve"> </w:t>
      </w:r>
      <w:r>
        <w:t xml:space="preserve">[36]</w:t>
      </w:r>
      <w:r>
        <w:t xml:space="preserve">.</w:t>
      </w:r>
    </w:p>
    <w:p>
      <w:pPr>
        <w:pStyle w:val="BodyText"/>
      </w:pPr>
      <w:r>
        <w:t xml:space="preserve">Surprisingly, even though multiple anaphylaxis management guidelines recommend glucagon infusions in cases of concomitant beta-blocker therapy in anaphylactic patients</w:t>
      </w:r>
      <w:r>
        <w:t xml:space="preserve"> </w:t>
      </w:r>
      <w:r>
        <w:t xml:space="preserve">[8,37,38]</w:t>
      </w:r>
      <w:r>
        <w:t xml:space="preserve">, it has not been administered in any of the severe or refractory cases. Similarly, Royal Collage of Anesthetists reported one glucagon administration in 266 severe intraoperative anaphylaxis episodes</w:t>
      </w:r>
      <w:r>
        <w:t xml:space="preserve"> </w:t>
      </w:r>
      <w:r>
        <w:t xml:space="preserve">[39]</w:t>
      </w:r>
      <w:r>
        <w:t xml:space="preserve">. Glucagon has been reported to successfully relive refractory anaphylaxis</w:t>
      </w:r>
      <w:r>
        <w:t xml:space="preserve"> </w:t>
      </w:r>
      <w:r>
        <w:t xml:space="preserve">[40,41]</w:t>
      </w:r>
      <w:r>
        <w:t xml:space="preserve"> </w:t>
      </w:r>
      <w:r>
        <w:t xml:space="preserve">by directly activating the adenylyl cyclase and therefore bypassing the β-adrenergic receptor blockade</w:t>
      </w:r>
      <w:r>
        <w:t xml:space="preserve"> </w:t>
      </w:r>
      <w:r>
        <w:t xml:space="preserve">[40]</w:t>
      </w:r>
      <w:r>
        <w:t xml:space="preserve">.</w:t>
      </w:r>
    </w:p>
    <w:p>
      <w:pPr>
        <w:pStyle w:val="Heading2"/>
      </w:pPr>
      <w:bookmarkStart w:id="38" w:name="limitations-and-strengths"/>
      <w:bookmarkEnd w:id="38"/>
      <w:r>
        <w:t xml:space="preserve">Limitations and strengths</w:t>
      </w:r>
    </w:p>
    <w:p>
      <w:pPr>
        <w:pStyle w:val="FirstParagraph"/>
      </w:pPr>
      <w:r>
        <w:t xml:space="preserve">The low number of refractory cases prevented us from analyzing the data with more advanced statistical models. However, our analysis is the first report on a patient cohort exceeding 30 refractory anaphylaxis cases.</w:t>
      </w:r>
    </w:p>
    <w:p>
      <w:pPr>
        <w:pStyle w:val="BodyText"/>
      </w:pPr>
      <w:r>
        <w:t xml:space="preserve">The definition of refractory anaphylaxis is not universal, and we had to assume it based on the answers to our online questionnaire. If a fatal reaction occurred before the second dose of adrenaline was administered to the patient (although, it might have been refractory) - it was not categorized as refractory as we defined at least two doses of minimum 300 µg adrenaline for refractory anaphylaxis.</w:t>
      </w:r>
    </w:p>
    <w:p>
      <w:pPr>
        <w:pStyle w:val="BodyText"/>
      </w:pPr>
      <w:r>
        <w:t xml:space="preserve">The therapy with adrenaline was not weight-adapted, and patients received multiple fixed doses of adrenaline ranging from 300 µg - 1000 µg. It is possible that patients experiencing anaphylaxis refractory to standard doses of adrenaline were treated with subtherapeutic doses in the initial phase of the reaction due to their obesity. However, we did not gather data on the patient’s weight, and therefore, we cannot conclude how it influenced the therapy-outcomes with fixed doses of adrenaline. Nevertheless, repeated doses of adrenaline should be sufficient to alleviate the symptoms in such patients if the weight would be the only reason for the refractoriness of anaphylaxis.</w:t>
      </w:r>
    </w:p>
    <w:p>
      <w:pPr>
        <w:pStyle w:val="BodyText"/>
      </w:pPr>
      <w:r>
        <w:t xml:space="preserve">The comparison of refractory anaphylaxis with patients suffering from severe anaphylaxis enabled us to distinguish patients with a higher risk of developing a refractory episode. However, we cannot address the question which patients had a higher risk of experiencing anaphylaxis per se.</w:t>
      </w:r>
    </w:p>
    <w:p>
      <w:pPr>
        <w:pStyle w:val="Heading2"/>
      </w:pPr>
      <w:bookmarkStart w:id="39" w:name="conclusion"/>
      <w:bookmarkEnd w:id="39"/>
      <w:r>
        <w:t xml:space="preserve">Conclusion</w:t>
      </w:r>
    </w:p>
    <w:p>
      <w:pPr>
        <w:pStyle w:val="FirstParagraph"/>
      </w:pPr>
      <w:r>
        <w:t xml:space="preserve">Refractory anaphylaxis is a rare form of a life-threatening hypersensitivity reaction with high mortality. Its elicitors and cofactors differ from other anaphylaxis cases, and the management of refractory anaphylaxis needs to improve. Although, more studies need to be conducted to understand better the pathomechanisms involved in refractory anaphylaxis, we propose to increase the use of second-line medication such as methylene blue, vasopressin and (in suspicion of a beta-adrenergic blockade) glucagon in cases where 2 doses of adrenaline did not result in a rapid normalization of anaphylaxis symptoms.</w:t>
      </w:r>
    </w:p>
    <w:p>
      <w:pPr>
        <w:pStyle w:val="Heading1"/>
      </w:pPr>
      <w:bookmarkStart w:id="40" w:name="funding"/>
      <w:bookmarkEnd w:id="40"/>
      <w:r>
        <w:t xml:space="preserve">Funding</w:t>
      </w:r>
    </w:p>
    <w:p>
      <w:pPr>
        <w:pStyle w:val="FirstParagraph"/>
      </w:pPr>
      <w:r>
        <w:t xml:space="preserve">The European Anaphylaxis Registry was supported by the Network for Online-Registration of Anaphylaxis NORA e. V.</w:t>
      </w:r>
      <w:r>
        <w:t xml:space="preserve"> </w:t>
      </w:r>
      <w:r>
        <w:t xml:space="preserve">We acknowledge support from the German Research Foundation (DFG) and the Open Access Publication Fund of Charité – Universitätsmedizin Berlin.</w:t>
      </w:r>
    </w:p>
    <w:p>
      <w:pPr>
        <w:pStyle w:val="Heading1"/>
      </w:pPr>
      <w:bookmarkStart w:id="41" w:name="conflict-of-interest-statement"/>
      <w:bookmarkEnd w:id="41"/>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2" w:name="acknowledgements"/>
      <w:bookmarkEnd w:id="42"/>
      <w:r>
        <w:t xml:space="preserve">Acknowledgements</w:t>
      </w:r>
    </w:p>
    <w:p>
      <w:pPr>
        <w:pStyle w:val="FirstParagraph"/>
      </w:pPr>
      <w:r>
        <w:t xml:space="preserve">We thank all patients, parents, and their children for their support in providing data on the</w:t>
      </w:r>
      <w:r>
        <w:t xml:space="preserve"> </w:t>
      </w:r>
      <w:r>
        <w:t xml:space="preserve">the occurrence of anaphylaxis for this study. We thank the study personnel for patients</w:t>
      </w:r>
      <w:r>
        <w:t xml:space="preserve"> </w:t>
      </w:r>
      <w:r>
        <w:t xml:space="preserve">counseling and data entry and we thank the members of The European Anaphylaxis Registry</w:t>
      </w:r>
      <w:r>
        <w:t xml:space="preserve"> </w:t>
      </w:r>
      <w:r>
        <w:t xml:space="preserve">in detail:</w:t>
      </w:r>
      <w:r>
        <w:t xml:space="preserve"> </w:t>
      </w:r>
      <w:r>
        <w:t xml:space="preserve">J. Grünhagen (Berlin, Germany),</w:t>
      </w:r>
      <w:r>
        <w:t xml:space="preserve"> </w:t>
      </w:r>
      <w:r>
        <w:t xml:space="preserve">K. Beyer (Berlin, Germany),</w:t>
      </w:r>
      <w:r>
        <w:t xml:space="preserve"> </w:t>
      </w:r>
      <w:r>
        <w:t xml:space="preserve">A. Möser (Jena, Germany),</w:t>
      </w:r>
      <w:r>
        <w:t xml:space="preserve"> </w:t>
      </w:r>
      <w:r>
        <w:t xml:space="preserve">T. Fuchs (Göttingen, Germany),</w:t>
      </w:r>
      <w:r>
        <w:t xml:space="preserve"> </w:t>
      </w:r>
      <w:r>
        <w:t xml:space="preserve">F. Ruëff (Munich, Germany),</w:t>
      </w:r>
      <w:r>
        <w:t xml:space="preserve"> </w:t>
      </w:r>
      <w:r>
        <w:t xml:space="preserve">B. Wedi (Hanover, Germany),</w:t>
      </w:r>
      <w:r>
        <w:t xml:space="preserve"> </w:t>
      </w:r>
      <w:r>
        <w:t xml:space="preserve">F. Friedrichs (Aachen, Germany),</w:t>
      </w:r>
      <w:r>
        <w:t xml:space="preserve"> </w:t>
      </w:r>
      <w:r>
        <w:t xml:space="preserve">H. Dickel (Bochum, Germany),</w:t>
      </w:r>
      <w:r>
        <w:t xml:space="preserve"> </w:t>
      </w:r>
      <w:r>
        <w:t xml:space="preserve">H. Merk (Aachen, Germany),</w:t>
      </w:r>
      <w:r>
        <w:t xml:space="preserve"> </w:t>
      </w:r>
      <w:r>
        <w:t xml:space="preserve">U. Hillen (Essen, Germany),</w:t>
      </w:r>
      <w:r>
        <w:t xml:space="preserve"> </w:t>
      </w:r>
      <w:r>
        <w:t xml:space="preserve">A. Bauer (Dresden, Germany),</w:t>
      </w:r>
      <w:r>
        <w:t xml:space="preserve"> </w:t>
      </w:r>
      <w:r>
        <w:t xml:space="preserve">N. Wagner (Erlangen, Germany),</w:t>
      </w:r>
      <w:r>
        <w:t xml:space="preserve"> </w:t>
      </w:r>
      <w:r>
        <w:t xml:space="preserve">E. Rietschel (Cologne, Germany),</w:t>
      </w:r>
      <w:r>
        <w:t xml:space="preserve"> </w:t>
      </w:r>
      <w:r>
        <w:t xml:space="preserve">R. Treudler, S. Aurich (Leipzig, Germany),</w:t>
      </w:r>
      <w:r>
        <w:t xml:space="preserve"> </w:t>
      </w:r>
      <w:r>
        <w:t xml:space="preserve">L. Klimek, O. Pfaar (Wiesbaden, Germany),</w:t>
      </w:r>
      <w:r>
        <w:t xml:space="preserve"> </w:t>
      </w:r>
      <w:r>
        <w:t xml:space="preserve">N. Reider (Innsbruck, Germany),</w:t>
      </w:r>
      <w:r>
        <w:t xml:space="preserve"> </w:t>
      </w:r>
      <w:r>
        <w:t xml:space="preserve">W. Aberer (Graz, Austria),</w:t>
      </w:r>
      <w:r>
        <w:t xml:space="preserve"> </w:t>
      </w:r>
      <w:r>
        <w:t xml:space="preserve">A. Köhli (Zurich, Switzerland),</w:t>
      </w:r>
      <w:r>
        <w:t xml:space="preserve"> </w:t>
      </w:r>
      <w:r>
        <w:t xml:space="preserve">F. Riffelmann (Schmallenberg, Germany),</w:t>
      </w:r>
      <w:r>
        <w:t xml:space="preserve"> </w:t>
      </w:r>
      <w:r>
        <w:t xml:space="preserve">B. Kreft (Halle, Germany),</w:t>
      </w:r>
      <w:r>
        <w:t xml:space="preserve"> </w:t>
      </w:r>
      <w:r>
        <w:t xml:space="preserve">K. Nemat (Dresden, Germany),</w:t>
      </w:r>
      <w:r>
        <w:t xml:space="preserve"> </w:t>
      </w:r>
      <w:r>
        <w:t xml:space="preserve">T. Kinaciyan (Vienna, Austria),</w:t>
      </w:r>
      <w:r>
        <w:t xml:space="preserve"> </w:t>
      </w:r>
      <w:r>
        <w:t xml:space="preserve">R. Brehler (Münster, Germany),</w:t>
      </w:r>
      <w:r>
        <w:t xml:space="preserve"> </w:t>
      </w:r>
      <w:r>
        <w:t xml:space="preserve">J. Witte (Hamburg, Germany),</w:t>
      </w:r>
      <w:r>
        <w:t xml:space="preserve"> </w:t>
      </w:r>
      <w:r>
        <w:t xml:space="preserve">N. Hunzelmann und I. Huseynow (Cologne, Germany),</w:t>
      </w:r>
      <w:r>
        <w:t xml:space="preserve"> </w:t>
      </w:r>
      <w:r>
        <w:t xml:space="preserve">T. Bieber (Bonn, Germany),</w:t>
      </w:r>
      <w:r>
        <w:t xml:space="preserve"> </w:t>
      </w:r>
      <w:r>
        <w:t xml:space="preserve">U. Rabe (Treuenbritzen, Germany),</w:t>
      </w:r>
      <w:r>
        <w:t xml:space="preserve"> </w:t>
      </w:r>
      <w:r>
        <w:t xml:space="preserve">P. Schmid-Grendelmeier (Zurich, Switzerland),</w:t>
      </w:r>
      <w:r>
        <w:t xml:space="preserve"> </w:t>
      </w:r>
      <w:r>
        <w:t xml:space="preserve">W. Brosi (Würzburg, Germany),</w:t>
      </w:r>
      <w:r>
        <w:t xml:space="preserve"> </w:t>
      </w:r>
      <w:r>
        <w:t xml:space="preserve">S. Nestoris (Lippe-Lemgo, Germany),</w:t>
      </w:r>
      <w:r>
        <w:t xml:space="preserve"> </w:t>
      </w:r>
      <w:r>
        <w:t xml:space="preserve">T. Hawranek (Salzburg, Austria),</w:t>
      </w:r>
      <w:r>
        <w:t xml:space="preserve"> </w:t>
      </w:r>
      <w:r>
        <w:t xml:space="preserve">R. Bruns (Greifswald, Germany),</w:t>
      </w:r>
      <w:r>
        <w:t xml:space="preserve"> </w:t>
      </w:r>
      <w:r>
        <w:t xml:space="preserve">S. Lehmann (Aachen, Germany),</w:t>
      </w:r>
      <w:r>
        <w:t xml:space="preserve"> </w:t>
      </w:r>
      <w:r>
        <w:t xml:space="preserve">L. Lange (Bonn, Germany),</w:t>
      </w:r>
      <w:r>
        <w:t xml:space="preserve"> </w:t>
      </w:r>
      <w:r>
        <w:t xml:space="preserve">G. Hansen (Hanover, Germany),</w:t>
      </w:r>
      <w:r>
        <w:t xml:space="preserve"> </w:t>
      </w:r>
      <w:r>
        <w:t xml:space="preserve">C. Pföhler (Homburg, Germany),</w:t>
      </w:r>
      <w:r>
        <w:t xml:space="preserve"> </w:t>
      </w:r>
      <w:r>
        <w:t xml:space="preserve">E. Varga (Graz, Austria),</w:t>
      </w:r>
      <w:r>
        <w:t xml:space="preserve"> </w:t>
      </w:r>
      <w:r>
        <w:t xml:space="preserve">Z. Szepfalusi (Vienna, Austria),</w:t>
      </w:r>
      <w:r>
        <w:t xml:space="preserve"> </w:t>
      </w:r>
      <w:r>
        <w:t xml:space="preserve">P. Eng (Aarau, Switzerland),</w:t>
      </w:r>
      <w:r>
        <w:t xml:space="preserve"> </w:t>
      </w:r>
      <w:r>
        <w:t xml:space="preserve">P. Eng (Lucerne, Switzerland),</w:t>
      </w:r>
      <w:r>
        <w:t xml:space="preserve"> </w:t>
      </w:r>
      <w:r>
        <w:t xml:space="preserve">T. Reese (Rheine, Germany),</w:t>
      </w:r>
      <w:r>
        <w:t xml:space="preserve"> </w:t>
      </w:r>
      <w:r>
        <w:t xml:space="preserve">M. Polz (Rüsselsheim, Germany),</w:t>
      </w:r>
      <w:r>
        <w:t xml:space="preserve"> </w:t>
      </w:r>
      <w:r>
        <w:t xml:space="preserve">S. Schweitzer-Krantz (Düsseldorf, Germany),</w:t>
      </w:r>
      <w:r>
        <w:t xml:space="preserve"> </w:t>
      </w:r>
      <w:r>
        <w:t xml:space="preserve">H. Rebmann (Tübingen, Germany),</w:t>
      </w:r>
      <w:r>
        <w:t xml:space="preserve"> </w:t>
      </w:r>
      <w:r>
        <w:t xml:space="preserve">G. Stichtenoth (Lübeck, Germany),</w:t>
      </w:r>
      <w:r>
        <w:t xml:space="preserve"> </w:t>
      </w:r>
      <w:r>
        <w:t xml:space="preserve">S. Theis (Schwedt, Germany),</w:t>
      </w:r>
      <w:r>
        <w:t xml:space="preserve"> </w:t>
      </w:r>
      <w:r>
        <w:t xml:space="preserve">I. Yildiz (Neumünster, Germany),</w:t>
      </w:r>
      <w:r>
        <w:t xml:space="preserve"> </w:t>
      </w:r>
      <w:r>
        <w:t xml:space="preserve">M. Gerstlauer (Augsburg, Germany),</w:t>
      </w:r>
      <w:r>
        <w:t xml:space="preserve"> </w:t>
      </w:r>
      <w:r>
        <w:t xml:space="preserve">A. Nordwig (Dresden, Germany),</w:t>
      </w:r>
      <w:r>
        <w:t xml:space="preserve"> </w:t>
      </w:r>
      <w:r>
        <w:t xml:space="preserve">R. Schlags (Wangen im Allgäu, Germany),</w:t>
      </w:r>
      <w:r>
        <w:t xml:space="preserve"> </w:t>
      </w:r>
      <w:r>
        <w:t xml:space="preserve">I. Neustädter (Fürth, Germany),</w:t>
      </w:r>
      <w:r>
        <w:t xml:space="preserve"> </w:t>
      </w:r>
      <w:r>
        <w:t xml:space="preserve">C. Stadlin (Zurich, Switzerland),</w:t>
      </w:r>
      <w:r>
        <w:t xml:space="preserve"> </w:t>
      </w:r>
      <w:r>
        <w:t xml:space="preserve">M. Bücheler (Bonn, Germany),</w:t>
      </w:r>
      <w:r>
        <w:t xml:space="preserve"> </w:t>
      </w:r>
      <w:r>
        <w:t xml:space="preserve">S. Volkmuth (Velbert, Germany),</w:t>
      </w:r>
      <w:r>
        <w:t xml:space="preserve"> </w:t>
      </w:r>
      <w:r>
        <w:t xml:space="preserve">J. Fischer (Tübingen, Germany),</w:t>
      </w:r>
      <w:r>
        <w:t xml:space="preserve"> </w:t>
      </w:r>
      <w:r>
        <w:t xml:space="preserve">A. Henschel (Berlin, Germany),</w:t>
      </w:r>
      <w:r>
        <w:t xml:space="preserve"> </w:t>
      </w:r>
      <w:r>
        <w:t xml:space="preserve">S. Plank-Habibi (Alzenau, Germany),</w:t>
      </w:r>
      <w:r>
        <w:t xml:space="preserve"> </w:t>
      </w:r>
      <w:r>
        <w:t xml:space="preserve">B. Schilling (Passau, Germany),</w:t>
      </w:r>
      <w:r>
        <w:t xml:space="preserve"> </w:t>
      </w:r>
      <w:r>
        <w:t xml:space="preserve">A. Kleinheinz (Buxtehude, Germany),</w:t>
      </w:r>
      <w:r>
        <w:t xml:space="preserve"> </w:t>
      </w:r>
      <w:r>
        <w:t xml:space="preserve">K. Schäkel (Heidelberg, Germany),</w:t>
      </w:r>
      <w:r>
        <w:t xml:space="preserve"> </w:t>
      </w:r>
      <w:r>
        <w:t xml:space="preserve">N. Papadopoulos (Athen, Greece),</w:t>
      </w:r>
      <w:r>
        <w:t xml:space="preserve"> </w:t>
      </w:r>
      <w:r>
        <w:t xml:space="preserve">M. Kowalski (Lodz, Poland),</w:t>
      </w:r>
      <w:r>
        <w:t xml:space="preserve"> </w:t>
      </w:r>
      <w:r>
        <w:t xml:space="preserve">M. Fernandez-Rivas (Madrid, Spain),</w:t>
      </w:r>
      <w:r>
        <w:t xml:space="preserve"> </w:t>
      </w:r>
      <w:r>
        <w:t xml:space="preserve">K. Solarewicz-Madajek (Wroclaw, Poland),</w:t>
      </w:r>
      <w:r>
        <w:t xml:space="preserve"> </w:t>
      </w:r>
      <w:r>
        <w:t xml:space="preserve">C. Körner-Rettberg (Bochum, Germany),</w:t>
      </w:r>
      <w:r>
        <w:t xml:space="preserve"> </w:t>
      </w:r>
      <w:r>
        <w:t xml:space="preserve">T. Mustakov (Sofia, Bulgaria),</w:t>
      </w:r>
      <w:r>
        <w:t xml:space="preserve"> </w:t>
      </w:r>
      <w:r>
        <w:t xml:space="preserve">K. Hartmann (Lübeck, Germany),</w:t>
      </w:r>
      <w:r>
        <w:t xml:space="preserve"> </w:t>
      </w:r>
      <w:r>
        <w:t xml:space="preserve">C. Kemen (Hamburg, Germany),</w:t>
      </w:r>
      <w:r>
        <w:t xml:space="preserve"> </w:t>
      </w:r>
      <w:r>
        <w:t xml:space="preserve">U. Miehe (Leipzig, Germany),</w:t>
      </w:r>
      <w:r>
        <w:t xml:space="preserve"> </w:t>
      </w:r>
      <w:r>
        <w:t xml:space="preserve">C. Ebner (Vienna, Austria),</w:t>
      </w:r>
      <w:r>
        <w:t xml:space="preserve"> </w:t>
      </w:r>
      <w:r>
        <w:t xml:space="preserve">S. Haak (Oldenburg, Deutschland),</w:t>
      </w:r>
      <w:r>
        <w:t xml:space="preserve"> </w:t>
      </w:r>
      <w:r>
        <w:t xml:space="preserve">V. Cardona (Barcelona, Spain),</w:t>
      </w:r>
      <w:r>
        <w:t xml:space="preserve"> </w:t>
      </w:r>
      <w:r>
        <w:t xml:space="preserve">S. Hämmerling (Heidelberg, Germany),</w:t>
      </w:r>
      <w:r>
        <w:t xml:space="preserve"> </w:t>
      </w:r>
      <w:r>
        <w:t xml:space="preserve">E. Arroabarren (Pamplona, Spain),</w:t>
      </w:r>
      <w:r>
        <w:t xml:space="preserve"> </w:t>
      </w:r>
      <w:r>
        <w:t xml:space="preserve">M. Bilo (Ancona, Italy),</w:t>
      </w:r>
      <w:r>
        <w:t xml:space="preserve"> </w:t>
      </w:r>
      <w:r>
        <w:t xml:space="preserve">N. Cabañes Higuero (Toledo, Spain),</w:t>
      </w:r>
      <w:r>
        <w:t xml:space="preserve"> </w:t>
      </w:r>
      <w:r>
        <w:t xml:space="preserve">A. Vega Castro (Guadalajara, Spain),</w:t>
      </w:r>
      <w:r>
        <w:t xml:space="preserve"> </w:t>
      </w:r>
      <w:r>
        <w:t xml:space="preserve">I. Poziomkowska-Gęsicka (Szczecin, Poland),</w:t>
      </w:r>
      <w:r>
        <w:t xml:space="preserve"> </w:t>
      </w:r>
      <w:r>
        <w:t xml:space="preserve">S. Büsing (Osnabrück, Germany),</w:t>
      </w:r>
      <w:r>
        <w:t xml:space="preserve"> </w:t>
      </w:r>
      <w:r>
        <w:t xml:space="preserve">U. Klettke (Berlin, Germany),</w:t>
      </w:r>
      <w:r>
        <w:t xml:space="preserve"> </w:t>
      </w:r>
      <w:r>
        <w:t xml:space="preserve">C. Virchow (Rostock, Germany),</w:t>
      </w:r>
      <w:r>
        <w:t xml:space="preserve"> </w:t>
      </w:r>
      <w:r>
        <w:t xml:space="preserve">G. Christoff (Sofia, Bulgaria),</w:t>
      </w:r>
      <w:r>
        <w:t xml:space="preserve"> </w:t>
      </w:r>
      <w:r>
        <w:t xml:space="preserve">U. Jappe (Borstel, Germany),</w:t>
      </w:r>
      <w:r>
        <w:t xml:space="preserve"> </w:t>
      </w:r>
      <w:r>
        <w:t xml:space="preserve">K. Breuer (Hamburg, Germany),</w:t>
      </w:r>
      <w:r>
        <w:t xml:space="preserve"> </w:t>
      </w:r>
      <w:r>
        <w:t xml:space="preserve">S. Müller and T. Jakob (Freiburg, Germany),</w:t>
      </w:r>
      <w:r>
        <w:t xml:space="preserve"> </w:t>
      </w:r>
      <w:r>
        <w:t xml:space="preserve">H. Straube (Darmstadt, Germany),</w:t>
      </w:r>
      <w:r>
        <w:t xml:space="preserve"> </w:t>
      </w:r>
      <w:r>
        <w:t xml:space="preserve">C. Vogelberg (Dresden, Germany),</w:t>
      </w:r>
      <w:r>
        <w:t xml:space="preserve"> </w:t>
      </w:r>
      <w:r>
        <w:t xml:space="preserve">F. Knöpfel (Norderney, Germany),</w:t>
      </w:r>
      <w:r>
        <w:t xml:space="preserve"> </w:t>
      </w:r>
      <w:r>
        <w:t xml:space="preserve">J. Hourihane (Cork, Ireland),</w:t>
      </w:r>
      <w:r>
        <w:t xml:space="preserve"> </w:t>
      </w:r>
      <w:r>
        <w:t xml:space="preserve">B. Rogala (Silesia, Poland),</w:t>
      </w:r>
      <w:r>
        <w:t xml:space="preserve"> </w:t>
      </w:r>
      <w:r>
        <w:t xml:space="preserve">A. Montoro (Madrid, Spain),</w:t>
      </w:r>
      <w:r>
        <w:t xml:space="preserve"> </w:t>
      </w:r>
      <w:r>
        <w:t xml:space="preserve">A. Brandes (Frankfurt/Oder, Germany),</w:t>
      </w:r>
      <w:r>
        <w:t xml:space="preserve"> </w:t>
      </w:r>
      <w:r>
        <w:t xml:space="preserve">A. Muraro (Padua, Italy),</w:t>
      </w:r>
      <w:r>
        <w:t xml:space="preserve"> </w:t>
      </w:r>
      <w:r>
        <w:t xml:space="preserve">T. Buck und J. Büsselberg (Hanover-Misburg, Germany),</w:t>
      </w:r>
      <w:r>
        <w:t xml:space="preserve"> </w:t>
      </w:r>
      <w:r>
        <w:t xml:space="preserve">N. Zimmermann (Potsdam, Germany),</w:t>
      </w:r>
      <w:r>
        <w:t xml:space="preserve"> </w:t>
      </w:r>
      <w:r>
        <w:t xml:space="preserve">D. Hernandez (Valencia, Spain),</w:t>
      </w:r>
      <w:r>
        <w:t xml:space="preserve"> </w:t>
      </w:r>
      <w:r>
        <w:t xml:space="preserve">P. Minale (Genua, Italy),</w:t>
      </w:r>
      <w:r>
        <w:t xml:space="preserve"> </w:t>
      </w:r>
      <w:r>
        <w:t xml:space="preserve">J. Niederwimmer und B. Zahel (Linz, Austria),</w:t>
      </w:r>
      <w:r>
        <w:t xml:space="preserve"> </w:t>
      </w:r>
      <w:r>
        <w:t xml:space="preserve">A. Fiocchi (Rome, Italy),</w:t>
      </w:r>
      <w:r>
        <w:t xml:space="preserve"> </w:t>
      </w:r>
      <w:r>
        <w:t xml:space="preserve">A. Reissig (Gera, Germany),</w:t>
      </w:r>
      <w:r>
        <w:t xml:space="preserve"> </w:t>
      </w:r>
      <w:r>
        <w:t xml:space="preserve">F. Horak (Vienna, Austria),</w:t>
      </w:r>
      <w:r>
        <w:t xml:space="preserve"> </w:t>
      </w:r>
      <w:r>
        <w:t xml:space="preserve">N. Klossowiski (Düsseldorf, Germany),</w:t>
      </w:r>
      <w:r>
        <w:t xml:space="preserve"> </w:t>
      </w:r>
      <w:r>
        <w:t xml:space="preserve">F. Eitelberger (Wels, Austria),</w:t>
      </w:r>
      <w:r>
        <w:t xml:space="preserve"> </w:t>
      </w:r>
      <w:r>
        <w:t xml:space="preserve">H. Ott (Hanover, Germany),</w:t>
      </w:r>
      <w:r>
        <w:t xml:space="preserve"> </w:t>
      </w:r>
      <w:r>
        <w:t xml:space="preserve">R. Asero (Milan, Italy),</w:t>
      </w:r>
      <w:r>
        <w:t xml:space="preserve"> </w:t>
      </w:r>
      <w:r>
        <w:t xml:space="preserve">S. Pistauer (Sylt/Westerland, Germany),</w:t>
      </w:r>
      <w:r>
        <w:t xml:space="preserve"> </w:t>
      </w:r>
      <w:r>
        <w:t xml:space="preserve">M. Geißler (Ribnitz-Damgarten, Germany),</w:t>
      </w:r>
      <w:r>
        <w:t xml:space="preserve"> </w:t>
      </w:r>
      <w:r>
        <w:t xml:space="preserve">L. Ensina (Sao Paulo, Brazil),</w:t>
      </w:r>
      <w:r>
        <w:t xml:space="preserve"> </w:t>
      </w:r>
      <w:r>
        <w:t xml:space="preserve">A. Plaza Martin (Barcelona, Spain),</w:t>
      </w:r>
      <w:r>
        <w:t xml:space="preserve"> </w:t>
      </w:r>
      <w:r>
        <w:t xml:space="preserve">J. Meister (Aue, Germany),</w:t>
      </w:r>
      <w:r>
        <w:t xml:space="preserve"> </w:t>
      </w:r>
      <w:r>
        <w:t xml:space="preserve">S. Hompes (Hamburg, Germany),</w:t>
      </w:r>
      <w:r>
        <w:t xml:space="preserve"> </w:t>
      </w:r>
      <w:r>
        <w:t xml:space="preserve">S. Stieglitz (Wuppertal, Germany).</w:t>
      </w:r>
    </w:p>
    <w:p>
      <w:pPr>
        <w:pStyle w:val="Heading5"/>
      </w:pPr>
      <w:bookmarkStart w:id="43" w:name="pagebreak"/>
      <w:bookmarkEnd w:id="43"/>
      <w:r>
        <w:t xml:space="preserve">pagebreak</w:t>
      </w:r>
    </w:p>
    <w:p>
      <w:pPr>
        <w:pStyle w:val="Heading1"/>
      </w:pPr>
      <w:bookmarkStart w:id="44" w:name="references"/>
      <w:bookmarkEnd w:id="44"/>
      <w:r>
        <w:t xml:space="preserve">References</w:t>
      </w:r>
    </w:p>
    <w:p>
      <w:pPr>
        <w:pStyle w:val="FirstParagraph"/>
      </w:pPr>
      <w:r>
        <w:t xml:space="preserve">[1] Simons FER, Sampson HA. Anaphylaxis: Unique aspects of clinical diagnosis and management in infants (birth to age 2 years). Journal of Allergy and Clinical Immunology [Internet]. 2015;135:1125–1131. Available from:</w:t>
      </w:r>
      <w:r>
        <w:t xml:space="preserve"> </w:t>
      </w:r>
      <w:hyperlink r:id="rId45">
        <w:r>
          <w:rPr>
            <w:rStyle w:val="Hyperlink"/>
          </w:rPr>
          <w:t xml:space="preserve">https://doi.org/10.1016/j.jaci.2014.09.014</w:t>
        </w:r>
      </w:hyperlink>
      <w:r>
        <w:t xml:space="preserve">.</w:t>
      </w:r>
    </w:p>
    <w:p>
      <w:pPr>
        <w:pStyle w:val="BodyText"/>
      </w:pPr>
      <w:r>
        <w:t xml:space="preserve">[2] Grabenhenrich LB, Dölle S, Ruëff F, et al. Epinephrine in severe allergic reactions: The european anaphylaxis register. The Journal of Allergy and Clinical Immunology: In Practice [Internet]. 2018; Available from:</w:t>
      </w:r>
      <w:r>
        <w:t xml:space="preserve"> </w:t>
      </w:r>
      <w:hyperlink r:id="rId46">
        <w:r>
          <w:rPr>
            <w:rStyle w:val="Hyperlink"/>
          </w:rPr>
          <w:t xml:space="preserve">https://doi.org/10.1016/j.jaip.2018.02.026</w:t>
        </w:r>
      </w:hyperlink>
      <w:r>
        <w:t xml:space="preserve">.</w:t>
      </w:r>
    </w:p>
    <w:p>
      <w:pPr>
        <w:pStyle w:val="BodyText"/>
      </w:pPr>
      <w:r>
        <w:t xml:space="preserve">[3]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[4] Francuzik W, Dölle S, Worm M. Risk factors and treatment of refractory anaphylaxis-a review of case reports. Expert review of clinical immunology. 2018;14:307–314.</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Worm M, Francuzik W, Renaudin J-M, et al. Factors increasing the risk for a severe reaction in anaphylaxis: An analysis of data from the european anaphylaxis registry. Allergy. 2018;</w:t>
      </w:r>
    </w:p>
    <w:p>
      <w:pPr>
        <w:pStyle w:val="BodyText"/>
      </w:pPr>
      <w:r>
        <w:t xml:space="preserve">[7] R Core Team. R: A language and environment for statistical computing. Vienna, Austria: R Foundation for Statistical Computing; 2017.</w:t>
      </w:r>
    </w:p>
    <w:p>
      <w:pPr>
        <w:pStyle w:val="BodyText"/>
      </w:pPr>
      <w:r>
        <w:t xml:space="preserve">[8] Muraro A, Roberts G, Worm M, et al. Anaphylaxis: Guidelines from the european academy of allergy and clinical immunology. Allergy. 2014;69:1026–1045.</w:t>
      </w:r>
    </w:p>
    <w:p>
      <w:pPr>
        <w:pStyle w:val="BodyText"/>
      </w:pPr>
      <w:r>
        <w:t xml:space="preserve">[9] Hepner DL, Castells MC. Anaphylaxis during the perioperative period. Anesthesia &amp; Analgesia [Internet]. 2003;1381–1395. Available from:</w:t>
      </w:r>
      <w:r>
        <w:t xml:space="preserve"> </w:t>
      </w:r>
      <w:hyperlink r:id="rId47">
        <w:r>
          <w:rPr>
            <w:rStyle w:val="Hyperlink"/>
          </w:rPr>
          <w:t xml:space="preserve">https://doi.org/10.1213/01.ane.0000082993.84883.7d</w:t>
        </w:r>
      </w:hyperlink>
      <w:r>
        <w:t xml:space="preserve">.</w:t>
      </w:r>
    </w:p>
    <w:p>
      <w:pPr>
        <w:pStyle w:val="BodyText"/>
      </w:pPr>
      <w:r>
        <w:t xml:space="preserve">[10] Ebo DG, Fisher MM, Hagendorens MM, et al. Anaphylaxis during anaesthesia: Diagnostic approach. Allergy [Internet]. 2007;62:471–487. Available from:</w:t>
      </w:r>
      <w:r>
        <w:t xml:space="preserve"> </w:t>
      </w:r>
      <w:hyperlink r:id="rId48">
        <w:r>
          <w:rPr>
            <w:rStyle w:val="Hyperlink"/>
          </w:rPr>
          <w:t xml:space="preserve">https://doi.org/10.1111/j.1398-9995.2007.01347.x</w:t>
        </w:r>
      </w:hyperlink>
      <w:r>
        <w:t xml:space="preserve">.</w:t>
      </w:r>
    </w:p>
    <w:p>
      <w:pPr>
        <w:pStyle w:val="BodyText"/>
      </w:pPr>
      <w:r>
        <w:t xml:space="preserve">[11] McNeil BD, Pundir P, Meeker S, et al. Identification of a mast-cell-specific receptor crucial for pseudo-allergic drug reactions. Nature. 2015;519:237.</w:t>
      </w:r>
    </w:p>
    <w:p>
      <w:pPr>
        <w:pStyle w:val="BodyText"/>
      </w:pPr>
      <w:r>
        <w:t xml:space="preserve">[12] Saxon A. Immediate hypersensitivity reactions to</w:t>
      </w:r>
      <w:r>
        <w:t xml:space="preserve"> </w:t>
      </w:r>
      <m:oMath>
        <m:r>
          <m:t>β</m:t>
        </m:r>
      </m:oMath>
      <w:r>
        <w:t xml:space="preserve">-lactam antibiotics. Reviews of Infectious Diseases. 1983;5:S368–S379.</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9">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50">
        <w:r>
          <w:rPr>
            <w:rStyle w:val="Hyperlink"/>
          </w:rPr>
          <w:t xml:space="preserve">https://doi.org/10.1016/s0140-6736(96)01367-0</w:t>
        </w:r>
      </w:hyperlink>
      <w:r>
        <w:t xml:space="preserve">.</w:t>
      </w:r>
    </w:p>
    <w:p>
      <w:pPr>
        <w:pStyle w:val="BodyText"/>
      </w:pPr>
      <w:r>
        <w:t xml:space="preserve">[16] Mullins RJ. Anaphylaxis: Risk factors for recurrence. Clinical and Experimental Allergy. 2003;33:1033–1040.</w:t>
      </w:r>
    </w:p>
    <w:p>
      <w:pPr>
        <w:pStyle w:val="BodyText"/>
      </w:pPr>
      <w:r>
        <w:t xml:space="preserve">[17] Klion AD, Noel P, Akin C, et al. Elevated serum tryptase levels identify a subset of patients with a myeloproliferative variant of idiopathic hypereosinophilic syndrome associated with tissue fibrosis, poor prognosis, and imatinib responsiveness. Blood. 2003;101:4660–4666.</w:t>
      </w:r>
    </w:p>
    <w:p>
      <w:pPr>
        <w:pStyle w:val="BodyText"/>
      </w:pPr>
      <w:r>
        <w:t xml:space="preserve">[18] CAUGHEY G. Tryptase genetics and anaphylaxis. Journal of Allergy and Clinical Immunology [Internet]. 2006;117:1411–1414. Available from:</w:t>
      </w:r>
      <w:r>
        <w:t xml:space="preserve"> </w:t>
      </w:r>
      <w:hyperlink r:id="rId51">
        <w:r>
          <w:rPr>
            <w:rStyle w:val="Hyperlink"/>
          </w:rPr>
          <w:t xml:space="preserve">https://doi.org/10.1016/j.jaci.2006.02.026</w:t>
        </w:r>
      </w:hyperlink>
      <w:r>
        <w:t xml:space="preserve">.</w:t>
      </w:r>
    </w:p>
    <w:p>
      <w:pPr>
        <w:pStyle w:val="BodyText"/>
      </w:pPr>
      <w:r>
        <w:t xml:space="preserve">[19] Lyons JJ. Hereditary alpha tryptasemia. Immunology and Allergy Clinics of North America [Internet]. 2018;38:483–495. Available from:</w:t>
      </w:r>
      <w:r>
        <w:t xml:space="preserve"> </w:t>
      </w:r>
      <w:hyperlink r:id="rId52">
        <w:r>
          <w:rPr>
            <w:rStyle w:val="Hyperlink"/>
          </w:rPr>
          <w:t xml:space="preserve">https://doi.org/10.1016/j.iac.2018.04.003</w:t>
        </w:r>
      </w:hyperlink>
      <w:r>
        <w:t xml:space="preserve">.</w:t>
      </w:r>
    </w:p>
    <w:p>
      <w:pPr>
        <w:pStyle w:val="BodyText"/>
      </w:pPr>
      <w:r>
        <w:t xml:space="preserve">[20] Aniceto V, Dias MM, Melo JM, et al. Serum baseline tryptase level as a marker for the severity of anaphylaxis. International Archives of Allergy and Immunology [Internet]. 2019;179:201–208. Available from:</w:t>
      </w:r>
      <w:r>
        <w:t xml:space="preserve"> </w:t>
      </w:r>
      <w:hyperlink r:id="rId53">
        <w:r>
          <w:rPr>
            <w:rStyle w:val="Hyperlink"/>
          </w:rPr>
          <w:t xml:space="preserve">https://doi.org/10.1159/000497235</w:t>
        </w:r>
      </w:hyperlink>
      <w:r>
        <w:t xml:space="preserve">.</w:t>
      </w:r>
    </w:p>
    <w:p>
      <w:pPr>
        <w:pStyle w:val="BodyText"/>
      </w:pPr>
      <w:r>
        <w:t xml:space="preserve">[21] Lee C, Gianos M, Klaustermeyer WB. Diagnosis and management of hypersensitivity reactions related to common cancer chemotherapy agents. Annals of Allergy, Asthma &amp; Immunology. 2009;102:179–187.</w:t>
      </w:r>
    </w:p>
    <w:p>
      <w:pPr>
        <w:pStyle w:val="BodyText"/>
      </w:pPr>
      <w:r>
        <w:t xml:space="preserve">[22] Burns VE, Edwards KM, Ring C, et al. Complement cascade activation after an acute psychological stress task. Psychosomatic Medicine [Internet]. 2008;70:387–396. Available from:</w:t>
      </w:r>
      <w:r>
        <w:t xml:space="preserve"> </w:t>
      </w:r>
      <w:hyperlink r:id="rId54">
        <w:r>
          <w:rPr>
            <w:rStyle w:val="Hyperlink"/>
          </w:rPr>
          <w:t xml:space="preserve">https://doi.org/10.1097/psy.0b013e31816ded22</w:t>
        </w:r>
      </w:hyperlink>
      <w:r>
        <w:t xml:space="preserve">.</w:t>
      </w:r>
    </w:p>
    <w:p>
      <w:pPr>
        <w:pStyle w:val="BodyText"/>
      </w:pPr>
      <w:r>
        <w:t xml:space="preserve">[23] Arck PC, Handjiski B, Peters EMJ, et al. Stress inhibits hair growth in mice by induction of premature catagen development and deleterious perifollicular inflammatory events via neuropeptide substance p-dependent pathways. The American Journal of Pathology [Internet]. 2003;162:803–814. Available from:</w:t>
      </w:r>
      <w:r>
        <w:t xml:space="preserve"> </w:t>
      </w:r>
      <w:hyperlink r:id="rId55">
        <w:r>
          <w:rPr>
            <w:rStyle w:val="Hyperlink"/>
          </w:rPr>
          <w:t xml:space="preserve">https://doi.org/10.1016/s0002-9440(10)63877-1</w:t>
        </w:r>
      </w:hyperlink>
      <w:r>
        <w:t xml:space="preserve">.</w:t>
      </w:r>
    </w:p>
    <w:p>
      <w:pPr>
        <w:pStyle w:val="BodyText"/>
      </w:pPr>
      <w:r>
        <w:t xml:space="preserve">[24] Bossaller C, Reither K, Hehlert-Friedrich C, et al. In vivo measurement of endothelium-dependent vasodilation with substance p in man. Herz. 1992;17:284–290.</w:t>
      </w:r>
    </w:p>
    <w:p>
      <w:pPr>
        <w:pStyle w:val="BodyText"/>
      </w:pPr>
      <w:r>
        <w:t xml:space="preserve">[25] Singh LK, Pang X, Alexacos N, et al. Acute immobilization stress triggers skin mast cell degranulation via corticotropin releasing hormone, neurotensin, and substance p: A link to neurogenic skin disorders. Brain, Behavior, and Immunity [Internet]. 1999;13:225–239. Available from:</w:t>
      </w:r>
      <w:r>
        <w:t xml:space="preserve"> </w:t>
      </w:r>
      <w:hyperlink r:id="rId56">
        <w:r>
          <w:rPr>
            <w:rStyle w:val="Hyperlink"/>
          </w:rPr>
          <w:t xml:space="preserve">https://doi.org/10.1006/brbi.1998.0541</w:t>
        </w:r>
      </w:hyperlink>
      <w:r>
        <w:t xml:space="preserve">.</w:t>
      </w:r>
    </w:p>
    <w:p>
      <w:pPr>
        <w:pStyle w:val="BodyText"/>
      </w:pPr>
      <w:r>
        <w:t xml:space="preserve">[26] Alevizos M, Karagkouni A, Kontou-Fili K, et al. A probable case report of stress-induced anaphylaxis. Annals of Allergy, Asthma &amp; Immunology. 2014;112:383–384.</w:t>
      </w:r>
    </w:p>
    <w:p>
      <w:pPr>
        <w:pStyle w:val="BodyText"/>
      </w:pPr>
      <w:r>
        <w:t xml:space="preserve">[27] Wölbing F, Fischer J, Köberle M, et al. About the role and underlying mechanisms of cofactors in anaphylaxis. Allergy. 2013;n/a–n/a.</w:t>
      </w:r>
    </w:p>
    <w:p>
      <w:pPr>
        <w:pStyle w:val="BodyText"/>
      </w:pPr>
      <w:r>
        <w:t xml:space="preserve">[28] Natsch S, Vinks MH, Voogt AK, et al. Anaphylactic reactions to proton-pump inhibitors. Annals of Pharmacotherapy [Internet]. 2000;34:474–476. Available from:</w:t>
      </w:r>
      <w:r>
        <w:t xml:space="preserve"> </w:t>
      </w:r>
      <w:hyperlink r:id="rId57">
        <w:r>
          <w:rPr>
            <w:rStyle w:val="Hyperlink"/>
          </w:rPr>
          <w:t xml:space="preserve">https://doi.org/10.1345/aph.19235</w:t>
        </w:r>
      </w:hyperlink>
      <w:r>
        <w:t xml:space="preserve">.</w:t>
      </w:r>
    </w:p>
    <w:p>
      <w:pPr>
        <w:pStyle w:val="BodyText"/>
      </w:pPr>
      <w:r>
        <w:t xml:space="preserve">[29] Faria E, Rodrigues-Cernadas J, Gaspar A, et al. Drug-induced anaphylaxis survey in portuguese allergy departments. 2014;</w:t>
      </w:r>
    </w:p>
    <w:p>
      <w:pPr>
        <w:pStyle w:val="BodyText"/>
      </w:pPr>
      <w:r>
        <w:t xml:space="preserve">[30] Fleg JL, O’connor F, Gerstenblith G, et al. Impact of age on the cardiovascular response to dynamic upright exercise in healthy men and women. Journal of Applied Physiology. 1995;78:890–900.</w:t>
      </w:r>
    </w:p>
    <w:p>
      <w:pPr>
        <w:pStyle w:val="BodyText"/>
      </w:pPr>
      <w:r>
        <w:t xml:space="preserve">[31] Rogers KMA, Mccutcheon K. Understanding arterial blood gases. Journal of Perioperative Practice [Internet]. 2013;23:191–197. Available from:</w:t>
      </w:r>
      <w:r>
        <w:t xml:space="preserve"> </w:t>
      </w:r>
      <w:hyperlink r:id="rId58">
        <w:r>
          <w:rPr>
            <w:rStyle w:val="Hyperlink"/>
          </w:rPr>
          <w:t xml:space="preserve">https://doi.org/10.1177/175045891302300903</w:t>
        </w:r>
      </w:hyperlink>
      <w:r>
        <w:t xml:space="preserve">.</w:t>
      </w:r>
    </w:p>
    <w:p>
      <w:pPr>
        <w:pStyle w:val="BodyText"/>
      </w:pPr>
      <w:r>
        <w:t xml:space="preserve">[32] Tanida M, Zhang T, Sun L, et al. Anaphylactic hypotension causes renal and adrenal sympathoexcitaion and induces c-fos in the hypothalamus and medulla oblongata. Experimental physiology. 2018;103:790–806.</w:t>
      </w:r>
    </w:p>
    <w:p>
      <w:pPr>
        <w:pStyle w:val="BodyText"/>
      </w:pPr>
      <w:r>
        <w:t xml:space="preserve">[33] Song TT, Brown D, Karjalainen M, et al. Value of a second dose of epinephrine during anaphylaxis: A patient/caregiver survey. The Journal of Allergy and Clinical Immunology: In Practice. 2018;</w:t>
      </w:r>
    </w:p>
    <w:p>
      <w:pPr>
        <w:pStyle w:val="BodyText"/>
      </w:pPr>
      <w:r>
        <w:t xml:space="preserve">[34] Evora PRB. Should methylene blue be the drug of choice to treat vasoplegias caused by cardiopulmonary bypass and anaphylactic shock? The Journal of Thoracic and Cardiovascular Surgery [Internet]. 2000;119:632–633. Available from:</w:t>
      </w:r>
      <w:r>
        <w:t xml:space="preserve"> </w:t>
      </w:r>
      <w:hyperlink r:id="rId59">
        <w:r>
          <w:rPr>
            <w:rStyle w:val="Hyperlink"/>
          </w:rPr>
          <w:t xml:space="preserve">https://doi.org/10.1016/s0022-5223(00)70152-8</w:t>
        </w:r>
      </w:hyperlink>
      <w:r>
        <w:t xml:space="preserve">.</w:t>
      </w:r>
    </w:p>
    <w:p>
      <w:pPr>
        <w:pStyle w:val="BodyText"/>
      </w:pPr>
      <w:r>
        <w:t xml:space="preserve">[35] Dfaz JE, Roberts JR. Anaphylactic shock. Schweiz Rundsch Med Prax. 1995;84:1307–1313.</w:t>
      </w:r>
    </w:p>
    <w:p>
      <w:pPr>
        <w:pStyle w:val="BodyText"/>
      </w:pPr>
      <w:r>
        <w:t xml:space="preserve">[36] Tucker D, Lu Y, Zhang Q. From mitochondrial function to neuroprotection—an emerging role for methylene blue. Molecular neurobiology. 2017;1–17.</w:t>
      </w:r>
    </w:p>
    <w:p>
      <w:pPr>
        <w:pStyle w:val="BodyText"/>
      </w:pPr>
      <w:r>
        <w:t xml:space="preserve">[37] Simons FER, Ardusso LRF, Bilò MB, et al. World Allergy Organization Guidelines for the Assessment and Management of Anaphylaxis. World Allergy Organization Journal. 2011;4:13–36.</w:t>
      </w:r>
    </w:p>
    <w:p>
      <w:pPr>
        <w:pStyle w:val="BodyText"/>
      </w:pPr>
      <w:r>
        <w:t xml:space="preserve">[38] Lieberman P, Kemp S, Oppenheimer J, et al. The diagnosis and management of anaphylaxis: An updated practice parameter. Journal of Allergy and Clinical Immunology. 2005;115:S483–S523.</w:t>
      </w:r>
    </w:p>
    <w:p>
      <w:pPr>
        <w:pStyle w:val="BodyText"/>
      </w:pPr>
      <w:r>
        <w:t xml:space="preserve">[39] Harper N, Cook T, Garcez T, et al. Anaesthesia, surgery, and life-threatening allergic reactions: Management and outcomes in the 6th national audit project (nap6). British Journal of Anaesthesia. 2018;</w:t>
      </w:r>
    </w:p>
    <w:p>
      <w:pPr>
        <w:pStyle w:val="BodyText"/>
      </w:pPr>
      <w:r>
        <w:t xml:space="preserve">[40] Zaloga GP, Delacey W, Holmboe E, et al. Glucagon reversal of hypotension in a case of anaphylactoid shock. Annals of Internal Medicine. 1986;105:65–66.</w:t>
      </w:r>
    </w:p>
    <w:p>
      <w:pPr>
        <w:pStyle w:val="BodyText"/>
      </w:pPr>
      <w:r>
        <w:t xml:space="preserve">[41] Javeed N, Javeed H, Javeed S, et al. Refractory anaphylactoid shock potentiated by beta-blockers. 1996. pp. 383–384.</w:t>
      </w:r>
    </w:p>
    <w:p>
      <w:pPr>
        <w:pStyle w:val="Heading5"/>
      </w:pPr>
      <w:bookmarkStart w:id="60" w:name="pagebreak-1"/>
      <w:bookmarkEnd w:id="60"/>
      <w:r>
        <w:t xml:space="preserve">pagebreak</w:t>
      </w:r>
    </w:p>
    <w:p>
      <w:pPr>
        <w:pStyle w:val="Heading1"/>
      </w:pPr>
      <w:bookmarkStart w:id="61" w:name="figures"/>
      <w:bookmarkEnd w:id="61"/>
      <w:r>
        <w:t xml:space="preserve">Figures</w:t>
      </w:r>
    </w:p>
    <w:p>
      <w:pPr>
        <w:pStyle w:val="FigureWithCaption"/>
      </w:pPr>
      <w:r>
        <w:drawing>
          <wp:inline>
            <wp:extent cx="5943600" cy="5943600"/>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5"/>
      </w:pPr>
      <w:bookmarkStart w:id="63" w:name="section"/>
      <w:bookmarkEnd w:id="63"/>
    </w:p>
    <w:p>
      <w:pPr>
        <w:pStyle w:val="FigureWithCaption"/>
      </w:pPr>
      <w:r>
        <w:drawing>
          <wp:inline>
            <wp:extent cx="2376216" cy="2174375"/>
            <wp:effectExtent b="0" l="0" r="0" t="0"/>
            <wp:docPr descr="Figure 2: Visual representation of the three forces determining the severity of anaphylaxis. The natural ability of the body to compensate for the anaphylaxis symptoms and therapeutic measures acting to restore homeostasis. Elicitors and cofactors influence the severity of a given episode synergistically." title="" id="1" name="Picture"/>
            <a:graphic>
              <a:graphicData uri="http://schemas.openxmlformats.org/drawingml/2006/picture">
                <pic:pic>
                  <pic:nvPicPr>
                    <pic:cNvPr descr="../figures/diag22.png" id="0" name="Picture"/>
                    <pic:cNvPicPr>
                      <a:picLocks noChangeArrowheads="1" noChangeAspect="1"/>
                    </pic:cNvPicPr>
                  </pic:nvPicPr>
                  <pic:blipFill>
                    <a:blip r:embed="rId64"/>
                    <a:stretch>
                      <a:fillRect/>
                    </a:stretch>
                  </pic:blipFill>
                  <pic:spPr bwMode="auto">
                    <a:xfrm>
                      <a:off x="0" y="0"/>
                      <a:ext cx="2376216" cy="2174375"/>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for the anaphylaxis symptoms and therapeutic measures acting to restore homeostasis. Elicitors and cofactors influence the severity of a given episode synergistically.</w:t>
      </w:r>
    </w:p>
    <w:p>
      <w:pPr>
        <w:pStyle w:val="Heading5"/>
      </w:pPr>
      <w:bookmarkStart w:id="65" w:name="section-1"/>
      <w:bookmarkEnd w:id="65"/>
    </w:p>
    <w:p>
      <w:pPr>
        <w:pStyle w:val="Heading1"/>
      </w:pPr>
      <w:bookmarkStart w:id="66" w:name="tables"/>
      <w:bookmarkEnd w:id="66"/>
      <w:r>
        <w:t xml:space="preserve">Tables</w:t>
      </w:r>
    </w:p>
    <w:p>
      <w:pPr>
        <w:pStyle w:val="TableCaption"/>
      </w:pPr>
      <w:r>
        <w:t xml:space="preserve">Table 1: Summary of the refractory anaphylaxis cases. Age is represented by a mean value, other variables as fractions [%]. DM - diabetes mellitus, p value is derived from a Mann-Whitney U test or a Chi</w:t>
      </w:r>
      <w:r>
        <w:rPr>
          <w:vertAlign w:val="superscript"/>
        </w:rPr>
        <w:t xml:space="preserve">2</w:t>
      </w:r>
      <w:r>
        <w:t xml:space="preserve"> </w:t>
      </w:r>
      <w:r>
        <w:t xml:space="preserve">test for interval and categorical variables respectively. Refractory group was compared to severe anaphylaxis cases without differentiating into male and female subgroups.</w:t>
      </w:r>
    </w:p>
    <w:tbl>
      <w:tblPr>
        <w:tblStyle w:val="TableNormal"/>
        <w:tblW w:type="pct" w:w="0.0"/>
        <w:tblLook w:firstRow="1"/>
        <w:tblCaption w:val="Table 1: Summary of the refractory anaphylaxis cases. Age is represented by a mean value, other variables as fractions [%]. DM - diabetes mellitus, p value is derived from a Mann-Whitney U test or a Chi2 test for interval and categorical variables respectively. Refractory group was compared to severe anaphylaxis cases without differentiating into male and female subgroups."/>
      </w:tblPr>
      <w:tblGrid/>
      <w:tr>
        <w:trPr>
          <w:cnfStyle w:firstRow="1"/>
        </w:trPr>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Cardiologic</w:t>
            </w:r>
          </w:p>
        </w:tc>
        <w:tc>
          <w:tcPr>
            <w:tcBorders>
              <w:bottom w:val="single"/>
            </w:tcBorders>
            <w:vAlign w:val="bottom"/>
          </w:tcPr>
          <w:p>
            <w:pPr>
              <w:pStyle w:val="Compact"/>
              <w:jc w:val="right"/>
            </w:pPr>
            <w:r>
              <w:t xml:space="preserve">DM</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Mastocytosis</w:t>
            </w:r>
          </w:p>
        </w:tc>
        <w:tc>
          <w:tcPr>
            <w:tcBorders>
              <w:bottom w:val="single"/>
            </w:tcBorders>
            <w:vAlign w:val="bottom"/>
          </w:tcPr>
          <w:p>
            <w:pPr>
              <w:pStyle w:val="Compact"/>
              <w:jc w:val="right"/>
            </w:pPr>
            <w:r>
              <w:t xml:space="preserve">Malignancy</w:t>
            </w:r>
          </w:p>
        </w:tc>
        <w:tc>
          <w:tcPr>
            <w:tcBorders>
              <w:bottom w:val="single"/>
            </w:tcBorders>
            <w:vAlign w:val="bottom"/>
          </w:tcPr>
          <w:p>
            <w:pPr>
              <w:pStyle w:val="Compact"/>
              <w:jc w:val="right"/>
            </w:pPr>
            <w:r>
              <w:t xml:space="preserve">Atopic dermatitis</w:t>
            </w:r>
          </w:p>
        </w:tc>
        <w:tc>
          <w:tcPr>
            <w:tcBorders>
              <w:bottom w:val="single"/>
            </w:tcBorders>
            <w:vAlign w:val="bottom"/>
          </w:tcPr>
          <w:p>
            <w:pPr>
              <w:pStyle w:val="Compact"/>
              <w:jc w:val="right"/>
            </w:pPr>
            <w:r>
              <w:t xml:space="preserve">tryptase [median]</w:t>
            </w:r>
          </w:p>
        </w:tc>
      </w:tr>
      <w:tr>
        <w:tc>
          <w:p>
            <w:pPr>
              <w:pStyle w:val="Compact"/>
              <w:jc w:val="right"/>
            </w:pPr>
            <w:r>
              <w:t xml:space="preserve">female</w:t>
            </w:r>
          </w:p>
        </w:tc>
        <w:tc>
          <w:p>
            <w:pPr>
              <w:pStyle w:val="Compact"/>
              <w:jc w:val="right"/>
            </w:pPr>
            <w:r>
              <w:t xml:space="preserve">refractory</w:t>
            </w:r>
          </w:p>
        </w:tc>
        <w:tc>
          <w:p>
            <w:pPr>
              <w:pStyle w:val="Compact"/>
              <w:jc w:val="right"/>
            </w:pPr>
            <w:r>
              <w:t xml:space="preserve">22.00</w:t>
            </w:r>
          </w:p>
        </w:tc>
        <w:tc>
          <w:p>
            <w:pPr>
              <w:pStyle w:val="Compact"/>
              <w:jc w:val="right"/>
            </w:pPr>
            <w:r>
              <w:t xml:space="preserve">40.0</w:t>
            </w:r>
          </w:p>
        </w:tc>
        <w:tc>
          <w:p>
            <w:pPr>
              <w:pStyle w:val="Compact"/>
              <w:jc w:val="right"/>
            </w:pPr>
            <w:r>
              <w:t xml:space="preserve">31.82</w:t>
            </w:r>
          </w:p>
        </w:tc>
        <w:tc>
          <w:p>
            <w:pPr>
              <w:pStyle w:val="Compact"/>
              <w:jc w:val="right"/>
            </w:pPr>
            <w:r>
              <w:t xml:space="preserve">9.09</w:t>
            </w:r>
          </w:p>
        </w:tc>
        <w:tc>
          <w:p>
            <w:pPr>
              <w:pStyle w:val="Compact"/>
              <w:jc w:val="right"/>
            </w:pPr>
            <w:r>
              <w:t xml:space="preserve">13.64</w:t>
            </w:r>
          </w:p>
        </w:tc>
        <w:tc>
          <w:p>
            <w:pPr>
              <w:pStyle w:val="Compact"/>
              <w:jc w:val="right"/>
            </w:pPr>
            <w:r>
              <w:t xml:space="preserve">9.09</w:t>
            </w:r>
          </w:p>
        </w:tc>
        <w:tc>
          <w:p>
            <w:pPr>
              <w:pStyle w:val="Compact"/>
              <w:jc w:val="right"/>
            </w:pPr>
            <w:r>
              <w:t xml:space="preserve">0.00</w:t>
            </w:r>
          </w:p>
        </w:tc>
        <w:tc>
          <w:p>
            <w:pPr>
              <w:pStyle w:val="Compact"/>
              <w:jc w:val="right"/>
            </w:pPr>
            <w:r>
              <w:t xml:space="preserve">18.18</w:t>
            </w:r>
          </w:p>
        </w:tc>
        <w:tc>
          <w:p>
            <w:pPr>
              <w:pStyle w:val="Compact"/>
              <w:jc w:val="right"/>
            </w:pPr>
            <w:r>
              <w:t xml:space="preserve">5.22</w:t>
            </w:r>
          </w:p>
        </w:tc>
      </w:tr>
      <w:tr>
        <w:tc>
          <w:p>
            <w:pPr>
              <w:pStyle w:val="Compact"/>
              <w:jc w:val="right"/>
            </w:pPr>
            <w:r>
              <w:t xml:space="preserve">male</w:t>
            </w:r>
          </w:p>
        </w:tc>
        <w:tc>
          <w:p>
            <w:pPr>
              <w:pStyle w:val="Compact"/>
              <w:jc w:val="right"/>
            </w:pPr>
            <w:r>
              <w:t xml:space="preserve">refractory</w:t>
            </w:r>
          </w:p>
        </w:tc>
        <w:tc>
          <w:p>
            <w:pPr>
              <w:pStyle w:val="Compact"/>
              <w:jc w:val="right"/>
            </w:pPr>
            <w:r>
              <w:t xml:space="preserve">20.00</w:t>
            </w:r>
          </w:p>
        </w:tc>
        <w:tc>
          <w:p>
            <w:pPr>
              <w:pStyle w:val="Compact"/>
              <w:jc w:val="right"/>
            </w:pPr>
            <w:r>
              <w:t xml:space="preserve">43.0</w:t>
            </w:r>
          </w:p>
        </w:tc>
        <w:tc>
          <w:p>
            <w:pPr>
              <w:pStyle w:val="Compact"/>
              <w:jc w:val="right"/>
            </w:pPr>
            <w:r>
              <w:t xml:space="preserve">30.00</w:t>
            </w:r>
          </w:p>
        </w:tc>
        <w:tc>
          <w:p>
            <w:pPr>
              <w:pStyle w:val="Compact"/>
              <w:jc w:val="right"/>
            </w:pPr>
            <w:r>
              <w:t xml:space="preserve">15.00</w:t>
            </w:r>
          </w:p>
        </w:tc>
        <w:tc>
          <w:p>
            <w:pPr>
              <w:pStyle w:val="Compact"/>
              <w:jc w:val="right"/>
            </w:pPr>
            <w:r>
              <w:t xml:space="preserve">5.00</w:t>
            </w:r>
          </w:p>
        </w:tc>
        <w:tc>
          <w:p>
            <w:pPr>
              <w:pStyle w:val="Compact"/>
              <w:jc w:val="right"/>
            </w:pPr>
            <w:r>
              <w:t xml:space="preserve">5.00</w:t>
            </w:r>
          </w:p>
        </w:tc>
        <w:tc>
          <w:p>
            <w:pPr>
              <w:pStyle w:val="Compact"/>
              <w:jc w:val="right"/>
            </w:pPr>
            <w:r>
              <w:t xml:space="preserve">15.00</w:t>
            </w:r>
          </w:p>
        </w:tc>
        <w:tc>
          <w:p>
            <w:pPr>
              <w:pStyle w:val="Compact"/>
              <w:jc w:val="right"/>
            </w:pPr>
            <w:r>
              <w:t xml:space="preserve">5.00</w:t>
            </w:r>
          </w:p>
        </w:tc>
        <w:tc>
          <w:p>
            <w:pPr>
              <w:pStyle w:val="Compact"/>
              <w:jc w:val="right"/>
            </w:pPr>
            <w:r>
              <w:t xml:space="preserve">7.43</w:t>
            </w:r>
          </w:p>
        </w:tc>
      </w:tr>
      <w:tr>
        <w:tc>
          <w:p>
            <w:pPr>
              <w:pStyle w:val="Compact"/>
              <w:jc w:val="right"/>
            </w:pPr>
            <w:r>
              <w:t xml:space="preserve">female</w:t>
            </w:r>
          </w:p>
        </w:tc>
        <w:tc>
          <w:p>
            <w:pPr>
              <w:pStyle w:val="Compact"/>
              <w:jc w:val="right"/>
            </w:pPr>
            <w:r>
              <w:t xml:space="preserve">severe</w:t>
            </w:r>
          </w:p>
        </w:tc>
        <w:tc>
          <w:p>
            <w:pPr>
              <w:pStyle w:val="Compact"/>
              <w:jc w:val="right"/>
            </w:pPr>
            <w:r>
              <w:t xml:space="preserve">2421.00</w:t>
            </w:r>
          </w:p>
        </w:tc>
        <w:tc>
          <w:p>
            <w:pPr>
              <w:pStyle w:val="Compact"/>
              <w:jc w:val="right"/>
            </w:pPr>
            <w:r>
              <w:t xml:space="preserve">43.4</w:t>
            </w:r>
          </w:p>
        </w:tc>
        <w:tc>
          <w:p>
            <w:pPr>
              <w:pStyle w:val="Compact"/>
              <w:jc w:val="right"/>
            </w:pPr>
            <w:r>
              <w:t xml:space="preserve">20.57</w:t>
            </w:r>
          </w:p>
        </w:tc>
        <w:tc>
          <w:p>
            <w:pPr>
              <w:pStyle w:val="Compact"/>
              <w:jc w:val="right"/>
            </w:pPr>
            <w:r>
              <w:t xml:space="preserve">2.27</w:t>
            </w:r>
          </w:p>
        </w:tc>
        <w:tc>
          <w:p>
            <w:pPr>
              <w:pStyle w:val="Compact"/>
              <w:jc w:val="right"/>
            </w:pPr>
            <w:r>
              <w:t xml:space="preserve">5.37</w:t>
            </w:r>
          </w:p>
        </w:tc>
        <w:tc>
          <w:p>
            <w:pPr>
              <w:pStyle w:val="Compact"/>
              <w:jc w:val="right"/>
            </w:pPr>
            <w:r>
              <w:t xml:space="preserve">2.56</w:t>
            </w:r>
          </w:p>
        </w:tc>
        <w:tc>
          <w:p>
            <w:pPr>
              <w:pStyle w:val="Compact"/>
              <w:jc w:val="right"/>
            </w:pPr>
            <w:r>
              <w:t xml:space="preserve">2.19</w:t>
            </w:r>
          </w:p>
        </w:tc>
        <w:tc>
          <w:p>
            <w:pPr>
              <w:pStyle w:val="Compact"/>
              <w:jc w:val="right"/>
            </w:pPr>
            <w:r>
              <w:t xml:space="preserve">6.73</w:t>
            </w:r>
          </w:p>
        </w:tc>
        <w:tc>
          <w:p>
            <w:pPr>
              <w:pStyle w:val="Compact"/>
              <w:jc w:val="right"/>
            </w:pPr>
            <w:r>
              <w:t xml:space="preserve">4.30</w:t>
            </w:r>
          </w:p>
        </w:tc>
      </w:tr>
      <w:tr>
        <w:tc>
          <w:p>
            <w:pPr>
              <w:pStyle w:val="Compact"/>
              <w:jc w:val="right"/>
            </w:pPr>
            <w:r>
              <w:t xml:space="preserve">male</w:t>
            </w:r>
          </w:p>
        </w:tc>
        <w:tc>
          <w:p>
            <w:pPr>
              <w:pStyle w:val="Compact"/>
              <w:jc w:val="right"/>
            </w:pPr>
            <w:r>
              <w:t xml:space="preserve">severe</w:t>
            </w:r>
          </w:p>
        </w:tc>
        <w:tc>
          <w:p>
            <w:pPr>
              <w:pStyle w:val="Compact"/>
              <w:jc w:val="right"/>
            </w:pPr>
            <w:r>
              <w:t xml:space="preserve">2399.00</w:t>
            </w:r>
          </w:p>
        </w:tc>
        <w:tc>
          <w:p>
            <w:pPr>
              <w:pStyle w:val="Compact"/>
              <w:jc w:val="right"/>
            </w:pPr>
            <w:r>
              <w:t xml:space="preserve">40.2</w:t>
            </w:r>
          </w:p>
        </w:tc>
        <w:tc>
          <w:p>
            <w:pPr>
              <w:pStyle w:val="Compact"/>
              <w:jc w:val="right"/>
            </w:pPr>
            <w:r>
              <w:t xml:space="preserve">22.89</w:t>
            </w:r>
          </w:p>
        </w:tc>
        <w:tc>
          <w:p>
            <w:pPr>
              <w:pStyle w:val="Compact"/>
              <w:jc w:val="right"/>
            </w:pPr>
            <w:r>
              <w:t xml:space="preserve">3.58</w:t>
            </w:r>
          </w:p>
        </w:tc>
        <w:tc>
          <w:p>
            <w:pPr>
              <w:pStyle w:val="Compact"/>
              <w:jc w:val="right"/>
            </w:pPr>
            <w:r>
              <w:t xml:space="preserve">5.84</w:t>
            </w:r>
          </w:p>
        </w:tc>
        <w:tc>
          <w:p>
            <w:pPr>
              <w:pStyle w:val="Compact"/>
              <w:jc w:val="right"/>
            </w:pPr>
            <w:r>
              <w:t xml:space="preserve">2.54</w:t>
            </w:r>
          </w:p>
        </w:tc>
        <w:tc>
          <w:p>
            <w:pPr>
              <w:pStyle w:val="Compact"/>
              <w:jc w:val="right"/>
            </w:pPr>
            <w:r>
              <w:t xml:space="preserve">2.08</w:t>
            </w:r>
          </w:p>
        </w:tc>
        <w:tc>
          <w:p>
            <w:pPr>
              <w:pStyle w:val="Compact"/>
              <w:jc w:val="right"/>
            </w:pPr>
            <w:r>
              <w:t xml:space="preserve">6.25</w:t>
            </w:r>
          </w:p>
        </w:tc>
        <w:tc>
          <w:p>
            <w:pPr>
              <w:pStyle w:val="Compact"/>
              <w:jc w:val="right"/>
            </w:pPr>
            <w:r>
              <w:t xml:space="preserve">4.72</w:t>
            </w:r>
          </w:p>
        </w:tc>
      </w:tr>
      <w:tr>
        <w:tc>
          <w:p>
            <w:pPr>
              <w:pStyle w:val="Compact"/>
            </w:pPr>
          </w:p>
        </w:tc>
        <w:tc>
          <w:p>
            <w:pPr>
              <w:pStyle w:val="Compact"/>
              <w:jc w:val="right"/>
            </w:pPr>
            <w:r>
              <w:t xml:space="preserve">p value</w:t>
            </w:r>
          </w:p>
        </w:tc>
        <w:tc>
          <w:p>
            <w:pPr>
              <w:pStyle w:val="Compact"/>
              <w:jc w:val="right"/>
            </w:pPr>
            <w:r>
              <w:t xml:space="preserve">0.78</w:t>
            </w:r>
          </w:p>
        </w:tc>
        <w:tc>
          <w:p>
            <w:pPr>
              <w:pStyle w:val="Compact"/>
              <w:jc w:val="right"/>
            </w:pPr>
            <w:r>
              <w:t xml:space="preserve">0.9</w:t>
            </w:r>
          </w:p>
        </w:tc>
        <w:tc>
          <w:p>
            <w:pPr>
              <w:pStyle w:val="Compact"/>
              <w:jc w:val="right"/>
            </w:pPr>
            <w:r>
              <w:t xml:space="preserve">0.19</w:t>
            </w:r>
          </w:p>
        </w:tc>
        <w:tc>
          <w:p>
            <w:pPr>
              <w:pStyle w:val="Compact"/>
              <w:jc w:val="right"/>
            </w:pPr>
            <w:r>
              <w:t xml:space="preserve">0.07</w:t>
            </w:r>
          </w:p>
        </w:tc>
        <w:tc>
          <w:p>
            <w:pPr>
              <w:pStyle w:val="Compact"/>
              <w:jc w:val="right"/>
            </w:pPr>
            <w:r>
              <w:t xml:space="preserve">1.00</w:t>
            </w:r>
          </w:p>
        </w:tc>
        <w:tc>
          <w:p>
            <w:pPr>
              <w:pStyle w:val="Compact"/>
              <w:jc w:val="right"/>
            </w:pPr>
            <w:r>
              <w:t xml:space="preserve">0.10</w:t>
            </w:r>
          </w:p>
        </w:tc>
        <w:tc>
          <w:p>
            <w:pPr>
              <w:pStyle w:val="Compact"/>
              <w:jc w:val="right"/>
            </w:pPr>
            <w:r>
              <w:t xml:space="preserve">0.07</w:t>
            </w:r>
          </w:p>
        </w:tc>
        <w:tc>
          <w:p>
            <w:pPr>
              <w:pStyle w:val="Compact"/>
              <w:jc w:val="right"/>
            </w:pPr>
            <w:r>
              <w:t xml:space="preserve">0.20</w:t>
            </w:r>
          </w:p>
        </w:tc>
        <w:tc>
          <w:p>
            <w:pPr>
              <w:pStyle w:val="Compact"/>
              <w:jc w:val="right"/>
            </w:pPr>
            <w:r>
              <w:t xml:space="preserve">0.01</w:t>
            </w:r>
          </w:p>
        </w:tc>
      </w:tr>
    </w:tbl>
    <w:p>
      <w:pPr>
        <w:pStyle w:val="Heading5"/>
      </w:pPr>
      <w:bookmarkStart w:id="67" w:name="section-2"/>
      <w:bookmarkEnd w:id="67"/>
    </w:p>
    <w:p>
      <w:pPr>
        <w:pStyle w:val="TableCaption"/>
      </w:pPr>
      <w:r>
        <w:t xml:space="preserve">Table 2: Summary of elicitors in the refractory anaphylaxis cases and severe, non-refractory anaphylaxis cases as a control. ANA - anaphylaxis, Age is represented as a mean, p-value derived from the Fisher’s exact test.</w:t>
      </w:r>
    </w:p>
    <w:tbl>
      <w:tblPr>
        <w:tblStyle w:val="TableNormal"/>
        <w:tblW w:type="pct" w:w="0.0"/>
        <w:tblLook w:firstRow="1"/>
        <w:tblCaption w:val="Table 2: Summary of elicitors in the refractory anaphylaxis cases and severe, non-refractory anaphylaxis cases as a control. ANA - anaphylaxis, Age is represented as a mean, p-value derived from the Fisher’s exact test."/>
      </w:tblPr>
      <w:tblGrid/>
      <w:tr>
        <w:trPr>
          <w:cnfStyle w:firstRow="1"/>
        </w:trPr>
        <w:tc>
          <w:tcPr>
            <w:tcBorders>
              <w:bottom w:val="single"/>
            </w:tcBorders>
            <w:vAlign w:val="bottom"/>
          </w:tcPr>
          <w:p>
            <w:pPr>
              <w:pStyle w:val="Compact"/>
              <w:jc w:val="right"/>
            </w:pPr>
            <w:r>
              <w:t xml:space="preserve">Elicitor</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 severe ANA</w:t>
            </w:r>
          </w:p>
        </w:tc>
        <w:tc>
          <w:tcPr>
            <w:tcBorders>
              <w:bottom w:val="single"/>
            </w:tcBorders>
            <w:vAlign w:val="bottom"/>
          </w:tcPr>
          <w:p>
            <w:pPr>
              <w:pStyle w:val="Compact"/>
              <w:jc w:val="right"/>
            </w:pPr>
            <w:r>
              <w:t xml:space="preserve">Perioperative [n]</w:t>
            </w:r>
          </w:p>
        </w:tc>
        <w:tc>
          <w:tcPr>
            <w:tcBorders>
              <w:bottom w:val="single"/>
            </w:tcBorders>
            <w:vAlign w:val="bottom"/>
          </w:tcPr>
          <w:p>
            <w:pPr>
              <w:pStyle w:val="Compact"/>
              <w:jc w:val="right"/>
            </w:pPr>
            <w:r>
              <w:t xml:space="preserve">Food allergy [n]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w:t>
            </w:r>
          </w:p>
        </w:tc>
        <w:tc>
          <w:tcPr>
            <w:tcBorders>
              <w:bottom w:val="single"/>
            </w:tcBorders>
            <w:vAlign w:val="bottom"/>
          </w:tcPr>
          <w:p>
            <w:pPr>
              <w:pStyle w:val="Compact"/>
              <w:jc w:val="right"/>
            </w:pPr>
            <w:r>
              <w:t xml:space="preserve">p</w:t>
            </w:r>
          </w:p>
        </w:tc>
      </w:tr>
      <w:tr>
        <w:tc>
          <w:p>
            <w:pPr>
              <w:pStyle w:val="Compact"/>
              <w:jc w:val="right"/>
            </w:pPr>
            <w:r>
              <w:t xml:space="preserve">food</w:t>
            </w:r>
          </w:p>
        </w:tc>
        <w:tc>
          <w:p>
            <w:pPr>
              <w:pStyle w:val="Compact"/>
              <w:jc w:val="right"/>
            </w:pPr>
            <w:r>
              <w:t xml:space="preserve">9</w:t>
            </w:r>
          </w:p>
        </w:tc>
        <w:tc>
          <w:p>
            <w:pPr>
              <w:pStyle w:val="Compact"/>
              <w:jc w:val="right"/>
            </w:pPr>
            <w:r>
              <w:t xml:space="preserve">21.4</w:t>
            </w:r>
          </w:p>
        </w:tc>
        <w:tc>
          <w:p>
            <w:pPr>
              <w:pStyle w:val="Compact"/>
              <w:jc w:val="right"/>
            </w:pPr>
            <w:r>
              <w:t xml:space="preserve">24.1</w:t>
            </w:r>
          </w:p>
        </w:tc>
        <w:tc>
          <w:p>
            <w:pPr>
              <w:pStyle w:val="Compact"/>
              <w:jc w:val="right"/>
            </w:pPr>
            <w:r>
              <w:t xml:space="preserve">0</w:t>
            </w:r>
          </w:p>
        </w:tc>
        <w:tc>
          <w:p>
            <w:pPr>
              <w:pStyle w:val="Compact"/>
              <w:jc w:val="right"/>
            </w:pPr>
            <w:r>
              <w:t xml:space="preserve">3</w:t>
            </w:r>
          </w:p>
        </w:tc>
        <w:tc>
          <w:p>
            <w:pPr>
              <w:pStyle w:val="Compact"/>
              <w:jc w:val="right"/>
            </w:pPr>
            <w:r>
              <w:t xml:space="preserve">17.4</w:t>
            </w:r>
          </w:p>
        </w:tc>
        <w:tc>
          <w:p>
            <w:pPr>
              <w:pStyle w:val="Compact"/>
              <w:jc w:val="right"/>
            </w:pPr>
            <w:r>
              <w:t xml:space="preserve">55.6</w:t>
            </w:r>
          </w:p>
        </w:tc>
        <w:tc>
          <w:p>
            <w:pPr>
              <w:pStyle w:val="Compact"/>
              <w:jc w:val="right"/>
            </w:pPr>
            <w:r>
              <w:t xml:space="preserve">0.8560</w:t>
            </w:r>
          </w:p>
        </w:tc>
      </w:tr>
      <w:tr>
        <w:tc>
          <w:p>
            <w:pPr>
              <w:pStyle w:val="Compact"/>
              <w:jc w:val="right"/>
            </w:pPr>
            <w:r>
              <w:t xml:space="preserve">drugs</w:t>
            </w:r>
          </w:p>
        </w:tc>
        <w:tc>
          <w:p>
            <w:pPr>
              <w:pStyle w:val="Compact"/>
              <w:jc w:val="right"/>
            </w:pPr>
            <w:r>
              <w:t xml:space="preserve">21</w:t>
            </w:r>
          </w:p>
        </w:tc>
        <w:tc>
          <w:p>
            <w:pPr>
              <w:pStyle w:val="Compact"/>
              <w:jc w:val="right"/>
            </w:pPr>
            <w:r>
              <w:t xml:space="preserve">50.0</w:t>
            </w:r>
          </w:p>
        </w:tc>
        <w:tc>
          <w:p>
            <w:pPr>
              <w:pStyle w:val="Compact"/>
              <w:jc w:val="right"/>
            </w:pPr>
            <w:r>
              <w:t xml:space="preserve">19.7</w:t>
            </w:r>
          </w:p>
        </w:tc>
        <w:tc>
          <w:p>
            <w:pPr>
              <w:pStyle w:val="Compact"/>
              <w:jc w:val="right"/>
            </w:pPr>
            <w:r>
              <w:t xml:space="preserve">19</w:t>
            </w:r>
          </w:p>
        </w:tc>
        <w:tc>
          <w:p>
            <w:pPr>
              <w:pStyle w:val="Compact"/>
              <w:jc w:val="right"/>
            </w:pPr>
            <w:r>
              <w:t xml:space="preserve">0</w:t>
            </w:r>
          </w:p>
        </w:tc>
        <w:tc>
          <w:p>
            <w:pPr>
              <w:pStyle w:val="Compact"/>
              <w:jc w:val="right"/>
            </w:pPr>
            <w:r>
              <w:t xml:space="preserve">48.8</w:t>
            </w:r>
          </w:p>
        </w:tc>
        <w:tc>
          <w:p>
            <w:pPr>
              <w:pStyle w:val="Compact"/>
              <w:jc w:val="right"/>
            </w:pPr>
            <w:r>
              <w:t xml:space="preserve">42.9</w:t>
            </w:r>
          </w:p>
        </w:tc>
        <w:tc>
          <w:p>
            <w:pPr>
              <w:pStyle w:val="Compact"/>
              <w:jc w:val="right"/>
            </w:pPr>
            <w:r>
              <w:t xml:space="preserve">0.0001</w:t>
            </w:r>
          </w:p>
        </w:tc>
      </w:tr>
      <w:tr>
        <w:tc>
          <w:p>
            <w:pPr>
              <w:pStyle w:val="Compact"/>
              <w:jc w:val="right"/>
            </w:pPr>
            <w:r>
              <w:t xml:space="preserve">insects</w:t>
            </w:r>
          </w:p>
        </w:tc>
        <w:tc>
          <w:p>
            <w:pPr>
              <w:pStyle w:val="Compact"/>
              <w:jc w:val="right"/>
            </w:pPr>
            <w:r>
              <w:t xml:space="preserve">8</w:t>
            </w:r>
          </w:p>
        </w:tc>
        <w:tc>
          <w:p>
            <w:pPr>
              <w:pStyle w:val="Compact"/>
              <w:jc w:val="right"/>
            </w:pPr>
            <w:r>
              <w:t xml:space="preserve">19.0</w:t>
            </w:r>
          </w:p>
        </w:tc>
        <w:tc>
          <w:p>
            <w:pPr>
              <w:pStyle w:val="Compact"/>
              <w:jc w:val="right"/>
            </w:pPr>
            <w:r>
              <w:t xml:space="preserve">48.1</w:t>
            </w:r>
          </w:p>
        </w:tc>
        <w:tc>
          <w:p>
            <w:pPr>
              <w:pStyle w:val="Compact"/>
              <w:jc w:val="right"/>
            </w:pPr>
            <w:r>
              <w:t xml:space="preserve">0</w:t>
            </w:r>
          </w:p>
        </w:tc>
        <w:tc>
          <w:p>
            <w:pPr>
              <w:pStyle w:val="Compact"/>
              <w:jc w:val="right"/>
            </w:pPr>
            <w:r>
              <w:t xml:space="preserve">0</w:t>
            </w:r>
          </w:p>
        </w:tc>
        <w:tc>
          <w:p>
            <w:pPr>
              <w:pStyle w:val="Compact"/>
              <w:jc w:val="right"/>
            </w:pPr>
            <w:r>
              <w:t xml:space="preserve">46.5</w:t>
            </w:r>
          </w:p>
        </w:tc>
        <w:tc>
          <w:p>
            <w:pPr>
              <w:pStyle w:val="Compact"/>
              <w:jc w:val="right"/>
            </w:pPr>
            <w:r>
              <w:t xml:space="preserve">62.5</w:t>
            </w:r>
          </w:p>
        </w:tc>
        <w:tc>
          <w:p>
            <w:pPr>
              <w:pStyle w:val="Compact"/>
              <w:jc w:val="right"/>
            </w:pPr>
            <w:r>
              <w:t xml:space="preserve">0.0001</w:t>
            </w:r>
          </w:p>
        </w:tc>
      </w:tr>
      <w:tr>
        <w:tc>
          <w:p>
            <w:pPr>
              <w:pStyle w:val="Compact"/>
              <w:jc w:val="right"/>
            </w:pPr>
            <w:r>
              <w:t xml:space="preserve">other</w:t>
            </w:r>
          </w:p>
        </w:tc>
        <w:tc>
          <w:p>
            <w:pPr>
              <w:pStyle w:val="Compact"/>
              <w:jc w:val="right"/>
            </w:pPr>
            <w:r>
              <w:t xml:space="preserve">2</w:t>
            </w:r>
          </w:p>
        </w:tc>
        <w:tc>
          <w:p>
            <w:pPr>
              <w:pStyle w:val="Compact"/>
              <w:jc w:val="right"/>
            </w:pPr>
            <w:r>
              <w:t xml:space="preserve">4.8</w:t>
            </w:r>
          </w:p>
        </w:tc>
        <w:tc>
          <w:p>
            <w:pPr>
              <w:pStyle w:val="Compact"/>
              <w:jc w:val="right"/>
            </w:pPr>
            <w:r>
              <w:t xml:space="preserve">3.0</w:t>
            </w:r>
          </w:p>
        </w:tc>
        <w:tc>
          <w:p>
            <w:pPr>
              <w:pStyle w:val="Compact"/>
              <w:jc w:val="right"/>
            </w:pPr>
            <w:r>
              <w:t xml:space="preserve">0</w:t>
            </w:r>
          </w:p>
        </w:tc>
        <w:tc>
          <w:p>
            <w:pPr>
              <w:pStyle w:val="Compact"/>
              <w:jc w:val="right"/>
            </w:pPr>
            <w:r>
              <w:t xml:space="preserve">1</w:t>
            </w:r>
          </w:p>
        </w:tc>
        <w:tc>
          <w:p>
            <w:pPr>
              <w:pStyle w:val="Compact"/>
              <w:jc w:val="right"/>
            </w:pPr>
            <w:r>
              <w:t xml:space="preserve">38.0</w:t>
            </w:r>
          </w:p>
        </w:tc>
        <w:tc>
          <w:p>
            <w:pPr>
              <w:pStyle w:val="Compact"/>
              <w:jc w:val="right"/>
            </w:pPr>
            <w:r>
              <w:t xml:space="preserve">0.0</w:t>
            </w:r>
          </w:p>
        </w:tc>
        <w:tc>
          <w:p>
            <w:pPr>
              <w:pStyle w:val="Compact"/>
              <w:jc w:val="right"/>
            </w:pPr>
            <w:r>
              <w:t xml:space="preserve">0.3610</w:t>
            </w:r>
          </w:p>
        </w:tc>
      </w:tr>
      <w:tr>
        <w:tc>
          <w:p>
            <w:pPr>
              <w:pStyle w:val="Compact"/>
              <w:jc w:val="right"/>
            </w:pPr>
            <w:r>
              <w:t xml:space="preserve">unkown</w:t>
            </w:r>
          </w:p>
        </w:tc>
        <w:tc>
          <w:p>
            <w:pPr>
              <w:pStyle w:val="Compact"/>
              <w:jc w:val="right"/>
            </w:pPr>
            <w:r>
              <w:t xml:space="preserve">2</w:t>
            </w:r>
          </w:p>
        </w:tc>
        <w:tc>
          <w:p>
            <w:pPr>
              <w:pStyle w:val="Compact"/>
              <w:jc w:val="right"/>
            </w:pPr>
            <w:r>
              <w:t xml:space="preserve">4.8</w:t>
            </w:r>
          </w:p>
        </w:tc>
        <w:tc>
          <w:p>
            <w:pPr>
              <w:pStyle w:val="Compact"/>
              <w:jc w:val="right"/>
            </w:pPr>
            <w:r>
              <w:t xml:space="preserve">5.1</w:t>
            </w:r>
          </w:p>
        </w:tc>
        <w:tc>
          <w:p>
            <w:pPr>
              <w:pStyle w:val="Compact"/>
              <w:jc w:val="right"/>
            </w:pPr>
            <w:r>
              <w:t xml:space="preserve">0</w:t>
            </w:r>
          </w:p>
        </w:tc>
        <w:tc>
          <w:p>
            <w:pPr>
              <w:pStyle w:val="Compact"/>
              <w:jc w:val="right"/>
            </w:pPr>
            <w:r>
              <w:t xml:space="preserve">0</w:t>
            </w:r>
          </w:p>
        </w:tc>
        <w:tc>
          <w:p>
            <w:pPr>
              <w:pStyle w:val="Compact"/>
              <w:jc w:val="right"/>
            </w:pPr>
            <w:r>
              <w:t xml:space="preserve">55.5</w:t>
            </w:r>
          </w:p>
        </w:tc>
        <w:tc>
          <w:p>
            <w:pPr>
              <w:pStyle w:val="Compact"/>
              <w:jc w:val="right"/>
            </w:pPr>
            <w:r>
              <w:t xml:space="preserve">50.0</w:t>
            </w:r>
          </w:p>
        </w:tc>
        <w:tc>
          <w:p>
            <w:pPr>
              <w:pStyle w:val="Compact"/>
              <w:jc w:val="right"/>
            </w:pPr>
            <w:r>
              <w:t xml:space="preserve">0.0001</w:t>
            </w:r>
          </w:p>
        </w:tc>
      </w:tr>
    </w:tbl>
    <w:p>
      <w:pPr>
        <w:pStyle w:val="Heading5"/>
      </w:pPr>
      <w:bookmarkStart w:id="68" w:name="section-3"/>
      <w:bookmarkEnd w:id="68"/>
    </w:p>
    <w:p>
      <w:pPr>
        <w:pStyle w:val="TableCaption"/>
      </w:pPr>
      <w:r>
        <w:t xml:space="preserve">Table 3: Comparison of the specific elicitors from each elicitor-group betwen the refractory anaphylaxis cases and severe anaphylaxis cases as a control. ANA - anaphylaxis, p-value derived from the Fisher’s exact test.</w:t>
      </w:r>
    </w:p>
    <w:tbl>
      <w:tblPr>
        <w:tblStyle w:val="TableNormal"/>
        <w:tblW w:type="pct" w:w="0.0"/>
        <w:tblLook w:firstRow="1"/>
        <w:tblCaption w:val="Table 3: Comparison of the specific elicitors from each elicitor-group betwen the refractory anaphylaxis cases and severe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Antibiotics</w:t>
            </w:r>
          </w:p>
        </w:tc>
        <w:tc>
          <w:p>
            <w:pPr>
              <w:pStyle w:val="Compact"/>
              <w:jc w:val="right"/>
            </w:pPr>
            <w:r>
              <w:t xml:space="preserve">6.140</w:t>
            </w:r>
          </w:p>
        </w:tc>
        <w:tc>
          <w:p>
            <w:pPr>
              <w:pStyle w:val="Compact"/>
              <w:jc w:val="right"/>
            </w:pPr>
            <w:r>
              <w:t xml:space="preserve">19.00</w:t>
            </w:r>
          </w:p>
        </w:tc>
        <w:tc>
          <w:p>
            <w:pPr>
              <w:pStyle w:val="Compact"/>
              <w:jc w:val="right"/>
            </w:pPr>
            <w:r>
              <w:t xml:space="preserve">0.0040</w:t>
            </w:r>
          </w:p>
        </w:tc>
      </w:tr>
      <w:tr>
        <w:tc>
          <w:p>
            <w:pPr>
              <w:pStyle w:val="Compact"/>
              <w:jc w:val="left"/>
            </w:pPr>
            <w:r>
              <w:t xml:space="preserve">X-ray medium</w:t>
            </w:r>
          </w:p>
        </w:tc>
        <w:tc>
          <w:p>
            <w:pPr>
              <w:pStyle w:val="Compact"/>
              <w:jc w:val="right"/>
            </w:pPr>
            <w:r>
              <w:t xml:space="preserve">0.954</w:t>
            </w:r>
          </w:p>
        </w:tc>
        <w:tc>
          <w:p>
            <w:pPr>
              <w:pStyle w:val="Compact"/>
              <w:jc w:val="right"/>
            </w:pPr>
            <w:r>
              <w:t xml:space="preserve">7.14</w:t>
            </w:r>
          </w:p>
        </w:tc>
        <w:tc>
          <w:p>
            <w:pPr>
              <w:pStyle w:val="Compact"/>
              <w:jc w:val="right"/>
            </w:pPr>
            <w:r>
              <w:t xml:space="preserve">0.0080</w:t>
            </w:r>
          </w:p>
        </w:tc>
      </w:tr>
      <w:tr>
        <w:tc>
          <w:p>
            <w:pPr>
              <w:pStyle w:val="Compact"/>
              <w:jc w:val="left"/>
            </w:pPr>
            <w:r>
              <w:t xml:space="preserve">Muscle relaxant</w:t>
            </w:r>
          </w:p>
        </w:tc>
        <w:tc>
          <w:p>
            <w:pPr>
              <w:pStyle w:val="Compact"/>
              <w:jc w:val="right"/>
            </w:pPr>
            <w:r>
              <w:t xml:space="preserve">0.456</w:t>
            </w:r>
          </w:p>
        </w:tc>
        <w:tc>
          <w:p>
            <w:pPr>
              <w:pStyle w:val="Compact"/>
              <w:jc w:val="right"/>
            </w:pPr>
            <w:r>
              <w:t xml:space="preserve">4.76</w:t>
            </w:r>
          </w:p>
        </w:tc>
        <w:tc>
          <w:p>
            <w:pPr>
              <w:pStyle w:val="Compact"/>
              <w:jc w:val="right"/>
            </w:pPr>
            <w:r>
              <w:t xml:space="preserve">0.0180</w:t>
            </w:r>
          </w:p>
        </w:tc>
      </w:tr>
      <w:tr>
        <w:tc>
          <w:p>
            <w:pPr>
              <w:pStyle w:val="Compact"/>
              <w:jc w:val="left"/>
            </w:pPr>
            <w:r>
              <w:t xml:space="preserve">Legumes</w:t>
            </w:r>
          </w:p>
        </w:tc>
        <w:tc>
          <w:p>
            <w:pPr>
              <w:pStyle w:val="Compact"/>
              <w:jc w:val="right"/>
            </w:pPr>
            <w:r>
              <w:t xml:space="preserve">4.020</w:t>
            </w:r>
          </w:p>
        </w:tc>
        <w:tc>
          <w:p>
            <w:pPr>
              <w:pStyle w:val="Compact"/>
              <w:jc w:val="right"/>
            </w:pPr>
            <w:r>
              <w:t xml:space="preserve">7.14</w:t>
            </w:r>
          </w:p>
        </w:tc>
        <w:tc>
          <w:p>
            <w:pPr>
              <w:pStyle w:val="Compact"/>
              <w:jc w:val="right"/>
            </w:pPr>
            <w:r>
              <w:t xml:space="preserve">0.2410</w:t>
            </w:r>
          </w:p>
        </w:tc>
      </w:tr>
      <w:tr>
        <w:tc>
          <w:p>
            <w:pPr>
              <w:pStyle w:val="Compact"/>
              <w:jc w:val="left"/>
            </w:pPr>
            <w:r>
              <w:t xml:space="preserve">Bee venom</w:t>
            </w:r>
          </w:p>
        </w:tc>
        <w:tc>
          <w:p>
            <w:pPr>
              <w:pStyle w:val="Compact"/>
              <w:jc w:val="right"/>
            </w:pPr>
            <w:r>
              <w:t xml:space="preserve">9.320</w:t>
            </w:r>
          </w:p>
        </w:tc>
        <w:tc>
          <w:p>
            <w:pPr>
              <w:pStyle w:val="Compact"/>
              <w:jc w:val="right"/>
            </w:pPr>
            <w:r>
              <w:t xml:space="preserve">11.90</w:t>
            </w:r>
          </w:p>
        </w:tc>
        <w:tc>
          <w:p>
            <w:pPr>
              <w:pStyle w:val="Compact"/>
              <w:jc w:val="right"/>
            </w:pPr>
            <w:r>
              <w:t xml:space="preserve">0.5890</w:t>
            </w:r>
          </w:p>
        </w:tc>
      </w:tr>
      <w:tr>
        <w:tc>
          <w:p>
            <w:pPr>
              <w:pStyle w:val="Compact"/>
              <w:jc w:val="left"/>
            </w:pPr>
            <w:r>
              <w:t xml:space="preserve">Yellow-jacket venom</w:t>
            </w:r>
          </w:p>
        </w:tc>
        <w:tc>
          <w:p>
            <w:pPr>
              <w:pStyle w:val="Compact"/>
              <w:jc w:val="right"/>
            </w:pPr>
            <w:r>
              <w:t xml:space="preserve">33.300</w:t>
            </w:r>
          </w:p>
        </w:tc>
        <w:tc>
          <w:p>
            <w:pPr>
              <w:pStyle w:val="Compact"/>
              <w:jc w:val="right"/>
            </w:pPr>
            <w:r>
              <w:t xml:space="preserve">4.76</w:t>
            </w:r>
          </w:p>
        </w:tc>
        <w:tc>
          <w:p>
            <w:pPr>
              <w:pStyle w:val="Compact"/>
              <w:jc w:val="right"/>
            </w:pPr>
            <w:r>
              <w:t xml:space="preserve">0.0001</w:t>
            </w:r>
          </w:p>
        </w:tc>
      </w:tr>
    </w:tbl>
    <w:p>
      <w:pPr>
        <w:pStyle w:val="Heading5"/>
      </w:pPr>
      <w:bookmarkStart w:id="69" w:name="section-4"/>
      <w:bookmarkEnd w:id="69"/>
    </w:p>
    <w:p>
      <w:pPr>
        <w:pStyle w:val="TableCaption"/>
      </w:pPr>
      <w:r>
        <w:t xml:space="preserve">Table 4: Summary of the symptoms in the refractory anaphylaxis cases and severe, non-refractory anaphylaxis cases as a control. ANA - anaphylaxis, p-value derived from the Fisher’s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Pruritus</w:t>
            </w:r>
          </w:p>
        </w:tc>
        <w:tc>
          <w:p>
            <w:pPr>
              <w:pStyle w:val="Compact"/>
              <w:jc w:val="right"/>
            </w:pPr>
            <w:r>
              <w:t xml:space="preserve">45.40</w:t>
            </w:r>
          </w:p>
        </w:tc>
        <w:tc>
          <w:p>
            <w:pPr>
              <w:pStyle w:val="Compact"/>
              <w:jc w:val="right"/>
            </w:pPr>
            <w:r>
              <w:t xml:space="preserve">23.80</w:t>
            </w:r>
          </w:p>
        </w:tc>
        <w:tc>
          <w:p>
            <w:pPr>
              <w:pStyle w:val="Compact"/>
              <w:jc w:val="right"/>
            </w:pPr>
            <w:r>
              <w:t xml:space="preserve">0.0050</w:t>
            </w:r>
          </w:p>
        </w:tc>
      </w:tr>
      <w:tr>
        <w:tc>
          <w:p>
            <w:pPr>
              <w:pStyle w:val="Compact"/>
              <w:jc w:val="left"/>
            </w:pPr>
            <w:r>
              <w:t xml:space="preserve">Skin symptoms</w:t>
            </w:r>
          </w:p>
        </w:tc>
        <w:tc>
          <w:p>
            <w:pPr>
              <w:pStyle w:val="Compact"/>
              <w:jc w:val="right"/>
            </w:pPr>
            <w:r>
              <w:t xml:space="preserve">44.80</w:t>
            </w:r>
          </w:p>
        </w:tc>
        <w:tc>
          <w:p>
            <w:pPr>
              <w:pStyle w:val="Compact"/>
              <w:jc w:val="right"/>
            </w:pPr>
            <w:r>
              <w:t xml:space="preserve">26.20</w:t>
            </w:r>
          </w:p>
        </w:tc>
        <w:tc>
          <w:p>
            <w:pPr>
              <w:pStyle w:val="Compact"/>
              <w:jc w:val="right"/>
            </w:pPr>
            <w:r>
              <w:t xml:space="preserve">0.0190</w:t>
            </w:r>
          </w:p>
        </w:tc>
      </w:tr>
      <w:tr>
        <w:tc>
          <w:p>
            <w:pPr>
              <w:pStyle w:val="Compact"/>
              <w:jc w:val="left"/>
            </w:pPr>
            <w:r>
              <w:t xml:space="preserve">Respiratory symptoms</w:t>
            </w:r>
          </w:p>
        </w:tc>
        <w:tc>
          <w:p>
            <w:pPr>
              <w:pStyle w:val="Compact"/>
              <w:jc w:val="right"/>
            </w:pPr>
            <w:r>
              <w:t xml:space="preserve">62.10</w:t>
            </w:r>
          </w:p>
        </w:tc>
        <w:tc>
          <w:p>
            <w:pPr>
              <w:pStyle w:val="Compact"/>
              <w:jc w:val="right"/>
            </w:pPr>
            <w:r>
              <w:t xml:space="preserve">81.00</w:t>
            </w:r>
          </w:p>
        </w:tc>
        <w:tc>
          <w:p>
            <w:pPr>
              <w:pStyle w:val="Compact"/>
              <w:jc w:val="right"/>
            </w:pPr>
            <w:r>
              <w:t xml:space="preserve">0.0150</w:t>
            </w:r>
          </w:p>
        </w:tc>
      </w:tr>
      <w:tr>
        <w:tc>
          <w:p>
            <w:pPr>
              <w:pStyle w:val="Compact"/>
              <w:jc w:val="left"/>
            </w:pPr>
            <w:r>
              <w:t xml:space="preserve">Respiratory arrest</w:t>
            </w:r>
          </w:p>
        </w:tc>
        <w:tc>
          <w:p>
            <w:pPr>
              <w:pStyle w:val="Compact"/>
              <w:jc w:val="right"/>
            </w:pPr>
            <w:r>
              <w:t xml:space="preserve">3.03</w:t>
            </w:r>
          </w:p>
        </w:tc>
        <w:tc>
          <w:p>
            <w:pPr>
              <w:pStyle w:val="Compact"/>
              <w:jc w:val="right"/>
            </w:pPr>
            <w:r>
              <w:t xml:space="preserve">28.60</w:t>
            </w:r>
          </w:p>
        </w:tc>
        <w:tc>
          <w:p>
            <w:pPr>
              <w:pStyle w:val="Compact"/>
              <w:jc w:val="right"/>
            </w:pPr>
            <w:r>
              <w:t xml:space="preserve">0.0001</w:t>
            </w:r>
          </w:p>
        </w:tc>
      </w:tr>
      <w:tr>
        <w:tc>
          <w:p>
            <w:pPr>
              <w:pStyle w:val="Compact"/>
              <w:jc w:val="left"/>
            </w:pPr>
            <w:r>
              <w:t xml:space="preserve">Chest tightness</w:t>
            </w:r>
          </w:p>
        </w:tc>
        <w:tc>
          <w:p>
            <w:pPr>
              <w:pStyle w:val="Compact"/>
              <w:jc w:val="right"/>
            </w:pPr>
            <w:r>
              <w:t xml:space="preserve">8.90</w:t>
            </w:r>
          </w:p>
        </w:tc>
        <w:tc>
          <w:p>
            <w:pPr>
              <w:pStyle w:val="Compact"/>
              <w:jc w:val="right"/>
            </w:pPr>
            <w:r>
              <w:t xml:space="preserve">2.38</w:t>
            </w:r>
          </w:p>
        </w:tc>
        <w:tc>
          <w:p>
            <w:pPr>
              <w:pStyle w:val="Compact"/>
              <w:jc w:val="right"/>
            </w:pPr>
            <w:r>
              <w:t xml:space="preserve">0.1760</w:t>
            </w:r>
          </w:p>
        </w:tc>
      </w:tr>
      <w:tr>
        <w:tc>
          <w:p>
            <w:pPr>
              <w:pStyle w:val="Compact"/>
              <w:jc w:val="left"/>
            </w:pPr>
            <w:r>
              <w:t xml:space="preserve">Throat tightness</w:t>
            </w:r>
          </w:p>
        </w:tc>
        <w:tc>
          <w:p>
            <w:pPr>
              <w:pStyle w:val="Compact"/>
              <w:jc w:val="right"/>
            </w:pPr>
            <w:r>
              <w:t xml:space="preserve">14.60</w:t>
            </w:r>
          </w:p>
        </w:tc>
        <w:tc>
          <w:p>
            <w:pPr>
              <w:pStyle w:val="Compact"/>
              <w:jc w:val="right"/>
            </w:pPr>
            <w:r>
              <w:t xml:space="preserve">7.14</w:t>
            </w:r>
          </w:p>
        </w:tc>
        <w:tc>
          <w:p>
            <w:pPr>
              <w:pStyle w:val="Compact"/>
              <w:jc w:val="right"/>
            </w:pPr>
            <w:r>
              <w:t xml:space="preserve">0.2680</w:t>
            </w:r>
          </w:p>
        </w:tc>
      </w:tr>
      <w:tr>
        <w:tc>
          <w:p>
            <w:pPr>
              <w:pStyle w:val="Compact"/>
              <w:jc w:val="left"/>
            </w:pPr>
            <w:r>
              <w:t xml:space="preserve">Expiratory distress</w:t>
            </w:r>
          </w:p>
        </w:tc>
        <w:tc>
          <w:p>
            <w:pPr>
              <w:pStyle w:val="Compact"/>
              <w:jc w:val="right"/>
            </w:pPr>
            <w:r>
              <w:t xml:space="preserve">5.08</w:t>
            </w:r>
          </w:p>
        </w:tc>
        <w:tc>
          <w:p>
            <w:pPr>
              <w:pStyle w:val="Compact"/>
              <w:jc w:val="right"/>
            </w:pPr>
            <w:r>
              <w:t xml:space="preserve">26.20</w:t>
            </w:r>
          </w:p>
        </w:tc>
        <w:tc>
          <w:p>
            <w:pPr>
              <w:pStyle w:val="Compact"/>
              <w:jc w:val="right"/>
            </w:pPr>
            <w:r>
              <w:t xml:space="preserve">0.0001</w:t>
            </w:r>
          </w:p>
        </w:tc>
      </w:tr>
      <w:tr>
        <w:tc>
          <w:p>
            <w:pPr>
              <w:pStyle w:val="Compact"/>
              <w:jc w:val="left"/>
            </w:pPr>
            <w:r>
              <w:t xml:space="preserve">Inspiratory stridor</w:t>
            </w:r>
          </w:p>
        </w:tc>
        <w:tc>
          <w:p>
            <w:pPr>
              <w:pStyle w:val="Compact"/>
              <w:jc w:val="right"/>
            </w:pPr>
            <w:r>
              <w:t xml:space="preserve">5.31</w:t>
            </w:r>
          </w:p>
        </w:tc>
        <w:tc>
          <w:p>
            <w:pPr>
              <w:pStyle w:val="Compact"/>
              <w:jc w:val="right"/>
            </w:pPr>
            <w:r>
              <w:t xml:space="preserve">19.00</w:t>
            </w:r>
          </w:p>
        </w:tc>
        <w:tc>
          <w:p>
            <w:pPr>
              <w:pStyle w:val="Compact"/>
              <w:jc w:val="right"/>
            </w:pPr>
            <w:r>
              <w:t xml:space="preserve">0.0020</w:t>
            </w:r>
          </w:p>
        </w:tc>
      </w:tr>
      <w:tr>
        <w:tc>
          <w:p>
            <w:pPr>
              <w:pStyle w:val="Compact"/>
              <w:jc w:val="left"/>
            </w:pPr>
            <w:r>
              <w:t xml:space="preserve">Loss of consciousness</w:t>
            </w:r>
          </w:p>
        </w:tc>
        <w:tc>
          <w:p>
            <w:pPr>
              <w:pStyle w:val="Compact"/>
              <w:jc w:val="right"/>
            </w:pPr>
            <w:r>
              <w:t xml:space="preserve">31.90</w:t>
            </w:r>
          </w:p>
        </w:tc>
        <w:tc>
          <w:p>
            <w:pPr>
              <w:pStyle w:val="Compact"/>
              <w:jc w:val="right"/>
            </w:pPr>
            <w:r>
              <w:t xml:space="preserve">40.50</w:t>
            </w:r>
          </w:p>
        </w:tc>
        <w:tc>
          <w:p>
            <w:pPr>
              <w:pStyle w:val="Compact"/>
              <w:jc w:val="right"/>
            </w:pPr>
            <w:r>
              <w:t xml:space="preserve">0.2470</w:t>
            </w:r>
          </w:p>
        </w:tc>
      </w:tr>
      <w:tr>
        <w:tc>
          <w:p>
            <w:pPr>
              <w:pStyle w:val="Compact"/>
              <w:jc w:val="left"/>
            </w:pPr>
            <w:r>
              <w:t xml:space="preserve">Cardiac arrhythmia</w:t>
            </w:r>
          </w:p>
        </w:tc>
        <w:tc>
          <w:p>
            <w:pPr>
              <w:pStyle w:val="Compact"/>
              <w:jc w:val="right"/>
            </w:pPr>
            <w:r>
              <w:t xml:space="preserve">3.30</w:t>
            </w:r>
          </w:p>
        </w:tc>
        <w:tc>
          <w:p>
            <w:pPr>
              <w:pStyle w:val="Compact"/>
              <w:jc w:val="right"/>
            </w:pPr>
            <w:r>
              <w:t xml:space="preserve">11.90</w:t>
            </w:r>
          </w:p>
        </w:tc>
        <w:tc>
          <w:p>
            <w:pPr>
              <w:pStyle w:val="Compact"/>
              <w:jc w:val="right"/>
            </w:pPr>
            <w:r>
              <w:t xml:space="preserve">0.0130</w:t>
            </w:r>
          </w:p>
        </w:tc>
      </w:tr>
      <w:tr>
        <w:tc>
          <w:p>
            <w:pPr>
              <w:pStyle w:val="Compact"/>
              <w:jc w:val="left"/>
            </w:pPr>
            <w:r>
              <w:t xml:space="preserve">Cardiac arrest</w:t>
            </w:r>
          </w:p>
        </w:tc>
        <w:tc>
          <w:p>
            <w:pPr>
              <w:pStyle w:val="Compact"/>
              <w:jc w:val="right"/>
            </w:pPr>
            <w:r>
              <w:t xml:space="preserve">3.07</w:t>
            </w:r>
          </w:p>
        </w:tc>
        <w:tc>
          <w:p>
            <w:pPr>
              <w:pStyle w:val="Compact"/>
              <w:jc w:val="right"/>
            </w:pPr>
            <w:r>
              <w:t xml:space="preserve">42.90</w:t>
            </w:r>
          </w:p>
        </w:tc>
        <w:tc>
          <w:p>
            <w:pPr>
              <w:pStyle w:val="Compact"/>
              <w:jc w:val="right"/>
            </w:pPr>
            <w:r>
              <w:t xml:space="preserve">0.0001</w:t>
            </w:r>
          </w:p>
        </w:tc>
      </w:tr>
      <w:tr>
        <w:tc>
          <w:p>
            <w:pPr>
              <w:pStyle w:val="Compact"/>
              <w:jc w:val="left"/>
            </w:pPr>
            <w:r>
              <w:t xml:space="preserve">Vertigo</w:t>
            </w:r>
          </w:p>
        </w:tc>
        <w:tc>
          <w:p>
            <w:pPr>
              <w:pStyle w:val="Compact"/>
              <w:jc w:val="right"/>
            </w:pPr>
            <w:r>
              <w:t xml:space="preserve">38.70</w:t>
            </w:r>
          </w:p>
        </w:tc>
        <w:tc>
          <w:p>
            <w:pPr>
              <w:pStyle w:val="Compact"/>
              <w:jc w:val="right"/>
            </w:pPr>
            <w:r>
              <w:t xml:space="preserve">14.30</w:t>
            </w:r>
          </w:p>
        </w:tc>
        <w:tc>
          <w:p>
            <w:pPr>
              <w:pStyle w:val="Compact"/>
              <w:jc w:val="right"/>
            </w:pPr>
            <w:r>
              <w:t xml:space="preserve">0.0001</w:t>
            </w:r>
          </w:p>
        </w:tc>
      </w:tr>
      <w:tr>
        <w:tc>
          <w:p>
            <w:pPr>
              <w:pStyle w:val="Compact"/>
              <w:jc w:val="left"/>
            </w:pPr>
            <w:r>
              <w:t xml:space="preserve">Death</w:t>
            </w:r>
          </w:p>
        </w:tc>
        <w:tc>
          <w:p>
            <w:pPr>
              <w:pStyle w:val="Compact"/>
              <w:jc w:val="right"/>
            </w:pPr>
            <w:r>
              <w:t xml:space="preserve">0.35</w:t>
            </w:r>
          </w:p>
        </w:tc>
        <w:tc>
          <w:p>
            <w:pPr>
              <w:pStyle w:val="Compact"/>
              <w:jc w:val="right"/>
            </w:pPr>
            <w:r>
              <w:t xml:space="preserve">26.20</w:t>
            </w:r>
          </w:p>
        </w:tc>
        <w:tc>
          <w:p>
            <w:pPr>
              <w:pStyle w:val="Compact"/>
              <w:jc w:val="right"/>
            </w:pPr>
            <w:r>
              <w:t xml:space="preserve">0.0001</w:t>
            </w:r>
          </w:p>
        </w:tc>
      </w:tr>
    </w:tbl>
    <w:p>
      <w:pPr>
        <w:pStyle w:val="Heading5"/>
      </w:pPr>
      <w:bookmarkStart w:id="70" w:name="section-5"/>
      <w:bookmarkEnd w:id="70"/>
    </w:p>
    <w:p>
      <w:pPr>
        <w:pStyle w:val="TableCaption"/>
      </w:pPr>
      <w:r>
        <w:t xml:space="preserve">Table 5: Summary of therapeutic measures in the refractory anaphylaxis cases and severe, non-refractory anaphylaxis cases as a control.</w:t>
      </w:r>
      <w:r>
        <w:t xml:space="preserve"> </w:t>
      </w:r>
      <w:r>
        <w:t xml:space="preserve">‘</w:t>
      </w:r>
      <w:r>
        <w:t xml:space="preserve">2nd line</w:t>
      </w:r>
      <w:r>
        <w:t xml:space="preserve">’</w:t>
      </w:r>
      <w:r>
        <w:t xml:space="preserve"> </w:t>
      </w:r>
      <w:r>
        <w:t xml:space="preserve">refers to the therapy performed by the professional medical emergency team after the initial rescue procedures. ANA - anaphylaxis, p-value derived from the Fisher’s exact test.</w:t>
      </w:r>
    </w:p>
    <w:tbl>
      <w:tblPr>
        <w:tblStyle w:val="TableNormal"/>
        <w:tblW w:type="pct" w:w="0.0"/>
        <w:tblLook w:firstRow="1"/>
        <w:tblCaption w:val="Table 5: Summary of therapeutic measures in the refractory anaphylaxis cases and severe, non-refractory anaphylaxis cases as a control. 2nd line refers to the therapy performed by the professional medical emergency team after the initial rescue procedures. ANA - anaphylaxis, p-value derived from the Fisher’s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adrenaline i.m.</w:t>
            </w:r>
          </w:p>
        </w:tc>
        <w:tc>
          <w:p>
            <w:pPr>
              <w:pStyle w:val="Compact"/>
              <w:jc w:val="right"/>
            </w:pPr>
            <w:r>
              <w:t xml:space="preserve">8.38</w:t>
            </w:r>
          </w:p>
        </w:tc>
        <w:tc>
          <w:p>
            <w:pPr>
              <w:pStyle w:val="Compact"/>
              <w:jc w:val="right"/>
            </w:pPr>
            <w:r>
              <w:t xml:space="preserve">16.70</w:t>
            </w:r>
          </w:p>
        </w:tc>
        <w:tc>
          <w:p>
            <w:pPr>
              <w:pStyle w:val="Compact"/>
              <w:jc w:val="right"/>
            </w:pPr>
            <w:r>
              <w:t xml:space="preserve">0.0840</w:t>
            </w:r>
          </w:p>
        </w:tc>
      </w:tr>
      <w:tr>
        <w:tc>
          <w:p>
            <w:pPr>
              <w:pStyle w:val="Compact"/>
              <w:jc w:val="left"/>
            </w:pPr>
            <w:r>
              <w:t xml:space="preserve">adrenaline i.v.</w:t>
            </w:r>
          </w:p>
        </w:tc>
        <w:tc>
          <w:p>
            <w:pPr>
              <w:pStyle w:val="Compact"/>
              <w:jc w:val="right"/>
            </w:pPr>
            <w:r>
              <w:t xml:space="preserve">12.30</w:t>
            </w:r>
          </w:p>
        </w:tc>
        <w:tc>
          <w:p>
            <w:pPr>
              <w:pStyle w:val="Compact"/>
              <w:jc w:val="right"/>
            </w:pPr>
            <w:r>
              <w:t xml:space="preserve">83.30</w:t>
            </w:r>
          </w:p>
        </w:tc>
        <w:tc>
          <w:p>
            <w:pPr>
              <w:pStyle w:val="Compact"/>
              <w:jc w:val="right"/>
            </w:pPr>
            <w:r>
              <w:t xml:space="preserve">0.0001</w:t>
            </w:r>
          </w:p>
        </w:tc>
      </w:tr>
      <w:tr>
        <w:tc>
          <w:p>
            <w:pPr>
              <w:pStyle w:val="Compact"/>
              <w:jc w:val="left"/>
            </w:pPr>
            <w:r>
              <w:t xml:space="preserve">adrenaline i.v. 2nd line</w:t>
            </w:r>
          </w:p>
        </w:tc>
        <w:tc>
          <w:p>
            <w:pPr>
              <w:pStyle w:val="Compact"/>
              <w:jc w:val="right"/>
            </w:pPr>
            <w:r>
              <w:t xml:space="preserve">0.73</w:t>
            </w:r>
          </w:p>
        </w:tc>
        <w:tc>
          <w:p>
            <w:pPr>
              <w:pStyle w:val="Compact"/>
              <w:jc w:val="right"/>
            </w:pPr>
            <w:r>
              <w:t xml:space="preserve">40.50</w:t>
            </w:r>
          </w:p>
        </w:tc>
        <w:tc>
          <w:p>
            <w:pPr>
              <w:pStyle w:val="Compact"/>
              <w:jc w:val="right"/>
            </w:pPr>
            <w:r>
              <w:t xml:space="preserve">0.0001</w:t>
            </w:r>
          </w:p>
        </w:tc>
      </w:tr>
      <w:tr>
        <w:tc>
          <w:p>
            <w:pPr>
              <w:pStyle w:val="Compact"/>
              <w:jc w:val="left"/>
            </w:pPr>
            <w:r>
              <w:t xml:space="preserve">volume</w:t>
            </w:r>
          </w:p>
        </w:tc>
        <w:tc>
          <w:p>
            <w:pPr>
              <w:pStyle w:val="Compact"/>
              <w:jc w:val="right"/>
            </w:pPr>
            <w:r>
              <w:t xml:space="preserve">20.50</w:t>
            </w:r>
          </w:p>
        </w:tc>
        <w:tc>
          <w:p>
            <w:pPr>
              <w:pStyle w:val="Compact"/>
              <w:jc w:val="right"/>
            </w:pPr>
            <w:r>
              <w:t xml:space="preserve">61.90</w:t>
            </w:r>
          </w:p>
        </w:tc>
        <w:tc>
          <w:p>
            <w:pPr>
              <w:pStyle w:val="Compact"/>
              <w:jc w:val="right"/>
            </w:pPr>
            <w:r>
              <w:t xml:space="preserve">0.0001</w:t>
            </w:r>
          </w:p>
        </w:tc>
      </w:tr>
      <w:tr>
        <w:tc>
          <w:p>
            <w:pPr>
              <w:pStyle w:val="Compact"/>
              <w:jc w:val="left"/>
            </w:pPr>
            <w:r>
              <w:t xml:space="preserve">volume, 2nd line</w:t>
            </w:r>
          </w:p>
        </w:tc>
        <w:tc>
          <w:p>
            <w:pPr>
              <w:pStyle w:val="Compact"/>
              <w:jc w:val="right"/>
            </w:pPr>
            <w:r>
              <w:t xml:space="preserve">3.34</w:t>
            </w:r>
          </w:p>
        </w:tc>
        <w:tc>
          <w:p>
            <w:pPr>
              <w:pStyle w:val="Compact"/>
              <w:jc w:val="right"/>
            </w:pPr>
            <w:r>
              <w:t xml:space="preserve">19.00</w:t>
            </w:r>
          </w:p>
        </w:tc>
        <w:tc>
          <w:p>
            <w:pPr>
              <w:pStyle w:val="Compact"/>
              <w:jc w:val="right"/>
            </w:pPr>
            <w:r>
              <w:t xml:space="preserve">0.0001</w:t>
            </w:r>
          </w:p>
        </w:tc>
      </w:tr>
      <w:tr>
        <w:tc>
          <w:p>
            <w:pPr>
              <w:pStyle w:val="Compact"/>
              <w:jc w:val="left"/>
            </w:pPr>
            <w:r>
              <w:t xml:space="preserve">antihistaminics i.v.</w:t>
            </w:r>
          </w:p>
        </w:tc>
        <w:tc>
          <w:p>
            <w:pPr>
              <w:pStyle w:val="Compact"/>
              <w:jc w:val="right"/>
            </w:pPr>
            <w:r>
              <w:t xml:space="preserve">40.90</w:t>
            </w:r>
          </w:p>
        </w:tc>
        <w:tc>
          <w:p>
            <w:pPr>
              <w:pStyle w:val="Compact"/>
              <w:jc w:val="right"/>
            </w:pPr>
            <w:r>
              <w:t xml:space="preserve">64.30</w:t>
            </w:r>
          </w:p>
        </w:tc>
        <w:tc>
          <w:p>
            <w:pPr>
              <w:pStyle w:val="Compact"/>
              <w:jc w:val="right"/>
            </w:pPr>
            <w:r>
              <w:t xml:space="preserve">0.0030</w:t>
            </w:r>
          </w:p>
        </w:tc>
      </w:tr>
      <w:tr>
        <w:tc>
          <w:p>
            <w:pPr>
              <w:pStyle w:val="Compact"/>
              <w:jc w:val="left"/>
            </w:pPr>
            <w:r>
              <w:t xml:space="preserve">antihistaminics i.v. 2nd line</w:t>
            </w:r>
          </w:p>
        </w:tc>
        <w:tc>
          <w:p>
            <w:pPr>
              <w:pStyle w:val="Compact"/>
              <w:jc w:val="right"/>
            </w:pPr>
            <w:r>
              <w:t xml:space="preserve">3.84</w:t>
            </w:r>
          </w:p>
        </w:tc>
        <w:tc>
          <w:p>
            <w:pPr>
              <w:pStyle w:val="Compact"/>
              <w:jc w:val="right"/>
            </w:pPr>
            <w:r>
              <w:t xml:space="preserve">21.40</w:t>
            </w:r>
          </w:p>
        </w:tc>
        <w:tc>
          <w:p>
            <w:pPr>
              <w:pStyle w:val="Compact"/>
              <w:jc w:val="right"/>
            </w:pPr>
            <w:r>
              <w:t xml:space="preserve">0.0001</w:t>
            </w:r>
          </w:p>
        </w:tc>
      </w:tr>
      <w:tr>
        <w:tc>
          <w:p>
            <w:pPr>
              <w:pStyle w:val="Compact"/>
              <w:jc w:val="left"/>
            </w:pPr>
            <w:r>
              <w:t xml:space="preserve">corticosteroids, all routes</w:t>
            </w:r>
          </w:p>
        </w:tc>
        <w:tc>
          <w:p>
            <w:pPr>
              <w:pStyle w:val="Compact"/>
              <w:jc w:val="right"/>
            </w:pPr>
            <w:r>
              <w:t xml:space="preserve">5.52</w:t>
            </w:r>
          </w:p>
        </w:tc>
        <w:tc>
          <w:p>
            <w:pPr>
              <w:pStyle w:val="Compact"/>
              <w:jc w:val="right"/>
            </w:pPr>
            <w:r>
              <w:t xml:space="preserve">7.14</w:t>
            </w:r>
          </w:p>
        </w:tc>
        <w:tc>
          <w:p>
            <w:pPr>
              <w:pStyle w:val="Compact"/>
              <w:jc w:val="right"/>
            </w:pPr>
            <w:r>
              <w:t xml:space="preserve">0.5040</w:t>
            </w:r>
          </w:p>
        </w:tc>
      </w:tr>
      <w:tr>
        <w:tc>
          <w:p>
            <w:pPr>
              <w:pStyle w:val="Compact"/>
              <w:jc w:val="left"/>
            </w:pPr>
            <w:r>
              <w:t xml:space="preserve">corticosteroids i.v.</w:t>
            </w:r>
          </w:p>
        </w:tc>
        <w:tc>
          <w:p>
            <w:pPr>
              <w:pStyle w:val="Compact"/>
              <w:jc w:val="right"/>
            </w:pPr>
            <w:r>
              <w:t xml:space="preserve">48.80</w:t>
            </w:r>
          </w:p>
        </w:tc>
        <w:tc>
          <w:p>
            <w:pPr>
              <w:pStyle w:val="Compact"/>
              <w:jc w:val="right"/>
            </w:pPr>
            <w:r>
              <w:t xml:space="preserve">73.80</w:t>
            </w:r>
          </w:p>
        </w:tc>
        <w:tc>
          <w:p>
            <w:pPr>
              <w:pStyle w:val="Compact"/>
              <w:jc w:val="right"/>
            </w:pPr>
            <w:r>
              <w:t xml:space="preserve">0.0020</w:t>
            </w:r>
          </w:p>
        </w:tc>
      </w:tr>
      <w:tr>
        <w:tc>
          <w:p>
            <w:pPr>
              <w:pStyle w:val="Compact"/>
              <w:jc w:val="left"/>
            </w:pPr>
            <w:r>
              <w:t xml:space="preserve">corticosteroids i.v. 2nd line</w:t>
            </w:r>
          </w:p>
        </w:tc>
        <w:tc>
          <w:p>
            <w:pPr>
              <w:pStyle w:val="Compact"/>
              <w:jc w:val="right"/>
            </w:pPr>
            <w:r>
              <w:t xml:space="preserve">5.37</w:t>
            </w:r>
          </w:p>
        </w:tc>
        <w:tc>
          <w:p>
            <w:pPr>
              <w:pStyle w:val="Compact"/>
              <w:jc w:val="right"/>
            </w:pPr>
            <w:r>
              <w:t xml:space="preserve">28.60</w:t>
            </w:r>
          </w:p>
        </w:tc>
        <w:tc>
          <w:p>
            <w:pPr>
              <w:pStyle w:val="Compact"/>
              <w:jc w:val="right"/>
            </w:pPr>
            <w:r>
              <w:t xml:space="preserve">0.0001</w:t>
            </w:r>
          </w:p>
        </w:tc>
      </w:tr>
      <w:tr>
        <w:tc>
          <w:p>
            <w:pPr>
              <w:pStyle w:val="Compact"/>
              <w:jc w:val="left"/>
            </w:pPr>
            <w:r>
              <w:t xml:space="preserve">beta-2-mimetics i.v.</w:t>
            </w:r>
          </w:p>
        </w:tc>
        <w:tc>
          <w:p>
            <w:pPr>
              <w:pStyle w:val="Compact"/>
              <w:jc w:val="right"/>
            </w:pPr>
            <w:r>
              <w:t xml:space="preserve">0.66</w:t>
            </w:r>
          </w:p>
        </w:tc>
        <w:tc>
          <w:p>
            <w:pPr>
              <w:pStyle w:val="Compact"/>
              <w:jc w:val="right"/>
            </w:pPr>
            <w:r>
              <w:t xml:space="preserve">2.38</w:t>
            </w:r>
          </w:p>
        </w:tc>
        <w:tc>
          <w:p>
            <w:pPr>
              <w:pStyle w:val="Compact"/>
              <w:jc w:val="right"/>
            </w:pPr>
            <w:r>
              <w:t xml:space="preserve">0.2500</w:t>
            </w:r>
          </w:p>
        </w:tc>
      </w:tr>
      <w:tr>
        <w:tc>
          <w:p>
            <w:pPr>
              <w:pStyle w:val="Compact"/>
              <w:jc w:val="left"/>
            </w:pPr>
            <w:r>
              <w:t xml:space="preserve">beta-2-mimetics inh. 2nd line</w:t>
            </w:r>
          </w:p>
        </w:tc>
        <w:tc>
          <w:p>
            <w:pPr>
              <w:pStyle w:val="Compact"/>
              <w:jc w:val="right"/>
            </w:pPr>
            <w:r>
              <w:t xml:space="preserve">0.75</w:t>
            </w:r>
          </w:p>
        </w:tc>
        <w:tc>
          <w:p>
            <w:pPr>
              <w:pStyle w:val="Compact"/>
              <w:jc w:val="right"/>
            </w:pPr>
            <w:r>
              <w:t xml:space="preserve">7.14</w:t>
            </w:r>
          </w:p>
        </w:tc>
        <w:tc>
          <w:p>
            <w:pPr>
              <w:pStyle w:val="Compact"/>
              <w:jc w:val="right"/>
            </w:pPr>
            <w:r>
              <w:t xml:space="preserve">0.0040</w:t>
            </w:r>
          </w:p>
        </w:tc>
      </w:tr>
      <w:tr>
        <w:tc>
          <w:p>
            <w:pPr>
              <w:pStyle w:val="Compact"/>
              <w:jc w:val="left"/>
            </w:pPr>
            <w:r>
              <w:t xml:space="preserve">theophylline i.v.</w:t>
            </w:r>
          </w:p>
        </w:tc>
        <w:tc>
          <w:p>
            <w:pPr>
              <w:pStyle w:val="Compact"/>
              <w:jc w:val="right"/>
            </w:pPr>
            <w:r>
              <w:t xml:space="preserve">0.42</w:t>
            </w:r>
          </w:p>
        </w:tc>
        <w:tc>
          <w:p>
            <w:pPr>
              <w:pStyle w:val="Compact"/>
              <w:jc w:val="right"/>
            </w:pPr>
            <w:r>
              <w:t xml:space="preserve">0.00</w:t>
            </w:r>
          </w:p>
        </w:tc>
        <w:tc>
          <w:p>
            <w:pPr>
              <w:pStyle w:val="Compact"/>
              <w:jc w:val="right"/>
            </w:pPr>
            <w:r>
              <w:t xml:space="preserve">1.0000</w:t>
            </w:r>
          </w:p>
        </w:tc>
      </w:tr>
      <w:tr>
        <w:tc>
          <w:p>
            <w:pPr>
              <w:pStyle w:val="Compact"/>
              <w:jc w:val="left"/>
            </w:pPr>
            <w:r>
              <w:t xml:space="preserve">100% oxygen</w:t>
            </w:r>
          </w:p>
        </w:tc>
        <w:tc>
          <w:p>
            <w:pPr>
              <w:pStyle w:val="Compact"/>
              <w:jc w:val="right"/>
            </w:pPr>
            <w:r>
              <w:t xml:space="preserve">9.42</w:t>
            </w:r>
          </w:p>
        </w:tc>
        <w:tc>
          <w:p>
            <w:pPr>
              <w:pStyle w:val="Compact"/>
              <w:jc w:val="right"/>
            </w:pPr>
            <w:r>
              <w:t xml:space="preserve">47.60</w:t>
            </w:r>
          </w:p>
        </w:tc>
        <w:tc>
          <w:p>
            <w:pPr>
              <w:pStyle w:val="Compact"/>
              <w:jc w:val="right"/>
            </w:pPr>
            <w:r>
              <w:t xml:space="preserve">0.0001</w:t>
            </w:r>
          </w:p>
        </w:tc>
      </w:tr>
      <w:tr>
        <w:tc>
          <w:p>
            <w:pPr>
              <w:pStyle w:val="Compact"/>
              <w:jc w:val="left"/>
            </w:pPr>
            <w:r>
              <w:t xml:space="preserve">dopamine i.v.</w:t>
            </w:r>
          </w:p>
        </w:tc>
        <w:tc>
          <w:p>
            <w:pPr>
              <w:pStyle w:val="Compact"/>
              <w:jc w:val="right"/>
            </w:pPr>
            <w:r>
              <w:t xml:space="preserve">0.04</w:t>
            </w:r>
          </w:p>
        </w:tc>
        <w:tc>
          <w:p>
            <w:pPr>
              <w:pStyle w:val="Compact"/>
              <w:jc w:val="right"/>
            </w:pPr>
            <w:r>
              <w:t xml:space="preserve">0.00</w:t>
            </w:r>
          </w:p>
        </w:tc>
        <w:tc>
          <w:p>
            <w:pPr>
              <w:pStyle w:val="Compact"/>
              <w:jc w:val="right"/>
            </w:pPr>
            <w:r>
              <w:t xml:space="preserve">1.0000</w:t>
            </w:r>
          </w:p>
        </w:tc>
      </w:tr>
      <w:tr>
        <w:tc>
          <w:p>
            <w:pPr>
              <w:pStyle w:val="Compact"/>
              <w:jc w:val="left"/>
            </w:pPr>
            <w:r>
              <w:t xml:space="preserve">glucagon i.v.</w:t>
            </w:r>
          </w:p>
        </w:tc>
        <w:tc>
          <w:p>
            <w:pPr>
              <w:pStyle w:val="Compact"/>
              <w:jc w:val="right"/>
            </w:pPr>
            <w:r>
              <w:t xml:space="preserve">0.02</w:t>
            </w:r>
          </w:p>
        </w:tc>
        <w:tc>
          <w:p>
            <w:pPr>
              <w:pStyle w:val="Compact"/>
              <w:jc w:val="right"/>
            </w:pPr>
            <w:r>
              <w:t xml:space="preserve">0.00</w:t>
            </w:r>
          </w:p>
        </w:tc>
        <w:tc>
          <w:p>
            <w:pPr>
              <w:pStyle w:val="Compact"/>
              <w:jc w:val="right"/>
            </w:pPr>
            <w:r>
              <w:t xml:space="preserve">1.0000</w:t>
            </w:r>
          </w:p>
        </w:tc>
      </w:tr>
      <w:tr>
        <w:tc>
          <w:p>
            <w:pPr>
              <w:pStyle w:val="Compact"/>
              <w:jc w:val="left"/>
            </w:pPr>
            <w:r>
              <w:t xml:space="preserve">methylene blue</w:t>
            </w:r>
          </w:p>
        </w:tc>
        <w:tc>
          <w:p>
            <w:pPr>
              <w:pStyle w:val="Compact"/>
              <w:jc w:val="right"/>
            </w:pPr>
            <w:r>
              <w:t xml:space="preserve">0.00</w:t>
            </w:r>
          </w:p>
        </w:tc>
        <w:tc>
          <w:p>
            <w:pPr>
              <w:pStyle w:val="Compact"/>
              <w:jc w:val="right"/>
            </w:pPr>
            <w:r>
              <w:t xml:space="preserve">0.00</w:t>
            </w:r>
          </w:p>
        </w:tc>
        <w:tc>
          <w:p>
            <w:pPr>
              <w:pStyle w:val="Compact"/>
              <w:jc w:val="right"/>
            </w:pPr>
            <w:r>
              <w:t xml:space="preserve">1.0000</w:t>
            </w:r>
          </w:p>
        </w:tc>
      </w:tr>
      <w:tr>
        <w:tc>
          <w:p>
            <w:pPr>
              <w:pStyle w:val="Compact"/>
              <w:jc w:val="left"/>
            </w:pPr>
            <w:r>
              <w:t xml:space="preserve">hospital admission</w:t>
            </w:r>
          </w:p>
        </w:tc>
        <w:tc>
          <w:p>
            <w:pPr>
              <w:pStyle w:val="Compact"/>
              <w:jc w:val="right"/>
            </w:pPr>
            <w:r>
              <w:t xml:space="preserve">28.00</w:t>
            </w:r>
          </w:p>
        </w:tc>
        <w:tc>
          <w:p>
            <w:pPr>
              <w:pStyle w:val="Compact"/>
              <w:jc w:val="right"/>
            </w:pPr>
            <w:r>
              <w:t xml:space="preserve">85.70</w:t>
            </w:r>
          </w:p>
        </w:tc>
        <w:tc>
          <w:p>
            <w:pPr>
              <w:pStyle w:val="Compact"/>
              <w:jc w:val="right"/>
            </w:pPr>
            <w:r>
              <w:t xml:space="preserve">0.0001</w:t>
            </w:r>
          </w:p>
        </w:tc>
      </w:tr>
      <w:tr>
        <w:tc>
          <w:p>
            <w:pPr>
              <w:pStyle w:val="Compact"/>
              <w:jc w:val="left"/>
            </w:pPr>
            <w:r>
              <w:t xml:space="preserve">intensive care</w:t>
            </w:r>
          </w:p>
        </w:tc>
        <w:tc>
          <w:p>
            <w:pPr>
              <w:pStyle w:val="Compact"/>
              <w:jc w:val="right"/>
            </w:pPr>
            <w:r>
              <w:t xml:space="preserve">7.55</w:t>
            </w:r>
          </w:p>
        </w:tc>
        <w:tc>
          <w:p>
            <w:pPr>
              <w:pStyle w:val="Compact"/>
              <w:jc w:val="right"/>
            </w:pPr>
            <w:r>
              <w:t xml:space="preserve">78.60</w:t>
            </w:r>
          </w:p>
        </w:tc>
        <w:tc>
          <w:p>
            <w:pPr>
              <w:pStyle w:val="Compact"/>
              <w:jc w:val="right"/>
            </w:pPr>
            <w:r>
              <w:t xml:space="preserve">0.0001</w:t>
            </w:r>
          </w:p>
        </w:tc>
      </w:tr>
    </w:tbl>
    <w:p>
      <w:pPr>
        <w:pStyle w:val="Heading5"/>
      </w:pPr>
      <w:bookmarkStart w:id="71" w:name="section-6"/>
      <w:bookmarkEnd w:id="71"/>
    </w:p>
    <w:p>
      <w:pPr>
        <w:pStyle w:val="TableCaption"/>
      </w:pPr>
      <w:r>
        <w:t xml:space="preserve">Table 6: Factors potentially increasing the risk of a severe anaphylaxis investigated in refractory cases. ANA - anaphylaxis, p-value derived from the Fisher’s exact test.</w:t>
      </w:r>
    </w:p>
    <w:tbl>
      <w:tblPr>
        <w:tblStyle w:val="TableNormal"/>
        <w:tblW w:type="pct" w:w="0.0"/>
        <w:tblLook w:firstRow="1"/>
        <w:tblCaption w:val="Table 6: Factors potentially increasing the risk of a severe anaphylaxis investigated in refractory cases. ANA - anaphylaxis, p-value derived from the Fisher’s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Concomitant asthma</w:t>
            </w:r>
          </w:p>
        </w:tc>
        <w:tc>
          <w:p>
            <w:pPr>
              <w:pStyle w:val="Compact"/>
              <w:jc w:val="right"/>
            </w:pPr>
            <w:r>
              <w:t xml:space="preserve">12.10</w:t>
            </w:r>
          </w:p>
        </w:tc>
        <w:tc>
          <w:p>
            <w:pPr>
              <w:pStyle w:val="Compact"/>
              <w:jc w:val="right"/>
            </w:pPr>
            <w:r>
              <w:t xml:space="preserve">29.30</w:t>
            </w:r>
          </w:p>
        </w:tc>
        <w:tc>
          <w:p>
            <w:pPr>
              <w:pStyle w:val="Compact"/>
              <w:jc w:val="right"/>
            </w:pPr>
            <w:r>
              <w:t xml:space="preserve">0.0030</w:t>
            </w:r>
          </w:p>
        </w:tc>
      </w:tr>
      <w:tr>
        <w:tc>
          <w:p>
            <w:pPr>
              <w:pStyle w:val="Compact"/>
              <w:jc w:val="left"/>
            </w:pPr>
            <w:r>
              <w:t xml:space="preserve">Concomitant AD</w:t>
            </w:r>
          </w:p>
        </w:tc>
        <w:tc>
          <w:p>
            <w:pPr>
              <w:pStyle w:val="Compact"/>
              <w:jc w:val="right"/>
            </w:pPr>
            <w:r>
              <w:t xml:space="preserve">6.82</w:t>
            </w:r>
          </w:p>
        </w:tc>
        <w:tc>
          <w:p>
            <w:pPr>
              <w:pStyle w:val="Compact"/>
              <w:jc w:val="right"/>
            </w:pPr>
            <w:r>
              <w:t xml:space="preserve">12.20</w:t>
            </w:r>
          </w:p>
        </w:tc>
        <w:tc>
          <w:p>
            <w:pPr>
              <w:pStyle w:val="Compact"/>
              <w:jc w:val="right"/>
            </w:pPr>
            <w:r>
              <w:t xml:space="preserve">0.2000</w:t>
            </w:r>
          </w:p>
        </w:tc>
      </w:tr>
      <w:tr>
        <w:tc>
          <w:p>
            <w:pPr>
              <w:pStyle w:val="Compact"/>
              <w:jc w:val="left"/>
            </w:pPr>
            <w:r>
              <w:t xml:space="preserve">Concomitant diabetes</w:t>
            </w:r>
          </w:p>
        </w:tc>
        <w:tc>
          <w:p>
            <w:pPr>
              <w:pStyle w:val="Compact"/>
              <w:jc w:val="right"/>
            </w:pPr>
            <w:r>
              <w:t xml:space="preserve">5.80</w:t>
            </w:r>
          </w:p>
        </w:tc>
        <w:tc>
          <w:p>
            <w:pPr>
              <w:pStyle w:val="Compact"/>
              <w:jc w:val="right"/>
            </w:pPr>
            <w:r>
              <w:t xml:space="preserve">13.20</w:t>
            </w:r>
          </w:p>
        </w:tc>
        <w:tc>
          <w:p>
            <w:pPr>
              <w:pStyle w:val="Compact"/>
              <w:jc w:val="right"/>
            </w:pPr>
            <w:r>
              <w:t xml:space="preserve">0.0700</w:t>
            </w:r>
          </w:p>
        </w:tc>
      </w:tr>
      <w:tr>
        <w:tc>
          <w:p>
            <w:pPr>
              <w:pStyle w:val="Compact"/>
              <w:jc w:val="left"/>
            </w:pPr>
            <w:r>
              <w:t xml:space="preserve">Concomitant cardiologic condition</w:t>
            </w:r>
          </w:p>
        </w:tc>
        <w:tc>
          <w:p>
            <w:pPr>
              <w:pStyle w:val="Compact"/>
              <w:jc w:val="right"/>
            </w:pPr>
            <w:r>
              <w:t xml:space="preserve">22.80</w:t>
            </w:r>
          </w:p>
        </w:tc>
        <w:tc>
          <w:p>
            <w:pPr>
              <w:pStyle w:val="Compact"/>
              <w:jc w:val="right"/>
            </w:pPr>
            <w:r>
              <w:t xml:space="preserve">31.70</w:t>
            </w:r>
          </w:p>
        </w:tc>
        <w:tc>
          <w:p>
            <w:pPr>
              <w:pStyle w:val="Compact"/>
              <w:jc w:val="right"/>
            </w:pPr>
            <w:r>
              <w:t xml:space="preserve">0.1910</w:t>
            </w:r>
          </w:p>
        </w:tc>
      </w:tr>
      <w:tr>
        <w:tc>
          <w:p>
            <w:pPr>
              <w:pStyle w:val="Compact"/>
              <w:jc w:val="left"/>
            </w:pPr>
            <w:r>
              <w:t xml:space="preserve">Concomitant infection</w:t>
            </w:r>
          </w:p>
        </w:tc>
        <w:tc>
          <w:p>
            <w:pPr>
              <w:pStyle w:val="Compact"/>
              <w:jc w:val="right"/>
            </w:pPr>
            <w:r>
              <w:t xml:space="preserve">3.35</w:t>
            </w:r>
          </w:p>
        </w:tc>
        <w:tc>
          <w:p>
            <w:pPr>
              <w:pStyle w:val="Compact"/>
              <w:jc w:val="right"/>
            </w:pPr>
            <w:r>
              <w:t xml:space="preserve">4.88</w:t>
            </w:r>
          </w:p>
        </w:tc>
        <w:tc>
          <w:p>
            <w:pPr>
              <w:pStyle w:val="Compact"/>
              <w:jc w:val="right"/>
            </w:pPr>
            <w:r>
              <w:t xml:space="preserve">0.6480</w:t>
            </w:r>
          </w:p>
        </w:tc>
      </w:tr>
      <w:tr>
        <w:tc>
          <w:p>
            <w:pPr>
              <w:pStyle w:val="Compact"/>
              <w:jc w:val="left"/>
            </w:pPr>
            <w:r>
              <w:t xml:space="preserve">History of malignant disease</w:t>
            </w:r>
          </w:p>
        </w:tc>
        <w:tc>
          <w:p>
            <w:pPr>
              <w:pStyle w:val="Compact"/>
              <w:jc w:val="right"/>
            </w:pPr>
            <w:r>
              <w:t xml:space="preserve">3.12</w:t>
            </w:r>
          </w:p>
        </w:tc>
        <w:tc>
          <w:p>
            <w:pPr>
              <w:pStyle w:val="Compact"/>
              <w:jc w:val="right"/>
            </w:pPr>
            <w:r>
              <w:t xml:space="preserve">10.80</w:t>
            </w:r>
          </w:p>
        </w:tc>
        <w:tc>
          <w:p>
            <w:pPr>
              <w:pStyle w:val="Compact"/>
              <w:jc w:val="right"/>
            </w:pPr>
            <w:r>
              <w:t xml:space="preserve">0.0290</w:t>
            </w:r>
          </w:p>
        </w:tc>
      </w:tr>
      <w:tr>
        <w:tc>
          <w:p>
            <w:pPr>
              <w:pStyle w:val="Compact"/>
              <w:jc w:val="left"/>
            </w:pPr>
            <w:r>
              <w:t xml:space="preserve">Concomitant mastocytosis</w:t>
            </w:r>
          </w:p>
        </w:tc>
        <w:tc>
          <w:p>
            <w:pPr>
              <w:pStyle w:val="Compact"/>
              <w:jc w:val="right"/>
            </w:pPr>
            <w:r>
              <w:t xml:space="preserve">2.68</w:t>
            </w:r>
          </w:p>
        </w:tc>
        <w:tc>
          <w:p>
            <w:pPr>
              <w:pStyle w:val="Compact"/>
              <w:jc w:val="right"/>
            </w:pPr>
            <w:r>
              <w:t xml:space="preserve">7.32</w:t>
            </w:r>
          </w:p>
        </w:tc>
        <w:tc>
          <w:p>
            <w:pPr>
              <w:pStyle w:val="Compact"/>
              <w:jc w:val="right"/>
            </w:pPr>
            <w:r>
              <w:t xml:space="preserve">0.0990</w:t>
            </w:r>
          </w:p>
        </w:tc>
      </w:tr>
      <w:tr>
        <w:tc>
          <w:p>
            <w:pPr>
              <w:pStyle w:val="Compact"/>
              <w:jc w:val="left"/>
            </w:pPr>
            <w:r>
              <w:t xml:space="preserve">Concomitant other disease - unspecified</w:t>
            </w:r>
          </w:p>
        </w:tc>
        <w:tc>
          <w:p>
            <w:pPr>
              <w:pStyle w:val="Compact"/>
              <w:jc w:val="right"/>
            </w:pPr>
            <w:r>
              <w:t xml:space="preserve">15.60</w:t>
            </w:r>
          </w:p>
        </w:tc>
        <w:tc>
          <w:p>
            <w:pPr>
              <w:pStyle w:val="Compact"/>
              <w:jc w:val="right"/>
            </w:pPr>
            <w:r>
              <w:t xml:space="preserve">36.60</w:t>
            </w:r>
          </w:p>
        </w:tc>
        <w:tc>
          <w:p>
            <w:pPr>
              <w:pStyle w:val="Compact"/>
              <w:jc w:val="right"/>
            </w:pPr>
            <w:r>
              <w:t xml:space="preserve">0.0001</w:t>
            </w:r>
          </w:p>
        </w:tc>
      </w:tr>
      <w:tr>
        <w:tc>
          <w:p>
            <w:pPr>
              <w:pStyle w:val="Compact"/>
              <w:jc w:val="left"/>
            </w:pPr>
            <w:r>
              <w:t xml:space="preserve">Exercise prior to reaction</w:t>
            </w:r>
          </w:p>
        </w:tc>
        <w:tc>
          <w:p>
            <w:pPr>
              <w:pStyle w:val="Compact"/>
              <w:jc w:val="right"/>
            </w:pPr>
            <w:r>
              <w:t xml:space="preserve">28.10</w:t>
            </w:r>
          </w:p>
        </w:tc>
        <w:tc>
          <w:p>
            <w:pPr>
              <w:pStyle w:val="Compact"/>
              <w:jc w:val="right"/>
            </w:pPr>
            <w:r>
              <w:t xml:space="preserve">21.40</w:t>
            </w:r>
          </w:p>
        </w:tc>
        <w:tc>
          <w:p>
            <w:pPr>
              <w:pStyle w:val="Compact"/>
              <w:jc w:val="right"/>
            </w:pPr>
            <w:r>
              <w:t xml:space="preserve">0.3920</w:t>
            </w:r>
          </w:p>
        </w:tc>
      </w:tr>
      <w:tr>
        <w:tc>
          <w:p>
            <w:pPr>
              <w:pStyle w:val="Compact"/>
              <w:jc w:val="left"/>
            </w:pPr>
            <w:r>
              <w:t xml:space="preserve">Psychological burden</w:t>
            </w:r>
          </w:p>
        </w:tc>
        <w:tc>
          <w:p>
            <w:pPr>
              <w:pStyle w:val="Compact"/>
              <w:jc w:val="right"/>
            </w:pPr>
            <w:r>
              <w:t xml:space="preserve">6.79</w:t>
            </w:r>
          </w:p>
        </w:tc>
        <w:tc>
          <w:p>
            <w:pPr>
              <w:pStyle w:val="Compact"/>
              <w:jc w:val="right"/>
            </w:pPr>
            <w:r>
              <w:t xml:space="preserve">26.20</w:t>
            </w:r>
          </w:p>
        </w:tc>
        <w:tc>
          <w:p>
            <w:pPr>
              <w:pStyle w:val="Compact"/>
              <w:jc w:val="right"/>
            </w:pPr>
            <w:r>
              <w:t xml:space="preserve">0.0001</w:t>
            </w:r>
          </w:p>
        </w:tc>
      </w:tr>
      <w:tr>
        <w:tc>
          <w:p>
            <w:pPr>
              <w:pStyle w:val="Compact"/>
              <w:jc w:val="left"/>
            </w:pPr>
            <w:r>
              <w:t xml:space="preserve">Concomitant medication</w:t>
            </w:r>
          </w:p>
        </w:tc>
        <w:tc>
          <w:p>
            <w:pPr>
              <w:pStyle w:val="Compact"/>
              <w:jc w:val="right"/>
            </w:pPr>
            <w:r>
              <w:t xml:space="preserve">37.50</w:t>
            </w:r>
          </w:p>
        </w:tc>
        <w:tc>
          <w:p>
            <w:pPr>
              <w:pStyle w:val="Compact"/>
              <w:jc w:val="right"/>
            </w:pPr>
            <w:r>
              <w:t xml:space="preserve">60.50</w:t>
            </w:r>
          </w:p>
        </w:tc>
        <w:tc>
          <w:p>
            <w:pPr>
              <w:pStyle w:val="Compact"/>
              <w:jc w:val="right"/>
            </w:pPr>
            <w:r>
              <w:t xml:space="preserve">0.0060</w:t>
            </w:r>
          </w:p>
        </w:tc>
      </w:tr>
      <w:tr>
        <w:tc>
          <w:p>
            <w:pPr>
              <w:pStyle w:val="Compact"/>
              <w:jc w:val="left"/>
            </w:pPr>
            <w:r>
              <w:t xml:space="preserve">ASA</w:t>
            </w:r>
          </w:p>
        </w:tc>
        <w:tc>
          <w:p>
            <w:pPr>
              <w:pStyle w:val="Compact"/>
              <w:jc w:val="right"/>
            </w:pPr>
            <w:r>
              <w:t xml:space="preserve">6.13</w:t>
            </w:r>
          </w:p>
        </w:tc>
        <w:tc>
          <w:p>
            <w:pPr>
              <w:pStyle w:val="Compact"/>
              <w:jc w:val="right"/>
            </w:pPr>
            <w:r>
              <w:t xml:space="preserve">18.40</w:t>
            </w:r>
          </w:p>
        </w:tc>
        <w:tc>
          <w:p>
            <w:pPr>
              <w:pStyle w:val="Compact"/>
              <w:jc w:val="right"/>
            </w:pPr>
            <w:r>
              <w:t xml:space="preserve">0.0080</w:t>
            </w:r>
          </w:p>
        </w:tc>
      </w:tr>
      <w:tr>
        <w:tc>
          <w:p>
            <w:pPr>
              <w:pStyle w:val="Compact"/>
              <w:jc w:val="left"/>
            </w:pPr>
            <w:r>
              <w:t xml:space="preserve">Beta-blockers</w:t>
            </w:r>
          </w:p>
        </w:tc>
        <w:tc>
          <w:p>
            <w:pPr>
              <w:pStyle w:val="Compact"/>
              <w:jc w:val="right"/>
            </w:pPr>
            <w:r>
              <w:t xml:space="preserve">10.40</w:t>
            </w:r>
          </w:p>
        </w:tc>
        <w:tc>
          <w:p>
            <w:pPr>
              <w:pStyle w:val="Compact"/>
              <w:jc w:val="right"/>
            </w:pPr>
            <w:r>
              <w:t xml:space="preserve">15.80</w:t>
            </w:r>
          </w:p>
        </w:tc>
        <w:tc>
          <w:p>
            <w:pPr>
              <w:pStyle w:val="Compact"/>
              <w:jc w:val="right"/>
            </w:pPr>
            <w:r>
              <w:t xml:space="preserve">0.2810</w:t>
            </w:r>
          </w:p>
        </w:tc>
      </w:tr>
      <w:tr>
        <w:tc>
          <w:p>
            <w:pPr>
              <w:pStyle w:val="Compact"/>
              <w:jc w:val="left"/>
            </w:pPr>
            <w:r>
              <w:t xml:space="preserve">PPI</w:t>
            </w:r>
          </w:p>
        </w:tc>
        <w:tc>
          <w:p>
            <w:pPr>
              <w:pStyle w:val="Compact"/>
              <w:jc w:val="right"/>
            </w:pPr>
            <w:r>
              <w:t xml:space="preserve">5.81</w:t>
            </w:r>
          </w:p>
        </w:tc>
        <w:tc>
          <w:p>
            <w:pPr>
              <w:pStyle w:val="Compact"/>
              <w:jc w:val="right"/>
            </w:pPr>
            <w:r>
              <w:t xml:space="preserve">20.60</w:t>
            </w:r>
          </w:p>
        </w:tc>
        <w:tc>
          <w:p>
            <w:pPr>
              <w:pStyle w:val="Compact"/>
              <w:jc w:val="right"/>
            </w:pPr>
            <w:r>
              <w:t xml:space="preserve">0.0030</w:t>
            </w:r>
          </w:p>
        </w:tc>
      </w:tr>
      <w:tr>
        <w:tc>
          <w:p>
            <w:pPr>
              <w:pStyle w:val="Compact"/>
              <w:jc w:val="left"/>
            </w:pPr>
            <w:r>
              <w:t xml:space="preserve">Other drugs</w:t>
            </w:r>
          </w:p>
        </w:tc>
        <w:tc>
          <w:p>
            <w:pPr>
              <w:pStyle w:val="Compact"/>
              <w:jc w:val="right"/>
            </w:pPr>
            <w:r>
              <w:t xml:space="preserve">18.20</w:t>
            </w:r>
          </w:p>
        </w:tc>
        <w:tc>
          <w:p>
            <w:pPr>
              <w:pStyle w:val="Compact"/>
              <w:jc w:val="right"/>
            </w:pPr>
            <w:r>
              <w:t xml:space="preserve">44.70</w:t>
            </w:r>
          </w:p>
        </w:tc>
        <w:tc>
          <w:p>
            <w:pPr>
              <w:pStyle w:val="Compact"/>
              <w:jc w:val="right"/>
            </w:pPr>
            <w:r>
              <w:t xml:space="preserve">0.0001</w:t>
            </w:r>
          </w:p>
        </w:tc>
      </w:tr>
      <w:tr>
        <w:tc>
          <w:p>
            <w:pPr>
              <w:pStyle w:val="Compact"/>
              <w:jc w:val="left"/>
            </w:pPr>
            <w:r>
              <w:t xml:space="preserve">Alcohol use prior to the reaction</w:t>
            </w:r>
          </w:p>
        </w:tc>
        <w:tc>
          <w:p>
            <w:pPr>
              <w:pStyle w:val="Compact"/>
              <w:jc w:val="right"/>
            </w:pPr>
            <w:r>
              <w:t xml:space="preserve">5.51</w:t>
            </w:r>
          </w:p>
        </w:tc>
        <w:tc>
          <w:p>
            <w:pPr>
              <w:pStyle w:val="Compact"/>
              <w:jc w:val="right"/>
            </w:pPr>
            <w:r>
              <w:t xml:space="preserve">2.63</w:t>
            </w:r>
          </w:p>
        </w:tc>
        <w:tc>
          <w:p>
            <w:pPr>
              <w:pStyle w:val="Compact"/>
              <w:jc w:val="right"/>
            </w:pPr>
            <w:r>
              <w:t xml:space="preserve">0.7210</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4b6e6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hyperlink" Id="rId56" Target="https://doi.org/10.1006/brbi.1998.0541" TargetMode="External" /><Relationship Type="http://schemas.openxmlformats.org/officeDocument/2006/relationships/hyperlink" Id="rId49" Target="https://doi.org/10.1016/0091-6749(91)90135-b" TargetMode="External" /><Relationship Type="http://schemas.openxmlformats.org/officeDocument/2006/relationships/hyperlink" Id="rId52" Target="https://doi.org/10.1016/j.iac.2018.04.003" TargetMode="External" /><Relationship Type="http://schemas.openxmlformats.org/officeDocument/2006/relationships/hyperlink" Id="rId51" Target="https://doi.org/10.1016/j.jaci.2006.02.026" TargetMode="External" /><Relationship Type="http://schemas.openxmlformats.org/officeDocument/2006/relationships/hyperlink" Id="rId45" Target="https://doi.org/10.1016/j.jaci.2014.09.014" TargetMode="External" /><Relationship Type="http://schemas.openxmlformats.org/officeDocument/2006/relationships/hyperlink" Id="rId46" Target="https://doi.org/10.1016/j.jaip.2018.02.026" TargetMode="External" /><Relationship Type="http://schemas.openxmlformats.org/officeDocument/2006/relationships/hyperlink" Id="rId55" Target="https://doi.org/10.1016/s0002-9440(10)63877-1" TargetMode="External" /><Relationship Type="http://schemas.openxmlformats.org/officeDocument/2006/relationships/hyperlink" Id="rId59" Target="https://doi.org/10.1016/s0022-5223(00)70152-8" TargetMode="External" /><Relationship Type="http://schemas.openxmlformats.org/officeDocument/2006/relationships/hyperlink" Id="rId50" Target="https://doi.org/10.1016/s0140-6736(96)01367-0" TargetMode="External" /><Relationship Type="http://schemas.openxmlformats.org/officeDocument/2006/relationships/hyperlink" Id="rId54" Target="https://doi.org/10.1097/psy.0b013e31816ded22" TargetMode="External" /><Relationship Type="http://schemas.openxmlformats.org/officeDocument/2006/relationships/hyperlink" Id="rId48" Target="https://doi.org/10.1111/j.1398-9995.2007.01347.x" TargetMode="External" /><Relationship Type="http://schemas.openxmlformats.org/officeDocument/2006/relationships/hyperlink" Id="rId53" Target="https://doi.org/10.1159/000497235" TargetMode="External" /><Relationship Type="http://schemas.openxmlformats.org/officeDocument/2006/relationships/hyperlink" Id="rId58" Target="https://doi.org/10.1177/175045891302300903" TargetMode="External" /><Relationship Type="http://schemas.openxmlformats.org/officeDocument/2006/relationships/hyperlink" Id="rId47" Target="https://doi.org/10.1213/01.ane.0000082993.84883.7d" TargetMode="External" /><Relationship Type="http://schemas.openxmlformats.org/officeDocument/2006/relationships/hyperlink" Id="rId57" Target="https://doi.org/10.1345/aph.19235"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06/brbi.1998.0541" TargetMode="External" /><Relationship Type="http://schemas.openxmlformats.org/officeDocument/2006/relationships/hyperlink" Id="rId49" Target="https://doi.org/10.1016/0091-6749(91)90135-b" TargetMode="External" /><Relationship Type="http://schemas.openxmlformats.org/officeDocument/2006/relationships/hyperlink" Id="rId52" Target="https://doi.org/10.1016/j.iac.2018.04.003" TargetMode="External" /><Relationship Type="http://schemas.openxmlformats.org/officeDocument/2006/relationships/hyperlink" Id="rId51" Target="https://doi.org/10.1016/j.jaci.2006.02.026" TargetMode="External" /><Relationship Type="http://schemas.openxmlformats.org/officeDocument/2006/relationships/hyperlink" Id="rId45" Target="https://doi.org/10.1016/j.jaci.2014.09.014" TargetMode="External" /><Relationship Type="http://schemas.openxmlformats.org/officeDocument/2006/relationships/hyperlink" Id="rId46" Target="https://doi.org/10.1016/j.jaip.2018.02.026" TargetMode="External" /><Relationship Type="http://schemas.openxmlformats.org/officeDocument/2006/relationships/hyperlink" Id="rId55" Target="https://doi.org/10.1016/s0002-9440(10)63877-1" TargetMode="External" /><Relationship Type="http://schemas.openxmlformats.org/officeDocument/2006/relationships/hyperlink" Id="rId59" Target="https://doi.org/10.1016/s0022-5223(00)70152-8" TargetMode="External" /><Relationship Type="http://schemas.openxmlformats.org/officeDocument/2006/relationships/hyperlink" Id="rId50" Target="https://doi.org/10.1016/s0140-6736(96)01367-0" TargetMode="External" /><Relationship Type="http://schemas.openxmlformats.org/officeDocument/2006/relationships/hyperlink" Id="rId54" Target="https://doi.org/10.1097/psy.0b013e31816ded22" TargetMode="External" /><Relationship Type="http://schemas.openxmlformats.org/officeDocument/2006/relationships/hyperlink" Id="rId48" Target="https://doi.org/10.1111/j.1398-9995.2007.01347.x" TargetMode="External" /><Relationship Type="http://schemas.openxmlformats.org/officeDocument/2006/relationships/hyperlink" Id="rId53" Target="https://doi.org/10.1159/000497235" TargetMode="External" /><Relationship Type="http://schemas.openxmlformats.org/officeDocument/2006/relationships/hyperlink" Id="rId58" Target="https://doi.org/10.1177/175045891302300903" TargetMode="External" /><Relationship Type="http://schemas.openxmlformats.org/officeDocument/2006/relationships/hyperlink" Id="rId47" Target="https://doi.org/10.1213/01.ane.0000082993.84883.7d" TargetMode="External" /><Relationship Type="http://schemas.openxmlformats.org/officeDocument/2006/relationships/hyperlink" Id="rId57" Target="https://doi.org/10.1345/aph.19235"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Francuzik1; Sabine Dölle-Bierke1; Macarena Knop2; Kathrin Scherer Hofmeier3; Ewa Cichocka-Jarosz4; Blanca E. García5; Roland Lang6; Ioana Maris7; Jean-Marie Renaudin8; Margitta Worm1</dc:creator>
  <dcterms:created xsi:type="dcterms:W3CDTF">2019-08-27T12:26:55Z</dcterms:created>
  <dcterms:modified xsi:type="dcterms:W3CDTF">2019-08-27T12:26:55Z</dcterms:modified>
</cp:coreProperties>
</file>