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18</w:t>
      </w:r>
      <w:r>
        <w:t xml:space="preserve"> </w:t>
      </w:r>
      <w:r>
        <w:t xml:space="preserve">September,</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Comprehensive data on its definition, prevalence, and risk factors are missing.</w:t>
      </w:r>
      <w:r>
        <w:br w:type="textWrapping"/>
      </w:r>
      <w:r>
        <w:t xml:space="preserve">Using the data from the European Anaphylaxis Registry (11596 cases in total) we identified refractory anaphylaxis cases (n = 42) and analysed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(7.14% vs 4.02%, p = 0.241). The refractory cases occurred more frequently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lack of second line medication (i.e. methylene blue or dopamine) use in refractory cases has to be addressed in future efforts to improve the managment (and guidelines adherence)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clinical symptoms.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[6]</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[7]</w:t>
      </w:r>
      <w:r>
        <w:t xml:space="preserve">. Simple comparison of nominal variables was performed using Fischer’s exact test, continous variables were analysed using Mann-Whithney U test. We defined statistical significance as α = 0.05. Data along with the analysis script can be accessed at 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w:t>
      </w:r>
      <w:r>
        <w:br w:type="textWrapping"/>
      </w:r>
      <w:r>
        <w:t xml:space="preserve">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but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medical history.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reported concomitant proton pump inhibitors (PPI) and acetylsalicilic acid (ASA) use compared to patients with severe non-refractory anaphylaxis. Other (not specified) medications were also more frequent in refractory cases. In 6 cases of refractory anaphylaxis (14.3%) patients reported receiving beta-blockers as a concomitant medication, but none of these patients recieved a glucagon infusion.</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drugs (e.g. methylene blue and dopamine) might increse the survival chance.</w:t>
      </w:r>
    </w:p>
    <w:p>
      <w:pPr>
        <w:pStyle w:val="BodyText"/>
      </w:pPr>
      <w:r>
        <w:t xml:space="preserve">Overall, the severity of an anaphylaxis and its probable transition into a refractory episode might be described by four co-influencing mechanisms:</w:t>
      </w:r>
      <w:r>
        <w:t xml:space="preserve"> </w:t>
      </w:r>
      <w:r>
        <w:t xml:space="preserve">1) elicitors - the type of an eliciting agent and duration of the exposition, which correlates to the amount of the allergen and its metabolisation;</w:t>
      </w:r>
      <w:r>
        <w:t xml:space="preserve"> </w:t>
      </w:r>
      <w:r>
        <w:t xml:space="preserve">2) cofactors - the presence of other factors which may increase the severity of a given reaction i.e. concomitant use of a betablocker etc.;</w:t>
      </w:r>
      <w:r>
        <w:t xml:space="preserve"> </w:t>
      </w:r>
      <w:r>
        <w:t xml:space="preserve">3) compensation - how well is the body able to compensate reaction symptoms e.g. hypotension;</w:t>
      </w:r>
      <w:r>
        <w:t xml:space="preserve"> </w:t>
      </w:r>
      <w:r>
        <w:t xml:space="preserve">4) therapy - how fast and accurately the therapeutic procedures were introduced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Recent study on IgE-independent anaphylaxis showed that peroperative drugs (i.e. rocuronium, turbocurarine, fluorochinolones, atracurium) may trigger anaphylaxis by activating mast cells directly through the MrgprX2 receptor</w:t>
      </w:r>
      <w:r>
        <w:t xml:space="preserve"> </w:t>
      </w:r>
      <w:r>
        <w:t xml:space="preserve">[11]</w:t>
      </w:r>
      <w:r>
        <w:t xml:space="preserve">. Therefore patients who undergo surgical procedures and have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saw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basophiles, platelets and neutophiles).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older age and male sex to be associated with severe anaphylaxis</w:t>
      </w:r>
      <w:r>
        <w:t xml:space="preserve"> </w:t>
      </w:r>
      <w:r>
        <w:t xml:space="preserve">[6]</w:t>
      </w:r>
      <w:r>
        <w:t xml:space="preserve">, these factors seem to be less important when refractory anaphylaxis is considered. Asthma and malignant diseases in the medical history were more frequently present in the refractory anaphylaxis group. The underlying reason is unclear. It is however interesting that past malignant diseases were mostly recognized in male refractory anaphylaxis patients.</w:t>
      </w:r>
    </w:p>
    <w:p>
      <w:pPr>
        <w:pStyle w:val="BodyText"/>
      </w:pPr>
      <w:r>
        <w:t xml:space="preserve">Many cases of hypersenitivity due to cancer drugs were described in the literature, but malignancy in medical history has never been previously associated with severe anaphylaxis.</w:t>
      </w:r>
      <w:r>
        <w:t xml:space="preserve"> </w:t>
      </w:r>
      <w:r>
        <w:t xml:space="preserve">It can be possible that patients with reported malignancies were simply older (mean age of 34.6 vs 58.3 years, p &lt;</w:t>
      </w:r>
      <w:r>
        <w:t xml:space="preserve"> </w:t>
      </w:r>
      <w:r>
        <w:t xml:space="preserve"> </w:t>
      </w:r>
      <w:r>
        <w:t xml:space="preserve">0.001) and therefore less able to compensate the anaphylactic shock.</w:t>
      </w:r>
    </w:p>
    <w:p>
      <w:pPr>
        <w:pStyle w:val="BodyText"/>
      </w:pPr>
      <w:r>
        <w:t xml:space="preserve">We previously observed concomitant asthma to be associated with less severe anaphylaxis</w:t>
      </w:r>
      <w:r>
        <w:t xml:space="preserve"> </w:t>
      </w:r>
      <w:r>
        <w:t xml:space="preserve">[6]</w:t>
      </w:r>
      <w:r>
        <w:t xml:space="preserve">. However, the present analysis suggests concomitant asthma as a risk factor for a refractory episode. It is possible that during a refractory episode the bronchospasm is mediated via other mediators (deriving from basophiles, and eosinophiles) what makes it refractory to adrenaline and therefore results in a prolonged anaphylactic episode. This might also explain why we saw more respiratory distress symptoms in the refractory anaphylaxis cases.</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It has been reported that stress induces the complement cascade activation</w:t>
      </w:r>
      <w:r>
        <w:t xml:space="preserve"> </w:t>
      </w:r>
      <w:r>
        <w:t xml:space="preserve">[16]</w:t>
      </w:r>
      <w:r>
        <w:t xml:space="preserve">. Substance P which is released during stress</w:t>
      </w:r>
      <w:r>
        <w:t xml:space="preserve"> </w:t>
      </w:r>
      <w:r>
        <w:t xml:space="preserve">[17]</w:t>
      </w:r>
      <w:r>
        <w:t xml:space="preserve"> </w:t>
      </w:r>
      <w:r>
        <w:t xml:space="preserve">is a known vasodilator</w:t>
      </w:r>
      <w:r>
        <w:t xml:space="preserve"> </w:t>
      </w:r>
      <w:r>
        <w:t xml:space="preserve">[18]</w:t>
      </w:r>
      <w:r>
        <w:t xml:space="preserve"> </w:t>
      </w:r>
      <w:r>
        <w:t xml:space="preserve">and can activate mast cells directly</w:t>
      </w:r>
      <w:r>
        <w:t xml:space="preserve"> </w:t>
      </w:r>
      <w:r>
        <w:t xml:space="preserve">[19]</w:t>
      </w:r>
      <w:r>
        <w:t xml:space="preserve">. These mediators may contribute to an increased mast cell response and more severe anaphylaxis.</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[20]</w:t>
      </w:r>
      <w:r>
        <w:t xml:space="preserve">. Moreover, there are reports on PPI as elicitors of anaphylaxis</w:t>
      </w:r>
      <w:r>
        <w:t xml:space="preserve"> </w:t>
      </w:r>
      <w:r>
        <w:t xml:space="preserve">[21]</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[22]</w:t>
      </w:r>
      <w:r>
        <w:t xml:space="preserve">.</w:t>
      </w:r>
      <w:r>
        <w:t xml:space="preserve"> </w:t>
      </w:r>
      <w:r>
        <w:t xml:space="preserve">Patients who underwent refractory anahpylaxis more often had perioperative reactions and therefore a decreased ablity to compensate the reaction symptoms with reflexory renal or cardiopulmonary response</w:t>
      </w:r>
      <w:r>
        <w:t xml:space="preserve"> </w:t>
      </w:r>
      <w:r>
        <w:t xml:space="preserve">[23]</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recommenden use and actual treatment practice exist. 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[24]</w:t>
      </w:r>
      <w:r>
        <w:t xml:space="preserve"> </w:t>
      </w:r>
      <w:r>
        <w:t xml:space="preserve">reported 6 cases of refractory, peroperative anaphylaxis (to RCM and penicillin) which responded to methylene blue i.v. within minutes. Its mode of action is by blocking the guanylate cyclase and therefore preventing further nitric-oxide-dependent vasodilation in a distributive shock</w:t>
      </w:r>
      <w:r>
        <w:t xml:space="preserve"> </w:t>
      </w:r>
      <w:r>
        <w:t xml:space="preserve">[25]</w:t>
      </w:r>
      <w:r>
        <w:t xml:space="preserve">.</w:t>
      </w:r>
    </w:p>
    <w:p>
      <w:pPr>
        <w:pStyle w:val="BodyText"/>
      </w:pPr>
      <w:r>
        <w:t xml:space="preserve">Suprisingly, even though multiple anaphylaxis management guidelines recommend glucagon infusions in cases of concomitant beta-blocker therapy in anaphylactic patients</w:t>
      </w:r>
      <w:r>
        <w:t xml:space="preserve"> </w:t>
      </w:r>
      <w:r>
        <w:t xml:space="preserve">[8,26,27]</w:t>
      </w:r>
      <w:r>
        <w:t xml:space="preserve">, it has not been administered in any of the severe or refractory cases. Glucagon has been reported to sucessfully relive refractory anaphylaxis</w:t>
      </w:r>
      <w:r>
        <w:t xml:space="preserve"> </w:t>
      </w:r>
      <w:r>
        <w:t xml:space="preserve">[28,29]</w:t>
      </w:r>
      <w:r>
        <w:t xml:space="preserve"> </w:t>
      </w:r>
      <w:r>
        <w:t xml:space="preserve">by directly activating the adenylyl cyclase and therefore bypassing the</w:t>
      </w:r>
      <w:r>
        <w:t xml:space="preserve"> </w:t>
      </w:r>
      <w:r>
        <w:t xml:space="preserve">-adrenergic receptor blockade</w:t>
      </w:r>
      <w:r>
        <w:t xml:space="preserve"> </w:t>
      </w:r>
      <w:r>
        <w:t xml:space="preserve">[28]</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published report on a patient sample containing over 30 refractory anaphylaxis cases.</w:t>
      </w:r>
    </w:p>
    <w:p>
      <w:pPr>
        <w:pStyle w:val="BodyText"/>
      </w:pPr>
      <w:r>
        <w:t xml:space="preserve">Definition of refractory anaphylaxis is not universal. Also in this study, the confirmation of a refractory anaphylaxis based on the answers to our online questionnaire posed difficulties.</w:t>
      </w:r>
      <w:r>
        <w:t xml:space="preserve"> </w:t>
      </w:r>
      <w:r>
        <w:t xml:space="preserve">If a fatal reaction occured before the second dose of adrenaline was administered to the patient - it could not be diagnosed as refractory (as we defined at least two doses of minimum 300 µg adrenaline for refractory anaphylaxis) although it in fact could have been refractory.</w:t>
      </w:r>
    </w:p>
    <w:p>
      <w:pPr>
        <w:pStyle w:val="BodyText"/>
      </w:pPr>
      <w:r>
        <w:t xml:space="preserve">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[17]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[18] Bossaller C, Reither K, Hehlert-Friedrich C, et al. In vivo measurement of endothelium-dependent vasodilation with substance p in man. Herz. 1992;17:284–290.</w:t>
      </w:r>
    </w:p>
    <w:p>
      <w:pPr>
        <w:pStyle w:val="BodyText"/>
      </w:pPr>
      <w:r>
        <w:t xml:space="preserve">[19]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[20] Wölbing F, Fischer J, Köberle M, et al. About the role and underlying mechanisms of cofactors in anaphylaxis. Allergy. 2013;n/a–n/a.</w:t>
      </w:r>
    </w:p>
    <w:p>
      <w:pPr>
        <w:pStyle w:val="BodyText"/>
      </w:pPr>
      <w:r>
        <w:t xml:space="preserve">[21]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[22] Fleg JL, O’connor F, Gerstenblith G, et al. Impact of age on the cardiovascular response to dynamic upright exercise in healthy men and women. Journal of Applied Physiology. 1995;78:890–900.</w:t>
      </w:r>
    </w:p>
    <w:p>
      <w:pPr>
        <w:pStyle w:val="BodyText"/>
      </w:pPr>
      <w:r>
        <w:t xml:space="preserve">[23]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[24]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[25] Dfaz JE, Roberts JR. Anaphylactic shock. Schweiz Rundsch Med Prax. 1995;84:1307–1313.</w:t>
      </w:r>
    </w:p>
    <w:p>
      <w:pPr>
        <w:pStyle w:val="BodyText"/>
      </w:pPr>
      <w:r>
        <w:t xml:space="preserve">[26] Simons FER, Ardusso LRF, Bilò MB, et al. World Allergy Organization Guidelines for the Assessment and Management of Anaphylaxis. World Allergy Organization Journal. 2011;4:13–36.</w:t>
      </w:r>
    </w:p>
    <w:p>
      <w:pPr>
        <w:pStyle w:val="BodyText"/>
      </w:pPr>
      <w:r>
        <w:t xml:space="preserve">[27] LIEBERMAN P, KEMP S, OPPENHEIMER J, et al. The diagnosis and management of anaphylaxis: An updated practice parameter. Journal of Allergy and Clinical Immunology. 2005;115:S483–S523.</w:t>
      </w:r>
    </w:p>
    <w:p>
      <w:pPr>
        <w:pStyle w:val="BodyText"/>
      </w:pPr>
      <w:r>
        <w:t xml:space="preserve">[28] Zaloga GP, Delacey W, Holmboe E, et al. Glucagon reversal of hypotension in a case of anaphylactoid shock. Annals of Internal Medicine. 1986;105:65–66.</w:t>
      </w:r>
    </w:p>
    <w:p>
      <w:pPr>
        <w:pStyle w:val="BodyText"/>
      </w:pPr>
      <w:r>
        <w:t xml:space="preserve">[29] Javeed N, Javeed H, Javeed S, et al. Refractory anaphylactoid shock potentiated by beta-blockers. 1996. pp. 383–384.</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009900" cy="30099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2.png" id="0" name="Picture"/>
                    <pic:cNvPicPr>
                      <a:picLocks noChangeArrowheads="1" noChangeAspect="1"/>
                    </pic:cNvPicPr>
                  </pic:nvPicPr>
                  <pic:blipFill>
                    <a:blip r:embed="rId59"/>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left"/>
            </w:pPr>
            <w:r>
              <w:t xml:space="preserve">female</w:t>
            </w:r>
          </w:p>
        </w:tc>
        <w:tc>
          <w:p>
            <w:pPr>
              <w:pStyle w:val="Compact"/>
              <w:jc w:val="right"/>
            </w:pPr>
            <w:r>
              <w:t xml:space="preserve">refractory</w:t>
            </w:r>
          </w:p>
        </w:tc>
        <w:tc>
          <w:p>
            <w:pPr>
              <w:pStyle w:val="Compact"/>
              <w:jc w:val="right"/>
            </w:pPr>
            <w:r>
              <w:t xml:space="preserve">22</w:t>
            </w:r>
          </w:p>
        </w:tc>
        <w:tc>
          <w:p>
            <w:pPr>
              <w:pStyle w:val="Compact"/>
              <w:jc w:val="right"/>
            </w:pPr>
            <w:r>
              <w:t xml:space="preserve">40</w:t>
            </w:r>
          </w:p>
        </w:tc>
        <w:tc>
          <w:p>
            <w:pPr>
              <w:pStyle w:val="Compact"/>
              <w:jc w:val="right"/>
            </w:pPr>
            <w:r>
              <w:t xml:space="preserve">31.818</w:t>
            </w:r>
          </w:p>
        </w:tc>
        <w:tc>
          <w:p>
            <w:pPr>
              <w:pStyle w:val="Compact"/>
              <w:jc w:val="right"/>
            </w:pPr>
            <w:r>
              <w:t xml:space="preserve">9.091</w:t>
            </w:r>
          </w:p>
        </w:tc>
        <w:tc>
          <w:p>
            <w:pPr>
              <w:pStyle w:val="Compact"/>
              <w:jc w:val="right"/>
            </w:pPr>
            <w:r>
              <w:t xml:space="preserve">13.636</w:t>
            </w:r>
          </w:p>
        </w:tc>
        <w:tc>
          <w:p>
            <w:pPr>
              <w:pStyle w:val="Compact"/>
              <w:jc w:val="right"/>
            </w:pPr>
            <w:r>
              <w:t xml:space="preserve">9.091</w:t>
            </w:r>
          </w:p>
        </w:tc>
        <w:tc>
          <w:p>
            <w:pPr>
              <w:pStyle w:val="Compact"/>
              <w:jc w:val="right"/>
            </w:pPr>
            <w:r>
              <w:t xml:space="preserve">0</w:t>
            </w:r>
          </w:p>
        </w:tc>
        <w:tc>
          <w:p>
            <w:pPr>
              <w:pStyle w:val="Compact"/>
              <w:jc w:val="right"/>
            </w:pPr>
            <w:r>
              <w:t xml:space="preserve">18.182</w:t>
            </w:r>
          </w:p>
        </w:tc>
        <w:tc>
          <w:p>
            <w:pPr>
              <w:pStyle w:val="Compact"/>
              <w:jc w:val="right"/>
            </w:pPr>
            <w:r>
              <w:t xml:space="preserve">5.225</w:t>
            </w:r>
          </w:p>
        </w:tc>
      </w:tr>
      <w:tr>
        <w:tc>
          <w:p>
            <w:pPr>
              <w:pStyle w:val="Compact"/>
              <w:jc w:val="left"/>
            </w:pPr>
            <w:r>
              <w:t xml:space="preserve">male</w:t>
            </w:r>
          </w:p>
        </w:tc>
        <w:tc>
          <w:p>
            <w:pPr>
              <w:pStyle w:val="Compact"/>
              <w:jc w:val="right"/>
            </w:pPr>
            <w:r>
              <w:t xml:space="preserve">refractory</w:t>
            </w:r>
          </w:p>
        </w:tc>
        <w:tc>
          <w:p>
            <w:pPr>
              <w:pStyle w:val="Compact"/>
              <w:jc w:val="right"/>
            </w:pPr>
            <w:r>
              <w:t xml:space="preserve">20</w:t>
            </w:r>
          </w:p>
        </w:tc>
        <w:tc>
          <w:p>
            <w:pPr>
              <w:pStyle w:val="Compact"/>
              <w:jc w:val="right"/>
            </w:pPr>
            <w:r>
              <w:t xml:space="preserve">43</w:t>
            </w:r>
          </w:p>
        </w:tc>
        <w:tc>
          <w:p>
            <w:pPr>
              <w:pStyle w:val="Compact"/>
              <w:jc w:val="right"/>
            </w:pPr>
            <w:r>
              <w:t xml:space="preserve">30</w:t>
            </w:r>
          </w:p>
        </w:tc>
        <w:tc>
          <w:p>
            <w:pPr>
              <w:pStyle w:val="Compact"/>
              <w:jc w:val="right"/>
            </w:pPr>
            <w:r>
              <w:t xml:space="preserve">15</w:t>
            </w:r>
          </w:p>
        </w:tc>
        <w:tc>
          <w:p>
            <w:pPr>
              <w:pStyle w:val="Compact"/>
              <w:jc w:val="right"/>
            </w:pPr>
            <w:r>
              <w:t xml:space="preserve">5</w:t>
            </w:r>
          </w:p>
        </w:tc>
        <w:tc>
          <w:p>
            <w:pPr>
              <w:pStyle w:val="Compact"/>
              <w:jc w:val="right"/>
            </w:pPr>
            <w:r>
              <w:t xml:space="preserve">5</w:t>
            </w:r>
          </w:p>
        </w:tc>
        <w:tc>
          <w:p>
            <w:pPr>
              <w:pStyle w:val="Compact"/>
              <w:jc w:val="right"/>
            </w:pPr>
            <w:r>
              <w:t xml:space="preserve">15</w:t>
            </w:r>
          </w:p>
        </w:tc>
        <w:tc>
          <w:p>
            <w:pPr>
              <w:pStyle w:val="Compact"/>
              <w:jc w:val="right"/>
            </w:pPr>
            <w:r>
              <w:t xml:space="preserve">5</w:t>
            </w:r>
          </w:p>
        </w:tc>
        <w:tc>
          <w:p>
            <w:pPr>
              <w:pStyle w:val="Compact"/>
              <w:jc w:val="right"/>
            </w:pPr>
            <w:r>
              <w:t xml:space="preserve">7.435</w:t>
            </w:r>
          </w:p>
        </w:tc>
      </w:tr>
      <w:tr>
        <w:tc>
          <w:p>
            <w:pPr>
              <w:pStyle w:val="Compact"/>
              <w:jc w:val="left"/>
            </w:pPr>
            <w:r>
              <w:t xml:space="preserve">female</w:t>
            </w:r>
          </w:p>
        </w:tc>
        <w:tc>
          <w:p>
            <w:pPr>
              <w:pStyle w:val="Compact"/>
              <w:jc w:val="right"/>
            </w:pPr>
            <w:r>
              <w:t xml:space="preserve">severe</w:t>
            </w:r>
          </w:p>
        </w:tc>
        <w:tc>
          <w:p>
            <w:pPr>
              <w:pStyle w:val="Compact"/>
              <w:jc w:val="right"/>
            </w:pPr>
            <w:r>
              <w:t xml:space="preserve">2421</w:t>
            </w:r>
          </w:p>
        </w:tc>
        <w:tc>
          <w:p>
            <w:pPr>
              <w:pStyle w:val="Compact"/>
              <w:jc w:val="right"/>
            </w:pPr>
            <w:r>
              <w:t xml:space="preserve">43.4</w:t>
            </w:r>
          </w:p>
        </w:tc>
        <w:tc>
          <w:p>
            <w:pPr>
              <w:pStyle w:val="Compact"/>
              <w:jc w:val="right"/>
            </w:pPr>
            <w:r>
              <w:t xml:space="preserve">20.57</w:t>
            </w:r>
          </w:p>
        </w:tc>
        <w:tc>
          <w:p>
            <w:pPr>
              <w:pStyle w:val="Compact"/>
              <w:jc w:val="right"/>
            </w:pPr>
            <w:r>
              <w:t xml:space="preserve">2.272</w:t>
            </w:r>
          </w:p>
        </w:tc>
        <w:tc>
          <w:p>
            <w:pPr>
              <w:pStyle w:val="Compact"/>
              <w:jc w:val="right"/>
            </w:pPr>
            <w:r>
              <w:t xml:space="preserve">5.37</w:t>
            </w:r>
          </w:p>
        </w:tc>
        <w:tc>
          <w:p>
            <w:pPr>
              <w:pStyle w:val="Compact"/>
              <w:jc w:val="right"/>
            </w:pPr>
            <w:r>
              <w:t xml:space="preserve">2.561</w:t>
            </w:r>
          </w:p>
        </w:tc>
        <w:tc>
          <w:p>
            <w:pPr>
              <w:pStyle w:val="Compact"/>
              <w:jc w:val="right"/>
            </w:pPr>
            <w:r>
              <w:t xml:space="preserve">2.189</w:t>
            </w:r>
          </w:p>
        </w:tc>
        <w:tc>
          <w:p>
            <w:pPr>
              <w:pStyle w:val="Compact"/>
              <w:jc w:val="right"/>
            </w:pPr>
            <w:r>
              <w:t xml:space="preserve">6.733</w:t>
            </w:r>
          </w:p>
        </w:tc>
        <w:tc>
          <w:p>
            <w:pPr>
              <w:pStyle w:val="Compact"/>
              <w:jc w:val="right"/>
            </w:pPr>
            <w:r>
              <w:t xml:space="preserve">4.3</w:t>
            </w:r>
          </w:p>
        </w:tc>
      </w:tr>
      <w:tr>
        <w:tc>
          <w:p>
            <w:pPr>
              <w:pStyle w:val="Compact"/>
              <w:jc w:val="left"/>
            </w:pPr>
            <w:r>
              <w:t xml:space="preserve">male</w:t>
            </w:r>
          </w:p>
        </w:tc>
        <w:tc>
          <w:p>
            <w:pPr>
              <w:pStyle w:val="Compact"/>
              <w:jc w:val="right"/>
            </w:pPr>
            <w:r>
              <w:t xml:space="preserve">severe</w:t>
            </w:r>
          </w:p>
        </w:tc>
        <w:tc>
          <w:p>
            <w:pPr>
              <w:pStyle w:val="Compact"/>
              <w:jc w:val="right"/>
            </w:pPr>
            <w:r>
              <w:t xml:space="preserve">2399</w:t>
            </w:r>
          </w:p>
        </w:tc>
        <w:tc>
          <w:p>
            <w:pPr>
              <w:pStyle w:val="Compact"/>
              <w:jc w:val="right"/>
            </w:pPr>
            <w:r>
              <w:t xml:space="preserve">40.2</w:t>
            </w:r>
          </w:p>
        </w:tc>
        <w:tc>
          <w:p>
            <w:pPr>
              <w:pStyle w:val="Compact"/>
              <w:jc w:val="right"/>
            </w:pPr>
            <w:r>
              <w:t xml:space="preserve">22.885</w:t>
            </w:r>
          </w:p>
        </w:tc>
        <w:tc>
          <w:p>
            <w:pPr>
              <w:pStyle w:val="Compact"/>
              <w:jc w:val="right"/>
            </w:pPr>
            <w:r>
              <w:t xml:space="preserve">3.585</w:t>
            </w:r>
          </w:p>
        </w:tc>
        <w:tc>
          <w:p>
            <w:pPr>
              <w:pStyle w:val="Compact"/>
              <w:jc w:val="right"/>
            </w:pPr>
            <w:r>
              <w:t xml:space="preserve">5.836</w:t>
            </w:r>
          </w:p>
        </w:tc>
        <w:tc>
          <w:p>
            <w:pPr>
              <w:pStyle w:val="Compact"/>
              <w:jc w:val="right"/>
            </w:pPr>
            <w:r>
              <w:t xml:space="preserve">2.543</w:t>
            </w:r>
          </w:p>
        </w:tc>
        <w:tc>
          <w:p>
            <w:pPr>
              <w:pStyle w:val="Compact"/>
              <w:jc w:val="right"/>
            </w:pPr>
            <w:r>
              <w:t xml:space="preserve">2.084</w:t>
            </w:r>
          </w:p>
        </w:tc>
        <w:tc>
          <w:p>
            <w:pPr>
              <w:pStyle w:val="Compact"/>
              <w:jc w:val="right"/>
            </w:pPr>
            <w:r>
              <w:t xml:space="preserve">6.253</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0.781</w:t>
            </w:r>
          </w:p>
        </w:tc>
        <w:tc>
          <w:p>
            <w:pPr>
              <w:pStyle w:val="Compact"/>
              <w:jc w:val="right"/>
            </w:pPr>
            <w:r>
              <w:t xml:space="preserve">0.897</w:t>
            </w:r>
          </w:p>
        </w:tc>
        <w:tc>
          <w:p>
            <w:pPr>
              <w:pStyle w:val="Compact"/>
              <w:jc w:val="right"/>
            </w:pPr>
            <w:r>
              <w:t xml:space="preserve">0.191</w:t>
            </w:r>
          </w:p>
        </w:tc>
        <w:tc>
          <w:p>
            <w:pPr>
              <w:pStyle w:val="Compact"/>
              <w:jc w:val="right"/>
            </w:pPr>
            <w:r>
              <w:t xml:space="preserve">0.07</w:t>
            </w:r>
          </w:p>
        </w:tc>
        <w:tc>
          <w:p>
            <w:pPr>
              <w:pStyle w:val="Compact"/>
              <w:jc w:val="right"/>
            </w:pPr>
            <w:r>
              <w:t xml:space="preserve">1</w:t>
            </w:r>
          </w:p>
        </w:tc>
        <w:tc>
          <w:p>
            <w:pPr>
              <w:pStyle w:val="Compact"/>
              <w:jc w:val="right"/>
            </w:pPr>
            <w:r>
              <w:t xml:space="preserve">0.099</w:t>
            </w:r>
          </w:p>
        </w:tc>
        <w:tc>
          <w:p>
            <w:pPr>
              <w:pStyle w:val="Compact"/>
              <w:jc w:val="right"/>
            </w:pPr>
            <w:r>
              <w:t xml:space="preserve">0.066</w:t>
            </w:r>
          </w:p>
        </w:tc>
        <w:tc>
          <w:p>
            <w:pPr>
              <w:pStyle w:val="Compact"/>
              <w:jc w:val="right"/>
            </w:pPr>
            <w:r>
              <w:t xml:space="preserve">0.2</w:t>
            </w:r>
          </w:p>
        </w:tc>
        <w:tc>
          <w:p>
            <w:pPr>
              <w:pStyle w:val="Compact"/>
              <w:jc w:val="right"/>
            </w:pPr>
            <w:r>
              <w:t xml:space="preserve">0.007</w:t>
            </w:r>
          </w:p>
        </w:tc>
      </w:tr>
    </w:tbl>
    <w:p>
      <w:pPr>
        <w:pStyle w:val="Heading5"/>
      </w:pPr>
      <w:bookmarkStart w:id="62" w:name="section-2"/>
      <w:bookmarkEnd w:id="62"/>
    </w:p>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1e-04</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1e-04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4.8</w:t>
            </w:r>
          </w:p>
        </w:tc>
        <w:tc>
          <w:p>
            <w:pPr>
              <w:pStyle w:val="Compact"/>
              <w:jc w:val="left"/>
            </w:pPr>
            <w:r>
              <w:t xml:space="preserve">3.4</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4.8</w:t>
            </w:r>
          </w:p>
        </w:tc>
        <w:tc>
          <w:p>
            <w:pPr>
              <w:pStyle w:val="Compact"/>
              <w:jc w:val="left"/>
            </w:pPr>
            <w:r>
              <w:t xml:space="preserve">6</w:t>
            </w:r>
          </w:p>
        </w:tc>
        <w:tc>
          <w:p>
            <w:pPr>
              <w:pStyle w:val="Compact"/>
              <w:jc w:val="left"/>
            </w:pPr>
            <w:r>
              <w:t xml:space="preserve">1e-04</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Heading5"/>
      </w:pPr>
      <w:bookmarkStart w:id="63" w:name="section-3"/>
      <w:bookmarkEnd w:id="63"/>
    </w:p>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0.004</w:t>
            </w:r>
          </w:p>
        </w:tc>
      </w:tr>
      <w:tr>
        <w:tc>
          <w:p>
            <w:pPr>
              <w:pStyle w:val="Compact"/>
              <w:jc w:val="left"/>
            </w:pPr>
            <w:r>
              <w:t xml:space="preserve">xray_cm</w:t>
            </w:r>
          </w:p>
        </w:tc>
        <w:tc>
          <w:p>
            <w:pPr>
              <w:pStyle w:val="Compact"/>
              <w:jc w:val="left"/>
            </w:pPr>
            <w:r>
              <w:t xml:space="preserve">0.954</w:t>
            </w:r>
          </w:p>
        </w:tc>
        <w:tc>
          <w:p>
            <w:pPr>
              <w:pStyle w:val="Compact"/>
              <w:jc w:val="left"/>
            </w:pPr>
            <w:r>
              <w:t xml:space="preserve">7.14</w:t>
            </w:r>
          </w:p>
        </w:tc>
        <w:tc>
          <w:p>
            <w:pPr>
              <w:pStyle w:val="Compact"/>
              <w:jc w:val="left"/>
            </w:pPr>
            <w:r>
              <w:t xml:space="preserve">0.008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 jacket</w:t>
            </w:r>
          </w:p>
        </w:tc>
        <w:tc>
          <w:p>
            <w:pPr>
              <w:pStyle w:val="Compact"/>
              <w:jc w:val="left"/>
            </w:pPr>
            <w:r>
              <w:t xml:space="preserve">33.3</w:t>
            </w:r>
          </w:p>
        </w:tc>
        <w:tc>
          <w:p>
            <w:pPr>
              <w:pStyle w:val="Compact"/>
              <w:jc w:val="left"/>
            </w:pPr>
            <w:r>
              <w:t xml:space="preserve">4.76</w:t>
            </w:r>
          </w:p>
        </w:tc>
        <w:tc>
          <w:p>
            <w:pPr>
              <w:pStyle w:val="Compact"/>
              <w:jc w:val="left"/>
            </w:pPr>
            <w:r>
              <w:t xml:space="preserve">1e-04</w:t>
            </w:r>
          </w:p>
        </w:tc>
      </w:tr>
    </w:tbl>
    <w:p>
      <w:pPr>
        <w:pStyle w:val="BodyText"/>
      </w:pPr>
      <w:r>
        <w:t xml:space="preserve">p-value derived from the Fisher exact test.</w:t>
      </w:r>
    </w:p>
    <w:p>
      <w:pPr>
        <w:pStyle w:val="Heading5"/>
      </w:pPr>
      <w:bookmarkStart w:id="64" w:name="section-4"/>
      <w:bookmarkEnd w:id="64"/>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0.005</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0.019</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1e-04</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1e-04</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0.002</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0.013</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1e-04</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1e-04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1e-04</w:t>
            </w:r>
          </w:p>
        </w:tc>
      </w:tr>
    </w:tbl>
    <w:p>
      <w:pPr>
        <w:pStyle w:val="Heading5"/>
      </w:pPr>
      <w:bookmarkStart w:id="65" w:name="section-5"/>
      <w:bookmarkEnd w:id="65"/>
    </w:p>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0.084</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1e-04</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1e-04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1e-04</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1e-04</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0.003</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1e-04</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0.002</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1e-04</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1e-04</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1e-04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1e-04</w:t>
            </w:r>
          </w:p>
        </w:tc>
      </w:tr>
    </w:tbl>
    <w:p>
      <w:pPr>
        <w:pStyle w:val="Heading5"/>
      </w:pPr>
      <w:bookmarkStart w:id="66" w:name="section-6"/>
      <w:bookmarkEnd w:id="66"/>
    </w:p>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0.008</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0.012</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1e-04</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1e-04</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0.015</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1e-04</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1e-04</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1b99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2018-09-18T07:54:50Z</dcterms:created>
  <dcterms:modified xsi:type="dcterms:W3CDTF">2018-09-18T07:54:50Z</dcterms:modified>
</cp:coreProperties>
</file>