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31</w:t>
      </w:r>
      <w:r>
        <w:t xml:space="preserve"> </w:t>
      </w:r>
      <w:r>
        <w:t xml:space="preserve">August,</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Based on this, its definition, prevalence, and risk factors are only vaguely described.</w:t>
      </w:r>
      <w:r>
        <w:br w:type="textWrapping"/>
      </w:r>
      <w:r>
        <w:t xml:space="preserve">Using the data from the European Anaphylaxis Registry (11596 cases in total) we were able to identify cases of refractory anaphylaxis (n = 42) and to analyse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(7.14% vs 4.02%, p = 0.241). The refractory cases occurred more frequently in a perioperative setting (45.2% vs. 9.05, p &lt; 0.0001). Intramuscular adrenaline (as a first line therapy) was administered in 16.7% of refractory cases, whereas in 83.3% of cases was given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low use of intramuscular adrenaline as a first line therapy might contribute to refractoriness of an episode. Also, the lack of suggested second line medication use in refractory cases indicate that the availability of these drugs is either restricted or anaphylaxis management guidelines may need to be revised to provide clear algorithms for severe refractory anaphylaxis.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[1]</w:t>
      </w:r>
      <w:r>
        <w:t xml:space="preserve"> </w:t>
      </w:r>
      <w:r>
        <w:t xml:space="preserve">which, after the treatment with at least 2 doses of minimum 300 mg adrenaline, does not respond with an expected normalization of clinical symptoms. Typical elicitors and symptoms of refractory anaphylaxis, as well as the therapeutic strategy for the most severe cases, differ from the usual reactions</w:t>
      </w:r>
      <w:r>
        <w:t xml:space="preserve"> </w:t>
      </w:r>
      <w:r>
        <w:t xml:space="preserve">[2]</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[3]</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[1]</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[4]</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[5]</w:t>
      </w:r>
      <w:r>
        <w:t xml:space="preserve">. Simple comparison of nominal variables was performed using Fischer’s exact test, continous variables were analysed using Mann-Whithney U test. We defined statistical significance as α = 0.05. Data along with the analysis script can be accessed at 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often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ardiopulmonary resuscitation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it has been also given more often as a second line therapy in refractory cases.</w:t>
      </w:r>
      <w:r>
        <w:t xml:space="preserve"> </w:t>
      </w:r>
      <w:r>
        <w:t xml:space="preserve">Median time to the second dose of adrenaline was also shorter in refractory cases (2 minutes vs. 15 minutes in non-refractory cases, p = 2.25</w:t>
      </w:r>
      <w:r>
        <w:t xml:space="preserve">10^{-5}).</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but was sustained only in 19% as the therapy progressed in the hospital environment.</w:t>
      </w:r>
      <w:r>
        <w:t xml:space="preserve"> </w:t>
      </w:r>
    </w:p>
    <w:p>
      <w:pPr>
        <w:pStyle w:val="BodyText"/>
      </w:pPr>
      <w:r>
        <w:t xml:space="preserve">Second line medication like dopamine, glucagon and methylene blue were neglected in all refractory anaphylaxis cases as well as in severe non-refractory ones, however patients with refractory anaphylaxis were more frequently admitted to the hospital and treated at the ICUs.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 past.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used proton pump inhibitors (PPI) and acetylsalicilic acid (ASA) than patients with severe non-refractory anaphylaxis. Other (not specified) medications were also more frequent in refractory cases.</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[6]</w:t>
      </w:r>
      <w:r>
        <w:t xml:space="preserve">. Such cases have the highest risk of a fatal outcome, and therefore need to be treated accordingly.</w:t>
      </w:r>
    </w:p>
    <w:p>
      <w:pPr>
        <w:pStyle w:val="BodyText"/>
      </w:pPr>
      <w:r>
        <w:t xml:space="preserve">Overall, the severity of anaphylaxis and its probable transition into a refractory episode might be described as in the figure</w:t>
      </w:r>
      <w:r>
        <w:t xml:space="preserve"> </w:t>
      </w:r>
      <w:r>
        <w:t xml:space="preserve">2</w:t>
      </w:r>
      <w:r>
        <w:t xml:space="preserve">. Patients who undergo anaphylaxis have four main aspects that influence the severity of a particular episode: 1) compensation - how well is the body able to compensate reaction symptoms e.g. hypotension; 2) elicitors - what was the eliciting agent and duration of the exposition; 3) cofactors - is the presence of other factors which may increase the severity of a given reaction i.e. concomitant use of betablocker etc.; 4) therapy - how fast and accurately the therapeutic procedures were introduced.</w:t>
      </w:r>
      <w:r>
        <w:br w:type="textWrapping"/>
      </w:r>
    </w:p>
    <w:p>
      <w:pPr>
        <w:pStyle w:val="Heading2"/>
      </w:pPr>
      <w:bookmarkStart w:id="34" w:name="symptom-compensation"/>
      <w:bookmarkEnd w:id="34"/>
      <w:r>
        <w:t xml:space="preserve">Symptom compensation</w:t>
      </w:r>
    </w:p>
    <w:p>
      <w:pPr>
        <w:pStyle w:val="FirstParagraph"/>
      </w:pPr>
      <w:r>
        <w:t xml:space="preserve">Age is the most important factor influencing the risk of developing severe anaphylaxis</w:t>
      </w:r>
      <w:r>
        <w:t xml:space="preserve"> </w:t>
      </w:r>
      <w:r>
        <w:t xml:space="preserve">[4]</w:t>
      </w:r>
      <w:r>
        <w:t xml:space="preserve">. It has been shown that older age may correlate with the decreased abillity to retain homeostasis on increased strain</w:t>
      </w:r>
      <w:r>
        <w:t xml:space="preserve"> </w:t>
      </w:r>
      <w:r>
        <w:t xml:space="preserve">[7]</w:t>
      </w:r>
      <w:r>
        <w:t xml:space="preserve">.</w:t>
      </w:r>
      <w:r>
        <w:t xml:space="preserve"> </w:t>
      </w:r>
      <w:r>
        <w:t xml:space="preserve">Patients who underwent refractory anahpylaxis more often had perioperative reactions and therefore a decreased ablity to compensate the reaction symptoms with reflexory renal or cardiopulmonary response</w:t>
      </w:r>
      <w:r>
        <w:t xml:space="preserve"> </w:t>
      </w:r>
      <w:r>
        <w:t xml:space="preserve">[8]</w:t>
      </w:r>
      <w:r>
        <w:t xml:space="preserve">.</w:t>
      </w:r>
    </w:p>
    <w:p>
      <w:pPr>
        <w:pStyle w:val="Heading2"/>
      </w:pPr>
      <w:bookmarkStart w:id="35" w:name="elicitors"/>
      <w:bookmarkEnd w:id="35"/>
      <w:r>
        <w:t xml:space="preserve">Elicitors</w:t>
      </w:r>
    </w:p>
    <w:p>
      <w:pPr>
        <w:pStyle w:val="FirstParagraph"/>
      </w:pPr>
      <w:r>
        <w:t xml:space="preserve">Drugs were the most commonly occurring elicitor, what is in concordance with our previous findings</w:t>
      </w:r>
      <w:r>
        <w:t xml:space="preserve"> </w:t>
      </w:r>
      <w:r>
        <w:t xml:space="preserve">[2]</w:t>
      </w:r>
      <w:r>
        <w:t xml:space="preserve">. Multiple medications given in a perioperative setting increase the chance of a hypersensitivity reaction and drug interactions</w:t>
      </w:r>
      <w:r>
        <w:t xml:space="preserve"> </w:t>
      </w:r>
      <w:r>
        <w:t xml:space="preserve">[9]</w:t>
      </w:r>
      <w:r>
        <w:t xml:space="preserve">. Therefore patients who undergo medical procedures and have a history of anaphylaxis should remain under extraordinary caution.</w:t>
      </w:r>
    </w:p>
    <w:p>
      <w:pPr>
        <w:pStyle w:val="BodyText"/>
      </w:pPr>
      <w:r>
        <w:t xml:space="preserve">Antibiotics, although commonly triggering pseudoallergic reactions</w:t>
      </w:r>
      <w:r>
        <w:t xml:space="preserve">[10]</w:t>
      </w:r>
      <w:r>
        <w:t xml:space="preserve">, are rarely reported in the literature as the cause of a refractory anaphylaxis. We saw multiple refractory reactions to antibiotics and since literature describes symptomatically identical pseudoallergic drug reactions to anaphylaxis</w:t>
      </w:r>
      <w:r>
        <w:t xml:space="preserve"> </w:t>
      </w:r>
      <w:r>
        <w:t xml:space="preserve">[11]</w:t>
      </w:r>
      <w:r>
        <w:t xml:space="preserve"> </w:t>
      </w:r>
      <w:r>
        <w:t xml:space="preserve">it would be only possible to identify these patients after investigating their specific mast cell receptors</w:t>
      </w:r>
      <w:r>
        <w:t xml:space="preserve"> </w:t>
      </w:r>
      <w:r>
        <w:t xml:space="preserve">[12]</w:t>
      </w:r>
      <w:r>
        <w:t xml:space="preserve">.</w:t>
      </w:r>
    </w:p>
    <w:p>
      <w:pPr>
        <w:pStyle w:val="BodyText"/>
      </w:pPr>
      <w:r>
        <w:t xml:space="preserve">RCM however, commonly elicit hypersensitivity episodes refractory to adrenaline and are responsible for 1-5 deaths per 100,000 administrations</w:t>
      </w:r>
      <w:r>
        <w:t xml:space="preserve"> </w:t>
      </w:r>
      <w:r>
        <w:t xml:space="preserve">[13]</w:t>
      </w:r>
      <w:r>
        <w:t xml:space="preserve">. We previously saw RCM to be the most frequent elicitor of refractory anaphylaxis</w:t>
      </w:r>
      <w:r>
        <w:t xml:space="preserve"> </w:t>
      </w:r>
      <w:r>
        <w:t xml:space="preserve">[2]</w:t>
      </w:r>
      <w:r>
        <w:t xml:space="preserve">. One of the plausible explanation to this is that RCM promote complement activation related pseudo allergy (CARPA)</w:t>
      </w:r>
      <w:r>
        <w:t xml:space="preserve"> </w:t>
      </w:r>
      <w:r>
        <w:t xml:space="preserve">[14]</w:t>
      </w:r>
      <w:r>
        <w:t xml:space="preserve">, and therfore the treatment with adrenaline may be less effective in these reactions.</w:t>
      </w:r>
    </w:p>
    <w:p>
      <w:pPr>
        <w:pStyle w:val="BodyText"/>
      </w:pPr>
      <w:r>
        <w:t xml:space="preserve">There were also relatively less refractory cases elicited by yellow-jacket-stings (but not bee-stings). It means that the ratio of yellow jacket to honey bee venom elicited anaphylaxis was inverted in the refractory group. Plausible explanations for this observation might include either longer exposition to the allergen (bee’s sting remains in the skin) or the venom volume being 10 times higher than in a wasp sting. Patients should remove the bee sting as quickly as possible (optimal &lt; 2 seconds)</w:t>
      </w:r>
      <w:r>
        <w:t xml:space="preserve"> </w:t>
      </w:r>
      <w:r>
        <w:t xml:space="preserve">[15]</w:t>
      </w:r>
      <w:r>
        <w:t xml:space="preserve">.</w:t>
      </w:r>
    </w:p>
    <w:p>
      <w:pPr>
        <w:pStyle w:val="BodyText"/>
      </w:pPr>
      <w:r>
        <w:t xml:space="preserve">Strikingly, the drugs which were most often reported in patients with refractory anaphylaxis usually elicit pseudoallergic reactions (eg. CARPA or MARPA), meaning that a big part of the refractory cases might not be classically associated with a type I hypersensitivity. This could explain why the therapy of anaphylaxis in these patients was refractory.</w:t>
      </w:r>
    </w:p>
    <w:p>
      <w:pPr>
        <w:pStyle w:val="Heading2"/>
      </w:pPr>
      <w:bookmarkStart w:id="36" w:name="risk-factors"/>
      <w:bookmarkEnd w:id="36"/>
      <w:r>
        <w:t xml:space="preserve">Risk factors</w:t>
      </w:r>
    </w:p>
    <w:p>
      <w:pPr>
        <w:pStyle w:val="FirstParagraph"/>
      </w:pPr>
      <w:r>
        <w:t xml:space="preserve">Although we have previously identified older age and male sex to be associated with more severe anaphylaxis</w:t>
      </w:r>
      <w:r>
        <w:t xml:space="preserve"> </w:t>
      </w:r>
      <w:r>
        <w:t xml:space="preserve">[4]</w:t>
      </w:r>
      <w:r>
        <w:t xml:space="preserve">, these factors seem to be less important when refractory anaphylaxis is considered. Asthma and malignant diseases in the medical history were more frequent in the refractory anaphylaxis group and the reason for this is unclear. It is however interesting that past malignant diseases were mostly recognized in male refractory anaphylaxis patients.</w:t>
      </w:r>
    </w:p>
    <w:p>
      <w:pPr>
        <w:pStyle w:val="BodyText"/>
      </w:pPr>
      <w:r>
        <w:t xml:space="preserve">Literature describes many cases of hypersenitivity due to cancer drugs, but malignancy in medical history has never been previously associated with severe anaphylaxis.</w:t>
      </w:r>
      <w:r>
        <w:t xml:space="preserve"> </w:t>
      </w:r>
    </w:p>
    <w:p>
      <w:pPr>
        <w:pStyle w:val="BodyText"/>
      </w:pPr>
      <w:r>
        <w:t xml:space="preserve">It might be possible that patients with reported malignancies were simply older (mean age of 34.5755385 vs 58.2538655 p &lt;</w:t>
      </w:r>
      <w:r>
        <w:t xml:space="preserve"> </w:t>
      </w:r>
      <w:r>
        <w:t xml:space="preserve"> </w:t>
      </w:r>
      <w:r>
        <w:t xml:space="preserve">0.001) and therefore less able to compensate the anaphylactic shock.</w:t>
      </w:r>
    </w:p>
    <w:p>
      <w:pPr>
        <w:pStyle w:val="BodyText"/>
      </w:pPr>
      <w:r>
        <w:t xml:space="preserve">We previously saw that concomitant asthma was rather associated with less severe anaphylaxis</w:t>
      </w:r>
      <w:r>
        <w:t xml:space="preserve"> </w:t>
      </w:r>
      <w:r>
        <w:t xml:space="preserve">[4]</w:t>
      </w:r>
      <w:r>
        <w:t xml:space="preserve"> </w:t>
      </w:r>
      <w:r>
        <w:t xml:space="preserve">but the present analyss indicated concomitant asthma as a risk factor for a refractory episode. It is possible that the refractory episode elicits a bronchospasm that is refractory to adrenaline and therefore results in a prolonged anaphylactic episode. This would also clarify why we saw more respiratory distress symptoms in the refractory anaphylaxis cases.</w:t>
      </w:r>
    </w:p>
    <w:p>
      <w:pPr>
        <w:pStyle w:val="BodyText"/>
      </w:pPr>
      <w:r>
        <w:t xml:space="preserve">Psychological stress in temporal proximity to the reaction might increase the severity of the reaction as we previously reported</w:t>
      </w:r>
      <w:r>
        <w:t xml:space="preserve"> </w:t>
      </w:r>
      <w:r>
        <w:t xml:space="preserve">[4]</w:t>
      </w:r>
      <w:r>
        <w:t xml:space="preserve">. Until now the plausible explanation for this observation is lacking, and its further investigation is warranted.</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[16]</w:t>
      </w:r>
      <w:r>
        <w:t xml:space="preserve">, and there are reports on PPI as elicitors of anaphylaxis</w:t>
      </w:r>
      <w:r>
        <w:t xml:space="preserve"> </w:t>
      </w:r>
      <w:r>
        <w:t xml:space="preserve">[17]</w:t>
      </w:r>
      <w:r>
        <w:t xml:space="preserve">. We saw a significantly higher rate of PPI intake in the refractory anaphylaxis group but its mechanistic contribution to the increase in severity of an episode or being responsible for its refractoriness cannot be estimated based on this observation.</w:t>
      </w:r>
    </w:p>
    <w:p>
      <w:pPr>
        <w:pStyle w:val="Heading2"/>
      </w:pPr>
      <w:bookmarkStart w:id="37" w:name="therapy"/>
      <w:bookmarkEnd w:id="37"/>
      <w:r>
        <w:t xml:space="preserve">Therapy</w:t>
      </w:r>
    </w:p>
    <w:p>
      <w:pPr>
        <w:pStyle w:val="FirstParagraph"/>
      </w:pPr>
      <w:r>
        <w:t xml:space="preserve">Adrenaline i.v. as first-line therapy use was higher in the refractory cases, probably due to most of them happening in a medical setting, however, other second-line therapeutic options were rarely used. Methylene blue and vasopressors have been described to successfully restore refractory hypotension and recommended by managment guidelines</w:t>
      </w:r>
      <w:r>
        <w:t xml:space="preserve"> </w:t>
      </w:r>
      <w:r>
        <w:t xml:space="preserve">[6]</w:t>
      </w:r>
      <w:r>
        <w:t xml:space="preserve">, but their actual use in anaphylaxis patients is scarce. Grabenhenrich et al.</w:t>
      </w:r>
      <w:r>
        <w:t xml:space="preserve"> </w:t>
      </w:r>
      <w:r>
        <w:t xml:space="preserve">[18]</w:t>
      </w:r>
      <w:r>
        <w:t xml:space="preserve"> </w:t>
      </w:r>
      <w:r>
        <w:t xml:space="preserve">recently evaluated the epinephrine use in anaphylaxis patients and concluded that, even in this state of the art drug, large discrepancies between recommenden use and actual treatment practice exist. Therefore, more effort needs to be dedicated to promoting and developing the consensus guidelenes as practically as possiblle in order to increasing adherence.</w:t>
      </w:r>
    </w:p>
    <w:p>
      <w:pPr>
        <w:pStyle w:val="Heading2"/>
      </w:pPr>
      <w:bookmarkStart w:id="38" w:name="limitations-and-strength"/>
      <w:bookmarkEnd w:id="38"/>
      <w:r>
        <w:t xml:space="preserve">Limitations and strength</w:t>
      </w:r>
    </w:p>
    <w:p>
      <w:pPr>
        <w:pStyle w:val="FirstParagraph"/>
      </w:pPr>
      <w:r>
        <w:t xml:space="preserve">Low number of refractory cases prevented us from analyzing the data with more advanced statistical models, however, our analysis is the first published report on over 30 refractory anaphylaxis cases.</w:t>
      </w:r>
    </w:p>
    <w:p>
      <w:pPr>
        <w:pStyle w:val="BodyText"/>
      </w:pPr>
      <w:r>
        <w:t xml:space="preserve">Definition of refractory anaphylaxis is not universal, and confirming the refractory anaphylaxis based on the answers to our online questionnaire poses additional difficulties.</w:t>
      </w:r>
      <w:r>
        <w:t xml:space="preserve"> </w:t>
      </w:r>
      <w:r>
        <w:t xml:space="preserve">If a fatal reaction occurs before the second dose of adrenaline could be administered to the patient - it cannot be diagnosed as refractory (as we defined at least two doses of minimum 300 µg adrenaline) although it as well could be refractory.</w:t>
      </w:r>
    </w:p>
    <w:p>
      <w:pPr>
        <w:pStyle w:val="BodyText"/>
      </w:pPr>
      <w:r>
        <w:t xml:space="preserve">Comparison of refractory anaphylaxis to patients with severe anaphylaxis gave us the possibility to describe which patients have a higher risk of developing a refractory episode, however we can not answer the question which patients have the higher risk of developing anaphylaxis per se.</w:t>
      </w:r>
    </w:p>
    <w:p>
      <w:pPr>
        <w:pStyle w:val="Heading2"/>
      </w:pPr>
      <w:bookmarkStart w:id="39" w:name="conclusion"/>
      <w:bookmarkEnd w:id="39"/>
      <w:r>
        <w:t xml:space="preserve">Conclusion</w:t>
      </w:r>
    </w:p>
    <w:p>
      <w:pPr>
        <w:pStyle w:val="FirstParagraph"/>
      </w:pPr>
      <w:r>
        <w:t xml:space="preserve">Refractory anaphylaxis is a rare form of life-threatening hypersensitivity reaction with high mortality. Its elicitors and cofactors differ from other anaphylaxis cases, and the managment of refractory anaphylaxis needs to improve.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[2] Francuzik W, Dölle S, Worm M. Risk factors and treatment of refractory anaphylaxis-a review of case reports. Expert review of clinical immunology. 2018;14:307–314.</w:t>
      </w:r>
    </w:p>
    <w:p>
      <w:pPr>
        <w:pStyle w:val="BodyText"/>
      </w:pPr>
      <w:r>
        <w:t xml:space="preserve">[3] Grabenhenrich LB, Dölle S, Moneret-Vautrin A, et al. Anaphylaxis in children and adolescents: The european anaphylaxis registry. Journal of Allergy and Clinical Immunology. 2016;137:1128–1137.e1.</w:t>
      </w:r>
    </w:p>
    <w:p>
      <w:pPr>
        <w:pStyle w:val="BodyText"/>
      </w:pPr>
      <w:r>
        <w:t xml:space="preserve">[4] Worm M, Francuzik W, Renaudin J-M, et al. Factors increasing the risk for a severe reaction in anaphylaxis: An analysis of data from the european anaphylaxis registry. Allergy. 2018;</w:t>
      </w:r>
    </w:p>
    <w:p>
      <w:pPr>
        <w:pStyle w:val="BodyText"/>
      </w:pPr>
      <w:r>
        <w:t xml:space="preserve">[5] R Core Team. R: A language and environment for statistical computing. Vienna, Austria: R Foundation for Statistical Computing; 2017.</w:t>
      </w:r>
    </w:p>
    <w:p>
      <w:pPr>
        <w:pStyle w:val="BodyText"/>
      </w:pPr>
      <w:r>
        <w:t xml:space="preserve">[6] Muraro A, Roberts G, Worm M, et al. Anaphylaxis: Guidelines from the european academy of allergy and clinical immunology. Allergy. 2014;69:1026–1045.</w:t>
      </w:r>
    </w:p>
    <w:p>
      <w:pPr>
        <w:pStyle w:val="BodyText"/>
      </w:pPr>
      <w:r>
        <w:t xml:space="preserve">[7] Fleg JL, O’connor F, Gerstenblith G, et al. Impact of age on the cardiovascular response to dynamic upright exercise in healthy men and women. Journal of Applied Physiology. 1995;78:890–900.</w:t>
      </w:r>
    </w:p>
    <w:p>
      <w:pPr>
        <w:pStyle w:val="BodyText"/>
      </w:pPr>
      <w:r>
        <w:t xml:space="preserve">[8] Rogers KMA, Mccutcheon K. Understanding arterial blood gases. Journal of Perioperative Practice [Internet]. 2013;23:191–197. Available from:</w:t>
      </w:r>
      <w:r>
        <w:t xml:space="preserve"> </w:t>
      </w:r>
      <w:hyperlink r:id="rId43">
        <w:r>
          <w:rPr>
            <w:rStyle w:val="Hyperlink"/>
          </w:rPr>
          <w:t xml:space="preserve">https://doi.org/10.1177/175045891302300903</w:t>
        </w:r>
      </w:hyperlink>
      <w:r>
        <w:t xml:space="preserve">.</w:t>
      </w:r>
    </w:p>
    <w:p>
      <w:pPr>
        <w:pStyle w:val="BodyText"/>
      </w:pPr>
      <w:r>
        <w:t xml:space="preserve">[9] Ebo DG, Fisher MM, Hagendorens MM, et al. Anaphylaxis during anaesthesia: Diagnostic approach. Allergy [Internet]. 2007;62:471–487. Available from:</w:t>
      </w:r>
      <w:r>
        <w:t xml:space="preserve"> </w:t>
      </w:r>
      <w:hyperlink r:id="rId44">
        <w:r>
          <w:rPr>
            <w:rStyle w:val="Hyperlink"/>
          </w:rPr>
          <w:t xml:space="preserve">https://doi.org/10.1111/j.1398-9995.2007.01347.x</w:t>
        </w:r>
      </w:hyperlink>
      <w:r>
        <w:t xml:space="preserve">.</w:t>
      </w:r>
    </w:p>
    <w:p>
      <w:pPr>
        <w:pStyle w:val="BodyText"/>
      </w:pPr>
      <w:r>
        <w:t xml:space="preserve">[10] Saxon A. Immediate hypersensitivity reactions to</w:t>
      </w:r>
      <w:r>
        <w:t xml:space="preserve"> </w:t>
      </w:r>
      <m:oMath>
        <m:r>
          <m:t>β</m:t>
        </m:r>
      </m:oMath>
      <w:r>
        <w:t xml:space="preserve">-lactam antibiotics. Reviews of Infectious Diseases. 1983;5:S368–S379.</w:t>
      </w:r>
    </w:p>
    <w:p>
      <w:pPr>
        <w:pStyle w:val="BodyText"/>
      </w:pPr>
      <w:r>
        <w:t xml:space="preserve">[11] Subramanian H, Gupta K, Ali H. Roles of mas-related g protein–coupled receptor x2 on mast cell–mediated host defense, pseudoallergic drug reactions, and chronic inflammatory diseases. Journal of Allergy and Clinical Immunology. 2016;138:700–710.</w:t>
      </w:r>
    </w:p>
    <w:p>
      <w:pPr>
        <w:pStyle w:val="BodyText"/>
      </w:pPr>
      <w:r>
        <w:t xml:space="preserve">[12] McNeil BD, Pundir P, Meeker S, et al. Identification of a mast-cell-specific receptor crucial for pseudo-allergic drug reactions. Nature. 2015;519:237.</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5">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6">
        <w:r>
          <w:rPr>
            <w:rStyle w:val="Hyperlink"/>
          </w:rPr>
          <w:t xml:space="preserve">https://doi.org/10.1016/s0140-6736(96)01367-0</w:t>
        </w:r>
      </w:hyperlink>
      <w:r>
        <w:t xml:space="preserve">.</w:t>
      </w:r>
    </w:p>
    <w:p>
      <w:pPr>
        <w:pStyle w:val="BodyText"/>
      </w:pPr>
      <w:r>
        <w:t xml:space="preserve">[16] Wölbing F, Fischer J, Köberle M, et al. About the role and underlying mechanisms of cofactors in anaphylaxis. Allergy. 2013;n/a–n/a.</w:t>
      </w:r>
    </w:p>
    <w:p>
      <w:pPr>
        <w:pStyle w:val="BodyText"/>
      </w:pPr>
      <w:r>
        <w:t xml:space="preserve">[17] Natsch S, Vinks MH, Voogt AK, et al. Anaphylactic reactions to proton-pump inhibitors. Annals of Pharmacotherapy [Internet]. 2000;34:474–476. Available from:</w:t>
      </w:r>
      <w:r>
        <w:t xml:space="preserve"> </w:t>
      </w:r>
      <w:hyperlink r:id="rId47">
        <w:r>
          <w:rPr>
            <w:rStyle w:val="Hyperlink"/>
          </w:rPr>
          <w:t xml:space="preserve">https://doi.org/10.1345/aph.19235</w:t>
        </w:r>
      </w:hyperlink>
      <w:r>
        <w:t xml:space="preserve">.</w:t>
      </w:r>
    </w:p>
    <w:p>
      <w:pPr>
        <w:pStyle w:val="BodyText"/>
      </w:pPr>
      <w:r>
        <w:t xml:space="preserve">[18] Grabenhenrich LB, Dölle S, Ruëff F, et al. Epinephrine in severe allergic reactions: The european anaphylaxis register. The Journal of Allergy and Clinical Immunology: In Practice [Internet]. 2018; Available from:</w:t>
      </w:r>
      <w:r>
        <w:t xml:space="preserve"> </w:t>
      </w:r>
      <w:hyperlink r:id="rId48">
        <w:r>
          <w:rPr>
            <w:rStyle w:val="Hyperlink"/>
          </w:rPr>
          <w:t xml:space="preserve">https://doi.org/10.1016/j.jaip.2018.02.026</w:t>
        </w:r>
      </w:hyperlink>
      <w:r>
        <w:t xml:space="preserve">.</w:t>
      </w:r>
    </w:p>
    <w:p>
      <w:pPr>
        <w:pStyle w:val="Heading5"/>
      </w:pPr>
      <w:bookmarkStart w:id="49" w:name="pagebreak-1"/>
      <w:bookmarkEnd w:id="49"/>
      <w:r>
        <w:t xml:space="preserve">pagebreak</w:t>
      </w:r>
    </w:p>
    <w:p>
      <w:pPr>
        <w:pStyle w:val="Heading1"/>
      </w:pPr>
      <w:bookmarkStart w:id="50" w:name="figures"/>
      <w:bookmarkEnd w:id="50"/>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1"/>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FigureWithCaption"/>
      </w:pPr>
      <w:r>
        <w:drawing>
          <wp:inline>
            <wp:extent cx="3797300" cy="3467100"/>
            <wp:effectExtent b="0" l="0" r="0" t="0"/>
            <wp:docPr descr="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 title="" id="1" name="Picture"/>
            <a:graphic>
              <a:graphicData uri="http://schemas.openxmlformats.org/drawingml/2006/picture">
                <pic:pic>
                  <pic:nvPicPr>
                    <pic:cNvPr descr="../figures/diag.png" id="0" name="Picture"/>
                    <pic:cNvPicPr>
                      <a:picLocks noChangeArrowheads="1" noChangeAspect="1"/>
                    </pic:cNvPicPr>
                  </pic:nvPicPr>
                  <pic:blipFill>
                    <a:blip r:embed="rId52"/>
                    <a:stretch>
                      <a:fillRect/>
                    </a:stretch>
                  </pic:blipFill>
                  <pic:spPr bwMode="auto">
                    <a:xfrm>
                      <a:off x="0" y="0"/>
                      <a:ext cx="3797300" cy="34671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 to restore homeostasis to a patient by whom elicitors and cofactors influence synergistically the severity of a given episode.</w:t>
      </w:r>
    </w:p>
    <w:p>
      <w:pPr>
        <w:pStyle w:val="Heading1"/>
      </w:pPr>
      <w:bookmarkStart w:id="53" w:name="tables"/>
      <w:bookmarkEnd w:id="53"/>
      <w:r>
        <w:t xml:space="preserve">Tables</w:t>
      </w:r>
    </w:p>
    <w:p>
      <w:pPr>
        <w:pStyle w:val="TableCaption"/>
      </w:pPr>
      <w:r>
        <w:t xml:space="preserve">Table 1 Summary of the refractory anaphylaxis cases. Age is represented by a mean value, other as fractions [%]. DM - diabetes mellitus</w:t>
      </w:r>
    </w:p>
    <w:tbl>
      <w:tblPr>
        <w:tblStyle w:val="TableNormal"/>
        <w:tblW w:type="pct" w:w="0.0"/>
        <w:tblLook w:firstRow="1"/>
        <w:tblCaption w:val="Table 1 Summary of the refractory anaphylaxis cases. Age is represented by a mean value, other as fractions [%]. DM - diabetes mellitu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32</w:t>
            </w:r>
          </w:p>
        </w:tc>
        <w:tc>
          <w:p>
            <w:pPr>
              <w:pStyle w:val="Compact"/>
              <w:jc w:val="left"/>
            </w:pPr>
            <w:r>
              <w:t xml:space="preserve">9</w:t>
            </w:r>
          </w:p>
        </w:tc>
        <w:tc>
          <w:p>
            <w:pPr>
              <w:pStyle w:val="Compact"/>
              <w:jc w:val="left"/>
            </w:pPr>
            <w:r>
              <w:t xml:space="preserve">14</w:t>
            </w:r>
          </w:p>
        </w:tc>
        <w:tc>
          <w:p>
            <w:pPr>
              <w:pStyle w:val="Compact"/>
              <w:jc w:val="left"/>
            </w:pPr>
            <w:r>
              <w:t xml:space="preserve">9</w:t>
            </w:r>
          </w:p>
        </w:tc>
        <w:tc>
          <w:p>
            <w:pPr>
              <w:pStyle w:val="Compact"/>
              <w:jc w:val="left"/>
            </w:pPr>
            <w:r>
              <w:t xml:space="preserve">0</w:t>
            </w:r>
          </w:p>
        </w:tc>
        <w:tc>
          <w:p>
            <w:pPr>
              <w:pStyle w:val="Compact"/>
              <w:jc w:val="left"/>
            </w:pPr>
            <w:r>
              <w:t xml:space="preserve">18</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21</w:t>
            </w:r>
          </w:p>
        </w:tc>
        <w:tc>
          <w:p>
            <w:pPr>
              <w:pStyle w:val="Compact"/>
              <w:jc w:val="left"/>
            </w:pPr>
            <w:r>
              <w:t xml:space="preserve">2</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7</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23</w:t>
            </w:r>
          </w:p>
        </w:tc>
        <w:tc>
          <w:p>
            <w:pPr>
              <w:pStyle w:val="Compact"/>
              <w:jc w:val="left"/>
            </w:pPr>
            <w:r>
              <w:t xml:space="preserve">4</w:t>
            </w:r>
          </w:p>
        </w:tc>
        <w:tc>
          <w:p>
            <w:pPr>
              <w:pStyle w:val="Compact"/>
              <w:jc w:val="left"/>
            </w:pPr>
            <w:r>
              <w:t xml:space="preserve">6</w:t>
            </w:r>
          </w:p>
        </w:tc>
        <w:tc>
          <w:p>
            <w:pPr>
              <w:pStyle w:val="Compact"/>
              <w:jc w:val="left"/>
            </w:pPr>
            <w:r>
              <w:t xml:space="preserve">3</w:t>
            </w:r>
          </w:p>
        </w:tc>
        <w:tc>
          <w:p>
            <w:pPr>
              <w:pStyle w:val="Compact"/>
              <w:jc w:val="left"/>
            </w:pPr>
            <w:r>
              <w:t xml:space="preserve">2</w:t>
            </w:r>
          </w:p>
        </w:tc>
        <w:tc>
          <w:p>
            <w:pPr>
              <w:pStyle w:val="Compact"/>
              <w:jc w:val="left"/>
            </w:pPr>
            <w:r>
              <w:t xml:space="preserve">6</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5</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5</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0.00388</w:t>
            </w:r>
          </w:p>
        </w:tc>
      </w:tr>
      <w:tr>
        <w:tc>
          <w:p>
            <w:pPr>
              <w:pStyle w:val="Compact"/>
              <w:jc w:val="left"/>
            </w:pPr>
            <w:r>
              <w:t xml:space="preserve">xray_cm</w:t>
            </w:r>
          </w:p>
        </w:tc>
        <w:tc>
          <w:p>
            <w:pPr>
              <w:pStyle w:val="Compact"/>
              <w:jc w:val="left"/>
            </w:pPr>
            <w:r>
              <w:t xml:space="preserve">0.954</w:t>
            </w:r>
          </w:p>
        </w:tc>
        <w:tc>
          <w:p>
            <w:pPr>
              <w:pStyle w:val="Compact"/>
              <w:jc w:val="left"/>
            </w:pPr>
            <w:r>
              <w:t xml:space="preserve">7.14</w:t>
            </w:r>
          </w:p>
        </w:tc>
        <w:tc>
          <w:p>
            <w:pPr>
              <w:pStyle w:val="Compact"/>
              <w:jc w:val="left"/>
            </w:pPr>
            <w:r>
              <w:t xml:space="preserve">0.00838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0.0178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 jacket</w:t>
            </w:r>
          </w:p>
        </w:tc>
        <w:tc>
          <w:p>
            <w:pPr>
              <w:pStyle w:val="Compact"/>
              <w:jc w:val="left"/>
            </w:pPr>
            <w:r>
              <w:t xml:space="preserve">33.3</w:t>
            </w:r>
          </w:p>
        </w:tc>
        <w:tc>
          <w:p>
            <w:pPr>
              <w:pStyle w:val="Compact"/>
              <w:jc w:val="left"/>
            </w:pPr>
            <w:r>
              <w:t xml:space="preserve">4.76</w:t>
            </w:r>
          </w:p>
        </w:tc>
        <w:tc>
          <w:p>
            <w:pPr>
              <w:pStyle w:val="Compact"/>
              <w:jc w:val="left"/>
            </w:pPr>
            <w:r>
              <w:t xml:space="preserve">1.83e-05</w:t>
            </w:r>
          </w:p>
        </w:tc>
      </w:tr>
    </w:tbl>
    <w:p>
      <w:pPr>
        <w:pStyle w:val="BodyText"/>
      </w:pPr>
      <w:r>
        <w:t xml:space="preserve">p-value derived from the Fisher exact test.</w:t>
      </w:r>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0.00488</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4.35e-09</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6.93e-06</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0.0127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2.75e-16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0.0839</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3.91e-25</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3.63e-24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7.93e-09</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7.76e-05</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0.0026</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3.03e-05</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0.0016</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1.73e-06</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0.00441</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2.74e-10</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1.31e-14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7.95e-29</w:t>
            </w:r>
          </w:p>
        </w:tc>
      </w:tr>
    </w:tbl>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0.00792</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0.0119</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0.000751</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9.41e-05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0.000232</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4c688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hyperlink" Id="rId45" Target="https://doi.org/10.1016/0091-6749(91)90135-b" TargetMode="External" /><Relationship Type="http://schemas.openxmlformats.org/officeDocument/2006/relationships/hyperlink" Id="rId48" Target="https://doi.org/10.1016/j.jaip.2018.02.026" TargetMode="External" /><Relationship Type="http://schemas.openxmlformats.org/officeDocument/2006/relationships/hyperlink" Id="rId46" Target="https://doi.org/10.1016/s0140-6736(96)01367-0" TargetMode="External" /><Relationship Type="http://schemas.openxmlformats.org/officeDocument/2006/relationships/hyperlink" Id="rId44" Target="https://doi.org/10.1111/j.1398-9995.2007.01347.x" TargetMode="External" /><Relationship Type="http://schemas.openxmlformats.org/officeDocument/2006/relationships/hyperlink" Id="rId43" Target="https://doi.org/10.1177/175045891302300903" TargetMode="External" /><Relationship Type="http://schemas.openxmlformats.org/officeDocument/2006/relationships/hyperlink" Id="rId47"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16/0091-6749(91)90135-b" TargetMode="External" /><Relationship Type="http://schemas.openxmlformats.org/officeDocument/2006/relationships/hyperlink" Id="rId48" Target="https://doi.org/10.1016/j.jaip.2018.02.026" TargetMode="External" /><Relationship Type="http://schemas.openxmlformats.org/officeDocument/2006/relationships/hyperlink" Id="rId46" Target="https://doi.org/10.1016/s0140-6736(96)01367-0" TargetMode="External" /><Relationship Type="http://schemas.openxmlformats.org/officeDocument/2006/relationships/hyperlink" Id="rId44" Target="https://doi.org/10.1111/j.1398-9995.2007.01347.x" TargetMode="External" /><Relationship Type="http://schemas.openxmlformats.org/officeDocument/2006/relationships/hyperlink" Id="rId43" Target="https://doi.org/10.1177/175045891302300903" TargetMode="External" /><Relationship Type="http://schemas.openxmlformats.org/officeDocument/2006/relationships/hyperlink" Id="rId47"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2018-08-31T12:37:17Z</dcterms:created>
  <dcterms:modified xsi:type="dcterms:W3CDTF">2018-08-31T12:37:17Z</dcterms:modified>
</cp:coreProperties>
</file>