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7.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review</w:t>
      </w:r>
      <w:r>
        <w:t xml:space="preserve"> </w:t>
      </w:r>
      <w:r>
        <w:t xml:space="preserve">of</w:t>
      </w:r>
      <w:r>
        <w:t xml:space="preserve"> </w:t>
      </w:r>
      <w:r>
        <w:t xml:space="preserve">case</w:t>
      </w:r>
      <w:r>
        <w:t xml:space="preserve"> </w:t>
      </w:r>
      <w:r>
        <w:t xml:space="preserve">reports</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um"/>
      </w:pPr>
      <w:r>
        <w:t xml:space="preserve">23.02.2018</w:t>
      </w:r>
    </w:p>
    <w:p>
      <w:pPr>
        <w:pStyle w:val="Abstract"/>
      </w:pPr>
      <w:r>
        <w:rPr>
          <w:b/>
        </w:rPr>
        <w:t xml:space="preserve">Introduction:</w:t>
      </w:r>
      <w:r>
        <w:t xml:space="preserve"> </w:t>
      </w:r>
      <w:r>
        <w:t xml:space="preserve">Patients</w:t>
      </w:r>
      <w:r>
        <w:t xml:space="preserve"> </w:t>
      </w:r>
      <w:r>
        <w:t xml:space="preserve">experiencing</w:t>
      </w:r>
      <w:r>
        <w:t xml:space="preserve"> </w:t>
      </w:r>
      <w:r>
        <w:t xml:space="preserve">anaphylaxis</w:t>
      </w:r>
      <w:r>
        <w:t xml:space="preserve"> </w:t>
      </w:r>
      <w:r>
        <w:t xml:space="preserve">who</w:t>
      </w:r>
      <w:r>
        <w:t xml:space="preserve"> </w:t>
      </w:r>
      <w:r>
        <w:t xml:space="preserve">do</w:t>
      </w:r>
      <w:r>
        <w:t xml:space="preserve"> </w:t>
      </w:r>
      <w:r>
        <w:t xml:space="preserve">not</w:t>
      </w:r>
      <w:r>
        <w:t xml:space="preserve"> </w:t>
      </w:r>
      <w:r>
        <w:t xml:space="preserve">recover</w:t>
      </w:r>
      <w:r>
        <w:t xml:space="preserve"> </w:t>
      </w:r>
      <w:r>
        <w:t xml:space="preserve">after</w:t>
      </w:r>
      <w:r>
        <w:t xml:space="preserve"> </w:t>
      </w:r>
      <w:r>
        <w:t xml:space="preserve">the</w:t>
      </w:r>
      <w:r>
        <w:t xml:space="preserve"> </w:t>
      </w:r>
      <w:r>
        <w:t xml:space="preserve">treatment</w:t>
      </w:r>
      <w:r>
        <w:t xml:space="preserve"> </w:t>
      </w:r>
      <w:r>
        <w:t xml:space="preserve">with</w:t>
      </w:r>
      <w:r>
        <w:t xml:space="preserve"> </w:t>
      </w:r>
      <w:r>
        <w:t xml:space="preserve">intramuscular</w:t>
      </w:r>
      <w:r>
        <w:t xml:space="preserve"> </w:t>
      </w:r>
      <w:r>
        <w:t xml:space="preserve">adrenaline</w:t>
      </w:r>
      <w:r>
        <w:t xml:space="preserve"> </w:t>
      </w:r>
      <w:r>
        <w:t xml:space="preserve">are</w:t>
      </w:r>
      <w:r>
        <w:t xml:space="preserve"> </w:t>
      </w:r>
      <w:r>
        <w:t xml:space="preserve">regarded</w:t>
      </w:r>
      <w:r>
        <w:t xml:space="preserve"> </w:t>
      </w:r>
      <w:r>
        <w:t xml:space="preserve">to</w:t>
      </w:r>
      <w:r>
        <w:t xml:space="preserve"> </w:t>
      </w:r>
      <w:r>
        <w:t xml:space="preserve">suffer</w:t>
      </w:r>
      <w:r>
        <w:t xml:space="preserve"> </w:t>
      </w:r>
      <w:r>
        <w:t xml:space="preserve">from</w:t>
      </w:r>
      <w:r>
        <w:t xml:space="preserve"> </w:t>
      </w:r>
      <w:r>
        <w:t xml:space="preserve">refractory</w:t>
      </w:r>
      <w:r>
        <w:t xml:space="preserve"> </w:t>
      </w:r>
      <w:r>
        <w:t xml:space="preserve">anaphylaxis.</w:t>
      </w:r>
      <w:r>
        <w:t xml:space="preserve"> </w:t>
      </w:r>
      <w:r>
        <w:t xml:space="preserve">The</w:t>
      </w:r>
      <w:r>
        <w:t xml:space="preserve"> </w:t>
      </w:r>
      <w:r>
        <w:t xml:space="preserve">incidence</w:t>
      </w:r>
      <w:r>
        <w:t xml:space="preserve"> </w:t>
      </w:r>
      <w:r>
        <w:t xml:space="preserve">of</w:t>
      </w:r>
      <w:r>
        <w:t xml:space="preserve"> </w:t>
      </w:r>
      <w:r>
        <w:t xml:space="preserve">refractory</w:t>
      </w:r>
      <w:r>
        <w:t xml:space="preserve"> </w:t>
      </w:r>
      <w:r>
        <w:t xml:space="preserve">anaphylaxis</w:t>
      </w:r>
      <w:r>
        <w:t xml:space="preserve"> </w:t>
      </w:r>
      <w:r>
        <w:t xml:space="preserve">is</w:t>
      </w:r>
      <w:r>
        <w:t xml:space="preserve"> </w:t>
      </w:r>
      <w:r>
        <w:t xml:space="preserve">estimated</w:t>
      </w:r>
      <w:r>
        <w:t xml:space="preserve"> </w:t>
      </w:r>
      <w:r>
        <w:t xml:space="preserve">to</w:t>
      </w:r>
      <w:r>
        <w:t xml:space="preserve"> </w:t>
      </w:r>
      <w:r>
        <w:t xml:space="preserve">range</w:t>
      </w:r>
      <w:r>
        <w:t xml:space="preserve"> </w:t>
      </w:r>
      <w:r>
        <w:t xml:space="preserve">between</w:t>
      </w:r>
      <w:r>
        <w:t xml:space="preserve"> </w:t>
      </w:r>
      <w:r>
        <w:t xml:space="preserve">3–5%</w:t>
      </w:r>
      <w:r>
        <w:t xml:space="preserve"> </w:t>
      </w:r>
      <w:r>
        <w:t xml:space="preserve">of</w:t>
      </w:r>
      <w:r>
        <w:t xml:space="preserve"> </w:t>
      </w:r>
      <w:r>
        <w:t xml:space="preserve">anaphylaxis</w:t>
      </w:r>
      <w:r>
        <w:t xml:space="preserve"> </w:t>
      </w:r>
      <w:r>
        <w:t xml:space="preserve">cases.</w:t>
      </w:r>
      <w:r>
        <w:t xml:space="preserve"> </w:t>
      </w:r>
      <w:r>
        <w:t xml:space="preserve">The</w:t>
      </w:r>
      <w:r>
        <w:t xml:space="preserve"> </w:t>
      </w:r>
      <w:r>
        <w:t xml:space="preserve">risk</w:t>
      </w:r>
      <w:r>
        <w:t xml:space="preserve"> </w:t>
      </w:r>
      <w:r>
        <w:t xml:space="preserve">factors</w:t>
      </w:r>
      <w:r>
        <w:t xml:space="preserve"> </w:t>
      </w:r>
      <w:r>
        <w:t xml:space="preserve">for</w:t>
      </w:r>
      <w:r>
        <w:t xml:space="preserve"> </w:t>
      </w:r>
      <w:r>
        <w:t xml:space="preserve">refractory</w:t>
      </w:r>
      <w:r>
        <w:t xml:space="preserve"> </w:t>
      </w:r>
      <w:r>
        <w:t xml:space="preserve">anaphylaxis</w:t>
      </w:r>
      <w:r>
        <w:t xml:space="preserve"> </w:t>
      </w:r>
      <w:r>
        <w:t xml:space="preserve">are</w:t>
      </w:r>
      <w:r>
        <w:t xml:space="preserve"> </w:t>
      </w:r>
      <w:r>
        <w:t xml:space="preserve">unknown.</w:t>
      </w:r>
    </w:p>
    <w:p>
      <w:pPr>
        <w:pStyle w:val="Abstract"/>
      </w:pPr>
      <w:r>
        <w:rPr>
          <w:b/>
        </w:rPr>
        <w:t xml:space="preserve">Areas</w:t>
      </w:r>
      <w:r>
        <w:rPr>
          <w:b/>
        </w:rPr>
        <w:t xml:space="preserve"> </w:t>
      </w:r>
      <w:r>
        <w:rPr>
          <w:b/>
        </w:rPr>
        <w:t xml:space="preserve">covered:</w:t>
      </w:r>
      <w:r>
        <w:t xml:space="preserve"> </w:t>
      </w:r>
      <w:r>
        <w:t xml:space="preserve">In</w:t>
      </w:r>
      <w:r>
        <w:t xml:space="preserve"> </w:t>
      </w:r>
      <w:r>
        <w:t xml:space="preserve">the</w:t>
      </w:r>
      <w:r>
        <w:t xml:space="preserve"> </w:t>
      </w:r>
      <w:r>
        <w:t xml:space="preserve">present</w:t>
      </w:r>
      <w:r>
        <w:t xml:space="preserve"> </w:t>
      </w:r>
      <w:r>
        <w:t xml:space="preserve">analysis,</w:t>
      </w:r>
      <w:r>
        <w:t xml:space="preserve"> </w:t>
      </w:r>
      <w:r>
        <w:t xml:space="preserve">we</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management</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refractory</w:t>
      </w:r>
      <w:r>
        <w:t xml:space="preserve"> </w:t>
      </w:r>
      <w:r>
        <w:t xml:space="preserve">anaphylaxis</w:t>
      </w:r>
      <w:r>
        <w:t xml:space="preserve"> </w:t>
      </w:r>
      <w:r>
        <w:t xml:space="preserve">to</w:t>
      </w:r>
      <w:r>
        <w:t xml:space="preserve"> </w:t>
      </w:r>
      <w:r>
        <w:t xml:space="preserve">highlight</w:t>
      </w:r>
      <w:r>
        <w:t xml:space="preserve"> </w:t>
      </w:r>
      <w:r>
        <w:t xml:space="preserve">possible</w:t>
      </w:r>
      <w:r>
        <w:t xml:space="preserve"> </w:t>
      </w:r>
      <w:r>
        <w:t xml:space="preserve">clinical</w:t>
      </w:r>
      <w:r>
        <w:t xml:space="preserve"> </w:t>
      </w:r>
      <w:r>
        <w:t xml:space="preserve">implications</w:t>
      </w:r>
      <w:r>
        <w:t xml:space="preserve"> </w:t>
      </w:r>
      <w:r>
        <w:t xml:space="preserve">for</w:t>
      </w:r>
      <w:r>
        <w:t xml:space="preserve"> </w:t>
      </w:r>
      <w:r>
        <w:t xml:space="preserve">updating</w:t>
      </w:r>
      <w:r>
        <w:t xml:space="preserve"> </w:t>
      </w:r>
      <w:r>
        <w:t xml:space="preserve">current</w:t>
      </w:r>
      <w:r>
        <w:t xml:space="preserve"> </w:t>
      </w:r>
      <w:r>
        <w:t xml:space="preserve">management</w:t>
      </w:r>
      <w:r>
        <w:t xml:space="preserve"> </w:t>
      </w:r>
      <w:r>
        <w:t xml:space="preserve">algorithms.</w:t>
      </w:r>
    </w:p>
    <w:p>
      <w:pPr>
        <w:pStyle w:val="Abstract"/>
      </w:pPr>
      <w:r>
        <w:rPr>
          <w:b/>
        </w:rPr>
        <w:t xml:space="preserve">Expert</w:t>
      </w:r>
      <w:r>
        <w:rPr>
          <w:b/>
        </w:rPr>
        <w:t xml:space="preserve"> </w:t>
      </w:r>
      <w:r>
        <w:rPr>
          <w:b/>
        </w:rPr>
        <w:t xml:space="preserve">commentary:</w:t>
      </w:r>
      <w:r>
        <w:t xml:space="preserve"> </w:t>
      </w:r>
      <w:r>
        <w:t xml:space="preserve">According</w:t>
      </w:r>
      <w:r>
        <w:t xml:space="preserve"> </w:t>
      </w:r>
      <w:r>
        <w:t xml:space="preserve">to</w:t>
      </w:r>
      <w:r>
        <w:t xml:space="preserve"> </w:t>
      </w:r>
      <w:r>
        <w:t xml:space="preserve">the</w:t>
      </w:r>
      <w:r>
        <w:t xml:space="preserve"> </w:t>
      </w:r>
      <w:r>
        <w:t xml:space="preserve">international</w:t>
      </w:r>
      <w:r>
        <w:t xml:space="preserve"> </w:t>
      </w:r>
      <w:r>
        <w:t xml:space="preserve">guidelines</w:t>
      </w:r>
      <w:r>
        <w:t xml:space="preserve"> </w:t>
      </w:r>
      <w:r>
        <w:t xml:space="preserve">adrenaline</w:t>
      </w:r>
      <w:r>
        <w:t xml:space="preserve"> </w:t>
      </w:r>
      <w:r>
        <w:t xml:space="preserve">given</w:t>
      </w:r>
      <w:r>
        <w:t xml:space="preserve"> </w:t>
      </w:r>
      <w:r>
        <w:t xml:space="preserve">intramuscular</w:t>
      </w:r>
      <w:r>
        <w:t xml:space="preserve"> </w:t>
      </w:r>
      <w:r>
        <w:t xml:space="preserve">(i.m.)</w:t>
      </w:r>
      <w:r>
        <w:t xml:space="preserve"> </w:t>
      </w:r>
      <w:r>
        <w:t xml:space="preserve">is</w:t>
      </w:r>
      <w:r>
        <w:t xml:space="preserve"> </w:t>
      </w:r>
      <w:r>
        <w:t xml:space="preserve">a</w:t>
      </w:r>
      <w:r>
        <w:t xml:space="preserve"> </w:t>
      </w:r>
      <w:r>
        <w:t xml:space="preserve">rapid</w:t>
      </w:r>
      <w:r>
        <w:t xml:space="preserve"> </w:t>
      </w:r>
      <w:r>
        <w:t xml:space="preserve">and</w:t>
      </w:r>
      <w:r>
        <w:t xml:space="preserve"> </w:t>
      </w:r>
      <w:r>
        <w:t xml:space="preserve">safe</w:t>
      </w:r>
      <w:r>
        <w:t xml:space="preserve"> </w:t>
      </w:r>
      <w:r>
        <w:t xml:space="preserve">treatment</w:t>
      </w:r>
      <w:r>
        <w:t xml:space="preserve"> </w:t>
      </w:r>
      <w:r>
        <w:t xml:space="preserve">but</w:t>
      </w:r>
      <w:r>
        <w:t xml:space="preserve"> </w:t>
      </w:r>
      <w:r>
        <w:t xml:space="preserve">may</w:t>
      </w:r>
      <w:r>
        <w:t xml:space="preserve"> </w:t>
      </w:r>
      <w:r>
        <w:t xml:space="preserve">be</w:t>
      </w:r>
      <w:r>
        <w:t xml:space="preserve"> </w:t>
      </w:r>
      <w:r>
        <w:t xml:space="preserve">insufficient.</w:t>
      </w:r>
      <w:r>
        <w:t xml:space="preserve"> </w:t>
      </w:r>
      <w:r>
        <w:t xml:space="preserve">Therefore</w:t>
      </w:r>
      <w:r>
        <w:t xml:space="preserve"> </w:t>
      </w:r>
      <w:r>
        <w:t xml:space="preserve">defined</w:t>
      </w:r>
      <w:r>
        <w:t xml:space="preserve"> </w:t>
      </w:r>
      <w:r>
        <w:t xml:space="preserve">standardized</w:t>
      </w:r>
      <w:r>
        <w:t xml:space="preserve"> </w:t>
      </w:r>
      <w:r>
        <w:t xml:space="preserve">treatment</w:t>
      </w:r>
      <w:r>
        <w:t xml:space="preserve"> </w:t>
      </w:r>
      <w:r>
        <w:t xml:space="preserve">protocols</w:t>
      </w:r>
      <w:r>
        <w:t xml:space="preserve"> </w:t>
      </w:r>
      <w:r>
        <w:t xml:space="preserve">for</w:t>
      </w:r>
      <w:r>
        <w:t xml:space="preserve"> </w:t>
      </w:r>
      <w:r>
        <w:t xml:space="preserve">such</w:t>
      </w:r>
      <w:r>
        <w:t xml:space="preserve"> </w:t>
      </w:r>
      <w:r>
        <w:t xml:space="preserve">cases</w:t>
      </w:r>
      <w:r>
        <w:t xml:space="preserve"> </w:t>
      </w:r>
      <w:r>
        <w:t xml:space="preserve">of</w:t>
      </w:r>
      <w:r>
        <w:t xml:space="preserve"> </w:t>
      </w:r>
      <w:r>
        <w:t xml:space="preserve">refractory</w:t>
      </w:r>
      <w:r>
        <w:t xml:space="preserve"> </w:t>
      </w:r>
      <w:r>
        <w:t xml:space="preserve">anaphylaxis</w:t>
      </w:r>
      <w:r>
        <w:t xml:space="preserve"> </w:t>
      </w:r>
      <w:r>
        <w:t xml:space="preserve">are</w:t>
      </w:r>
      <w:r>
        <w:t xml:space="preserve"> </w:t>
      </w:r>
      <w:r>
        <w:t xml:space="preserve">needed</w:t>
      </w:r>
      <w:r>
        <w:t xml:space="preserve"> </w:t>
      </w:r>
      <w:r>
        <w:t xml:space="preserve">to</w:t>
      </w:r>
      <w:r>
        <w:t xml:space="preserve"> </w:t>
      </w:r>
      <w:r>
        <w:t xml:space="preserve">optimize</w:t>
      </w:r>
      <w:r>
        <w:t xml:space="preserve"> </w:t>
      </w:r>
      <w:r>
        <w:t xml:space="preserve">the</w:t>
      </w:r>
      <w:r>
        <w:t xml:space="preserve"> </w:t>
      </w:r>
      <w:r>
        <w:t xml:space="preserve">treatment.</w:t>
      </w:r>
      <w:r>
        <w:t xml:space="preserve"> </w:t>
      </w:r>
      <w:r>
        <w:t xml:space="preserve">Point-of-care</w:t>
      </w:r>
      <w:r>
        <w:t xml:space="preserve"> </w:t>
      </w:r>
      <w:r>
        <w:t xml:space="preserve">diagnostics</w:t>
      </w:r>
      <w:r>
        <w:t xml:space="preserve"> </w:t>
      </w:r>
      <w:r>
        <w:t xml:space="preserve">may</w:t>
      </w:r>
      <w:r>
        <w:t xml:space="preserve"> </w:t>
      </w:r>
      <w:r>
        <w:t xml:space="preserve">enable</w:t>
      </w:r>
      <w:r>
        <w:t xml:space="preserve"> </w:t>
      </w:r>
      <w:r>
        <w:t xml:space="preserve">doctors</w:t>
      </w:r>
      <w:r>
        <w:t xml:space="preserve"> </w:t>
      </w:r>
      <w:r>
        <w:t xml:space="preserve">to</w:t>
      </w:r>
      <w:r>
        <w:t xml:space="preserve"> </w:t>
      </w:r>
      <w:r>
        <w:t xml:space="preserve">identify</w:t>
      </w:r>
      <w:r>
        <w:t xml:space="preserve"> </w:t>
      </w:r>
      <w:r>
        <w:t xml:space="preserve">patients</w:t>
      </w:r>
      <w:r>
        <w:t xml:space="preserve"> </w:t>
      </w:r>
      <w:r>
        <w:t xml:space="preserve">experiencing</w:t>
      </w:r>
      <w:r>
        <w:t xml:space="preserve"> </w:t>
      </w:r>
      <w:r>
        <w:t xml:space="preserve">severe,</w:t>
      </w:r>
      <w:r>
        <w:t xml:space="preserve"> </w:t>
      </w:r>
      <w:r>
        <w:t xml:space="preserve">refractory</w:t>
      </w:r>
      <w:r>
        <w:t xml:space="preserve"> </w:t>
      </w:r>
      <w:r>
        <w:t xml:space="preserve">anaphylaxis</w:t>
      </w:r>
      <w:r>
        <w:t xml:space="preserve"> </w:t>
      </w:r>
      <w:r>
        <w:t xml:space="preserve">early</w:t>
      </w:r>
      <w:r>
        <w:t xml:space="preserve"> </w:t>
      </w:r>
      <w:r>
        <w:t xml:space="preserve">in</w:t>
      </w:r>
      <w:r>
        <w:t xml:space="preserve"> </w:t>
      </w:r>
      <w:r>
        <w:t xml:space="preserve">order</w:t>
      </w:r>
      <w:r>
        <w:t xml:space="preserve"> </w:t>
      </w:r>
      <w:r>
        <w:t xml:space="preserve">to</w:t>
      </w:r>
      <w:r>
        <w:t xml:space="preserve"> </w:t>
      </w:r>
      <w:r>
        <w:t xml:space="preserve">initiate</w:t>
      </w:r>
      <w:r>
        <w:t xml:space="preserve"> </w:t>
      </w:r>
      <w:r>
        <w:t xml:space="preserve">intensified</w:t>
      </w:r>
      <w:r>
        <w:t xml:space="preserve"> </w:t>
      </w:r>
      <w:r>
        <w:t xml:space="preserve">critical</w:t>
      </w:r>
      <w:r>
        <w:t xml:space="preserve"> </w:t>
      </w:r>
      <w:r>
        <w:t xml:space="preserve">care</w:t>
      </w:r>
      <w:r>
        <w:t xml:space="preserve"> </w:t>
      </w:r>
      <w:r>
        <w:t xml:space="preserve">treatment.</w:t>
      </w:r>
    </w:p>
    <w:p>
      <w:pPr>
        <w:pStyle w:val="FirstParagraph"/>
      </w:pPr>
      <w:r>
        <w:t xml:space="preserve">Division of Allergy and Immunology, Department of Dermatology, Venerology and Allergology, Charité – Universitätsmedizin Berlin, corporate member of Freie Universität Berlin, Humboldt-Universität zu Berlin, and Berlin Institute of Health, Charitéplatz 1, 10117 Berlin,</w:t>
      </w:r>
    </w:p>
    <w:p>
      <w:pPr>
        <w:pStyle w:val="Textkrper"/>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Textkrper"/>
      </w:pPr>
      <w:r>
        <w:rPr>
          <w:b/>
        </w:rPr>
        <w:t xml:space="preserve">Keywords:</w:t>
      </w:r>
      <w:r>
        <w:t xml:space="preserve"> </w:t>
      </w:r>
      <w:r>
        <w:t xml:space="preserve">anaphylaxis; epinephrine; glucagon; hypotension; methylene blue; shock</w:t>
      </w:r>
    </w:p>
    <w:p>
      <w:pPr>
        <w:pStyle w:val="berschrift1"/>
      </w:pPr>
      <w:bookmarkStart w:id="22" w:name="introduction"/>
      <w:bookmarkEnd w:id="22"/>
      <w:r>
        <w:t xml:space="preserve">Introduction</w:t>
      </w:r>
    </w:p>
    <w:p>
      <w:pPr>
        <w:pStyle w:val="FirstParagraph"/>
      </w:pPr>
      <w:r>
        <w:t xml:space="preserve">Anaphylaxis is a potentially life-threatening, primarily mast cell-dependent reaction to most frequently food, drugs, insect venom. Although anaphylaxis remains to be a clinical diagnosis</w:t>
      </w:r>
      <w:r>
        <w:t xml:space="preserve"> </w:t>
      </w:r>
      <w:r>
        <w:t xml:space="preserve">[1]</w:t>
      </w:r>
      <w:r>
        <w:t xml:space="preserve">, it is highly likely if any of the following 3 criterita are fulfilled: 1) acute onset of an illness with generalized skin or mucosal involvement with flushing, hives or pruritus; 2) acute cutaneous, cardiorespiratory or gastrointestinal symptoms after exposure to a likely allegen; c) acute reduction of blood pressure (BP) after exposure to a known allergen</w:t>
      </w:r>
      <w:r>
        <w:t xml:space="preserve"> </w:t>
      </w:r>
      <w:r>
        <w:t xml:space="preserve">[2]</w:t>
      </w:r>
      <w:r>
        <w:t xml:space="preserve">. The definition of anaphylaxis remains controverse</w:t>
      </w:r>
      <w:r>
        <w:t xml:space="preserve"> </w:t>
      </w:r>
      <w:r>
        <w:t xml:space="preserve">[3]</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[4]</w:t>
      </w:r>
      <w:r>
        <w:t xml:space="preserve">.</w:t>
      </w:r>
    </w:p>
    <w:p>
      <w:pPr>
        <w:pStyle w:val="Textkrper"/>
      </w:pPr>
      <w:r>
        <w:t xml:space="preserve">By contrast, the definition of refractory anaphylaxis has not been established yet. For the purpose of this review, we define refractory anaphylaxis as anaphylaxis (meeting the criteria by NIAID/FAAN</w:t>
      </w:r>
      <w:r>
        <w:t xml:space="preserve"> </w:t>
      </w:r>
      <w:r>
        <w:t xml:space="preserve">[2]</w:t>
      </w:r>
      <w:r>
        <w:t xml:space="preserve">) unresponsive to the treatment with at least 2 doses of a minimum 300 µg adrenaline. Unresponsiveness, in this case, is defined as a lack of expected normalization of clinical symptoms (i.e. rapid increase in blood pressure, bronchodilatation, tachycardia). Previously authors suggested using the term in cases of persistent severe shock after 10 minutes of adequate resustitation</w:t>
      </w:r>
      <w:r>
        <w:t xml:space="preserve"> </w:t>
      </w:r>
      <w:r>
        <w:t xml:space="preserve">[5]</w:t>
      </w:r>
      <w:r>
        <w:t xml:space="preserve">.</w:t>
      </w:r>
    </w:p>
    <w:p>
      <w:pPr>
        <w:pStyle w:val="Textkrper"/>
      </w:pPr>
      <w:r>
        <w:t xml:space="preserve">It is important to distinguish refractory anaphylaxis (which is unresponsive to treatment) from recurrent anaphylaxis which can be defined as multiple episodes of anaphylaxis over a period of time that responded to treatment with adrenaline</w:t>
      </w:r>
      <w:r>
        <w:t xml:space="preserve"> </w:t>
      </w:r>
      <w:r>
        <w:t xml:space="preserve">[6]</w:t>
      </w:r>
      <w:r>
        <w:t xml:space="preserve">.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[7]</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Textkrper"/>
      </w:pPr>
      <w:r>
        <w:t xml:space="preserve">The incidence of anaphylaxis is increasing worldwide</w:t>
      </w:r>
      <w:r>
        <w:t xml:space="preserve"> </w:t>
      </w:r>
      <w:r>
        <w:t xml:space="preserve">[8]</w:t>
      </w:r>
      <w:r>
        <w:t xml:space="preserve"> </w:t>
      </w:r>
      <w:r>
        <w:t xml:space="preserve">and was lately estimated to be between 50 and 112 episodes per 100,000 person-years with an estimated prevalence of 0.3% to 5.1%</w:t>
      </w:r>
      <w:r>
        <w:t xml:space="preserve"> </w:t>
      </w:r>
      <w:r>
        <w:t xml:space="preserve">[9]</w:t>
      </w:r>
      <w:r>
        <w:t xml:space="preserve">. It is widely believed to be an underrecognized and undertreated medical emergency</w:t>
      </w:r>
      <w:r>
        <w:t xml:space="preserve"> </w:t>
      </w:r>
      <w:r>
        <w:t xml:space="preserve">[10]</w:t>
      </w:r>
      <w:r>
        <w:t xml:space="preserve">. Anaphylaxis in children is in the majority of cases food dependent and most likely less severe than episodes in adulthood</w:t>
      </w:r>
      <w:r>
        <w:t xml:space="preserve"> </w:t>
      </w:r>
      <w:r>
        <w:t xml:space="preserve">[11]</w:t>
      </w:r>
      <w:r>
        <w:t xml:space="preserve">. Cases of refractory anaphylaxis are extremely rare. The incidence of refractory anaphylaxis was not investigated earlier and we estimate it to range between 3–5% of all cases of anaphylaxis (based on our clinical experience).</w:t>
      </w:r>
    </w:p>
    <w:p>
      <w:pPr>
        <w:pStyle w:val="Textkrper"/>
      </w:pPr>
      <w:r>
        <w:t xml:space="preserve">Risk factors for anaphylaxis include age, food elicitors (cow’s milk and hen’s egg) in children and drug-induced anaphylaxis in adults as well as concomitant mastocytosis (or mast cell activation syndromes)</w:t>
      </w:r>
      <w:r>
        <w:t xml:space="preserve"> </w:t>
      </w:r>
      <w:r>
        <w:t xml:space="preserve">[12]</w:t>
      </w:r>
      <w:r>
        <w:t xml:space="preserve">. Severe anaphylaxis is more likely to be elicited in elderly patients, patients suffering from mastocytosis, and in temporal proximity to vigorous exercise (e.g. jogging)</w:t>
      </w:r>
      <w:r>
        <w:t xml:space="preserve"> </w:t>
      </w:r>
      <w:r>
        <w:t xml:space="preserve">[13]</w:t>
      </w:r>
      <w:r>
        <w:t xml:space="preserve">. Risk factors for</w:t>
      </w:r>
      <w:r>
        <w:t xml:space="preserve"> </w:t>
      </w:r>
      <w:r>
        <w:rPr>
          <w:i/>
        </w:rPr>
        <w:t xml:space="preserve">refractory</w:t>
      </w:r>
      <w:r>
        <w:t xml:space="preserve"> </w:t>
      </w:r>
      <w:r>
        <w:t xml:space="preserve">anaphylaxis were not investigated previously.</w:t>
      </w:r>
    </w:p>
    <w:p>
      <w:pPr>
        <w:pStyle w:val="Textkrper"/>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the international guidelines and the mainstay of therapy is the early administration of intramuscular (i.m.) adrenaline</w:t>
      </w:r>
      <w:r>
        <w:t xml:space="preserve"> </w:t>
      </w:r>
      <w:r>
        <w:t xml:space="preserve">[14]</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Textkrper"/>
      </w:pPr>
      <w:r>
        <w:t xml:space="preserve">In the present analysis, we aimed to evaluate the management and risk factors of refractory anaphylaxis to highlight possible clinical implications for updating current management algorithms.</w:t>
      </w:r>
    </w:p>
    <w:p>
      <w:pPr>
        <w:pStyle w:val="Textkrper"/>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[15]</w:t>
      </w:r>
      <w:r>
        <w:t xml:space="preserve"> </w:t>
      </w:r>
      <w:r>
        <w:t xml:space="preserve">package for R statistical software</w:t>
      </w:r>
      <w:r>
        <w:t xml:space="preserve"> </w:t>
      </w:r>
      <w:r>
        <w:t xml:space="preserve">[16]</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151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articles not containing a case description as well as cases which documented an appropriate response to injected adrenaline. Also, cases describing mast cell activation syndrome and refractory vasoplegia without the definitive diagnosis of anaphylaxis were not included. The detailed inclusion flowchart is illustrated in Fig.</w:t>
      </w:r>
      <w:r>
        <w:t xml:space="preserve"> </w:t>
      </w:r>
      <w:r>
        <w:t xml:space="preserve">1</w:t>
      </w:r>
      <w:r>
        <w:t xml:space="preserve">.</w:t>
      </w:r>
    </w:p>
    <w:p>
      <w:pPr>
        <w:pStyle w:val="Textkrper"/>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 It is important to mention that as a review of case reports this study did not use control groups to compare outcomes and its statistical validity is therefore limited.</w:t>
      </w:r>
    </w:p>
    <w:p>
      <w:pPr>
        <w:pStyle w:val="Textkrper"/>
      </w:pPr>
      <w:r>
        <w:t xml:space="preserve">We finally included 30 Papers reporting 42 cases of refractory anaphylaxis (Table</w:t>
      </w:r>
      <w:r>
        <w:t xml:space="preserve"> </w:t>
      </w:r>
      <w:r>
        <w:t xml:space="preserve">1</w:t>
      </w:r>
      <w:r>
        <w:t xml:space="preserve">).</w:t>
      </w:r>
    </w:p>
    <w:p>
      <w:pPr>
        <w:pStyle w:val="berschrift2"/>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31 (73.8%) cases the anaphylactic reaction occurred during a diagnostic or surgical procedure. The most common causes of refractory anaphylaxis based on the analyzed case reports were iatrogenic procedures including anesthesia drugs, aprotinin, and protamine, radiocontrast media (RCM). Indirectly concomitant treatment with protimne-containing insulins might predispose to refractory anaphylaxis as these patiens have 40 to 50 times greater risk for developing anaphylaxis perioperatively</w:t>
      </w:r>
      <w:r>
        <w:t xml:space="preserve"> </w:t>
      </w:r>
      <w:r>
        <w:t xml:space="preserve">[17,18]</w:t>
      </w:r>
      <w:r>
        <w:t xml:space="preserve">. Surprisingly, no cases of insect venom anaphylaxis were found among these reports (Table</w:t>
      </w:r>
      <w:r>
        <w:t xml:space="preserve"> </w:t>
      </w:r>
      <w:r>
        <w:t xml:space="preserve">2</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[19]</w:t>
      </w:r>
    </w:p>
    <w:p>
      <w:pPr>
        <w:pStyle w:val="Textkrper"/>
      </w:pPr>
      <w:r>
        <w:t xml:space="preserve">The pathomechanisms which are responsible for refractory anaphylaxis are not well understood. There are however theories why extensive therapeutic efforts fail in certain cases. Fig.</w:t>
      </w:r>
      <w:r>
        <w:t xml:space="preserve"> </w:t>
      </w:r>
      <w:r>
        <w:t xml:space="preserve">2</w:t>
      </w:r>
      <w:r>
        <w:t xml:space="preserve"> </w:t>
      </w:r>
      <w:r>
        <w:t xml:space="preserve">summarizes the potential factors contributing to refctorinness of anaphylaxis. These can be divided into patient dependent (e.g. concomitant coronary disease, older age or bronchial hyperresponsiveness) or therapy-dependent (e.g. suboptimal management, concomitant beta blocker use, or idopathic triggers).</w:t>
      </w:r>
    </w:p>
    <w:p>
      <w:pPr>
        <w:pStyle w:val="Textkrper"/>
      </w:pPr>
      <w:r>
        <w:t xml:space="preserve">An early diagnosis of anaphylaxis during operative procedures can be suggested based on end-tidal CO</w:t>
      </w:r>
      <w:r>
        <w:rPr>
          <w:vertAlign w:val="subscript"/>
        </w:rPr>
        <w:t xml:space="preserve">2</w:t>
      </w:r>
      <w:r>
        <w:t xml:space="preserve"> </w:t>
      </w:r>
      <w:r>
        <w:t xml:space="preserve">collapse</w:t>
      </w:r>
      <w:r>
        <w:t xml:space="preserve"> </w:t>
      </w:r>
      <w:r>
        <w:t xml:space="preserve">[5]</w:t>
      </w:r>
      <w:r>
        <w:t xml:space="preserve">, which often is preceding cardiac arrest, even in the absence of any cutaneous manifestations</w:t>
      </w:r>
      <w:r>
        <w:t xml:space="preserve"> </w:t>
      </w:r>
      <w:r>
        <w:t xml:space="preserve">[20]</w:t>
      </w:r>
      <w:r>
        <w:t xml:space="preserve">. In such case - treatment with adrenalin should be immediately initiated as delayed adrenaline use has been linked to increased mortality</w:t>
      </w:r>
      <w:r>
        <w:t xml:space="preserve"> </w:t>
      </w:r>
      <w:r>
        <w:t xml:space="preserve">[21]</w:t>
      </w:r>
      <w:r>
        <w:t xml:space="preserve"> </w:t>
      </w:r>
      <w:r>
        <w:t xml:space="preserve">and refractoriness to adrenaline</w:t>
      </w:r>
      <w:r>
        <w:t xml:space="preserve"> </w:t>
      </w:r>
      <w:r>
        <w:t xml:space="preserve">[10]</w:t>
      </w:r>
      <w:r>
        <w:t xml:space="preserve">.</w:t>
      </w:r>
    </w:p>
    <w:p>
      <w:pPr>
        <w:pStyle w:val="berschrift2"/>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[22]</w:t>
      </w:r>
      <w:r>
        <w:t xml:space="preserve"> </w:t>
      </w:r>
      <w:r>
        <w:t xml:space="preserve">but were supplemented by additional procedures that have saved patients’ lives when first-line therapy failed (Table</w:t>
      </w:r>
      <w:r>
        <w:t xml:space="preserve"> </w:t>
      </w:r>
      <w:r>
        <w:t xml:space="preserve">3</w:t>
      </w:r>
      <w:r>
        <w:t xml:space="preserve">). We report on the most frequent procedures in order to evaluate them in the treatment of refractory anaphylaxis.</w:t>
      </w:r>
    </w:p>
    <w:p>
      <w:pPr>
        <w:pStyle w:val="Textkrper"/>
      </w:pPr>
      <w:r>
        <w:t xml:space="preserve">Based on the analyzed reports, out-patients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Textkrper"/>
      </w:pPr>
      <w:r>
        <w:t xml:space="preserve">4 fatal cases (16.7%) which did not respond to any therapy are listed in the table</w:t>
      </w:r>
      <w:r>
        <w:t xml:space="preserve"> </w:t>
      </w:r>
      <w:r>
        <w:t xml:space="preserve">4</w:t>
      </w:r>
      <w:r>
        <w:t xml:space="preserve">.</w:t>
      </w:r>
    </w:p>
    <w:p>
      <w:pPr>
        <w:pStyle w:val="Textkrper"/>
      </w:pPr>
      <w:r>
        <w:t xml:space="preserve">The World Allergy Organisation guidelines on anaphylaxis management suggest that refractory anaphylaxis should be treated with intubation, ventilation, intravenous vasopressors, glucagon and anticholinergic drugs</w:t>
      </w:r>
      <w:r>
        <w:t xml:space="preserve"> </w:t>
      </w:r>
      <w:r>
        <w:t xml:space="preserve">[22]</w:t>
      </w:r>
      <w:r>
        <w:t xml:space="preserve">. Patients should be transported to a critical care unit. The AAAAI</w:t>
      </w:r>
      <w:r>
        <w:t xml:space="preserve"> </w:t>
      </w:r>
      <w:r>
        <w:t xml:space="preserve">[23]</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[24]</w:t>
      </w:r>
      <w:r>
        <w:t xml:space="preserve"> </w:t>
      </w:r>
      <w:r>
        <w:t xml:space="preserve">guidelines suggest using glucagon in case of concomitant beta-blockade.</w:t>
      </w:r>
    </w:p>
    <w:p>
      <w:pPr>
        <w:pStyle w:val="berschrift2"/>
      </w:pPr>
      <w:bookmarkStart w:id="25" w:name="methylene-blue-for-the-treatment-of-refractory-hypotension"/>
      <w:bookmarkEnd w:id="25"/>
      <w:r>
        <w:t xml:space="preserve">Methylene blue for the treatment of refractory hypotension</w:t>
      </w:r>
    </w:p>
    <w:p>
      <w:pPr>
        <w:pStyle w:val="FirstParagraph"/>
      </w:pPr>
      <w:r>
        <w:t xml:space="preserve">11 reports (26.2%)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Textkrper"/>
      </w:pPr>
      <w:r>
        <w:t xml:space="preserve">The hypotension in anaphylaxis is mediated mainly through histamine</w:t>
      </w:r>
      <w:r>
        <w:t xml:space="preserve"> </w:t>
      </w:r>
      <w:r>
        <w:t xml:space="preserve">[25]</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[26]</w:t>
      </w:r>
      <w:r>
        <w:t xml:space="preserve">. This leads to the opening of the calcium ion channels in smooth muscle tissues and the subsequent loss of vascular muscle contractility</w:t>
      </w:r>
      <w:r>
        <w:t xml:space="preserve"> </w:t>
      </w:r>
      <w:r>
        <w:t xml:space="preserve">[27]</w:t>
      </w:r>
      <w:r>
        <w:t xml:space="preserve">.</w:t>
      </w:r>
    </w:p>
    <w:p>
      <w:pPr>
        <w:pStyle w:val="Textkrper"/>
      </w:pPr>
      <w:r>
        <w:t xml:space="preserve">Methylene blue is a well-investigated drug to treat patients with methemoglobinemia</w:t>
      </w:r>
      <w:r>
        <w:t xml:space="preserve"> </w:t>
      </w:r>
      <w:r>
        <w:t xml:space="preserve">[28]</w:t>
      </w:r>
      <w:r>
        <w:t xml:space="preserve">. Buzato et al. investigated its properties as an inhibitor of the nitric oxide-cyclic guanosine monophosphate (NO-cGMP) pathway in rabbits and suggested that the primary action of methylene blue is mediated by the sGC inhibition. Therefore it is able to stop the vasoplegia mediated through the increased production of cGMP</w:t>
      </w:r>
      <w:r>
        <w:t xml:space="preserve"> </w:t>
      </w:r>
      <w:r>
        <w:t xml:space="preserve">[29]</w:t>
      </w:r>
      <w:r>
        <w:t xml:space="preserve">.</w:t>
      </w:r>
    </w:p>
    <w:p>
      <w:pPr>
        <w:pStyle w:val="Textkrper"/>
      </w:pPr>
      <w:r>
        <w:t xml:space="preserve">Although the mechanism of action is thought to counteract the vasoplegia related hypotension, one case report successfully used methylene blue in the treatment of anaphylaxis without hypotension</w:t>
      </w:r>
      <w:r>
        <w:t xml:space="preserve"> </w:t>
      </w:r>
      <w:r>
        <w:t xml:space="preserve">[30]</w:t>
      </w:r>
      <w:r>
        <w:t xml:space="preserve">. The authors suggested that the inhibition of GC may result in a decrease of histamine and platelet-activating factor (PAF) production which are potent mediators of anaphylaxis</w:t>
      </w:r>
      <w:r>
        <w:t xml:space="preserve"> </w:t>
      </w:r>
      <w:r>
        <w:t xml:space="preserve">[31]</w:t>
      </w:r>
      <w:r>
        <w:t xml:space="preserve">.</w:t>
      </w:r>
    </w:p>
    <w:p>
      <w:pPr>
        <w:pStyle w:val="Textkrper"/>
      </w:pPr>
      <w:r>
        <w:t xml:space="preserve">Data about the use of methylene blue in the current management of anaphylaxis are scarce. We received no reports of methylene blue use in our International Registry of Anaphylaxis which contains over 10,000 cases to date.</w:t>
      </w:r>
    </w:p>
    <w:p>
      <w:pPr>
        <w:pStyle w:val="Textkrper"/>
      </w:pPr>
      <w:r>
        <w:t xml:space="preserve">In case of a refractory anaphylaxis with severe persisting hypotension we propose to apply a 100 mg bolus i.v. followed by an infusion of 50 µg/kg/min. As a vector, a 100 mL of 5% dextrose can be used.</w:t>
      </w:r>
    </w:p>
    <w:p>
      <w:pPr>
        <w:pStyle w:val="Textkrper"/>
      </w:pPr>
      <w:r>
        <w:t xml:space="preserve">As methylene blue does not block nitric oxide production its side effects are minimal (nausea, vomiting, abdominal pain, fever, hemolysis, hypotension, methemoglobinemia, arrhythmias, bluish skin, urine discoloration, and hyperbilirubinemia</w:t>
      </w:r>
      <w:r>
        <w:t xml:space="preserve"> </w:t>
      </w:r>
      <w:r>
        <w:t xml:space="preserve">[32]</w:t>
      </w:r>
      <w:r>
        <w:t xml:space="preserve">). It may be considered a safe option for the treatment of anaphylaxis upon intensive care conditions. No side effects were reported due to methylene blue use in the reported cases.</w:t>
      </w:r>
    </w:p>
    <w:p>
      <w:pPr>
        <w:pStyle w:val="Textkrper"/>
      </w:pPr>
      <w:r>
        <w:t xml:space="preserve">Clinicians must be aware that methylene blue may provoke false pulse-oximetry readings as the blue dye mimics cyanosis</w:t>
      </w:r>
      <w:r>
        <w:t xml:space="preserve"> </w:t>
      </w:r>
      <w:r>
        <w:t xml:space="preserve">[33]</w:t>
      </w:r>
      <w:r>
        <w:t xml:space="preserve">.</w:t>
      </w:r>
    </w:p>
    <w:p>
      <w:pPr>
        <w:pStyle w:val="berschrift2"/>
      </w:pPr>
      <w:bookmarkStart w:id="26" w:name="vasopressors"/>
      <w:bookmarkEnd w:id="26"/>
      <w:r>
        <w:t xml:space="preserve">Vasopressors</w:t>
      </w:r>
    </w:p>
    <w:p>
      <w:pPr>
        <w:pStyle w:val="FirstParagraph"/>
      </w:pPr>
      <w:r>
        <w:t xml:space="preserve">In case of a hypotension refractory to adrenaline or volume replacement therapy – vasopressors can be considered. Vasopressors were used in 21 (50%) of refractory cases.</w:t>
      </w:r>
      <w:r>
        <w:t xml:space="preserve"> </w:t>
      </w:r>
      <w:r>
        <w:t xml:space="preserve">Vasopressin or its synthetic analogue terlipressin were used in 13 cases. In 8 of these reports (61.5%) the injection of vasopressin reversed the refractory hypotension within minutes.</w:t>
      </w:r>
      <w:r>
        <w:t xml:space="preserve"> </w:t>
      </w:r>
      <w:r>
        <w:t xml:space="preserve">Other vasopressors included metaraminol</w:t>
      </w:r>
      <w:r>
        <w:t xml:space="preserve"> </w:t>
      </w:r>
      <w:r>
        <w:t xml:space="preserve">[34–36]</w:t>
      </w:r>
      <w:r>
        <w:t xml:space="preserve">, methoxamine</w:t>
      </w:r>
      <w:r>
        <w:t xml:space="preserve"> </w:t>
      </w:r>
      <w:r>
        <w:t xml:space="preserve">[37]</w:t>
      </w:r>
      <w:r>
        <w:t xml:space="preserve">, dopamine</w:t>
      </w:r>
      <w:r>
        <w:t xml:space="preserve"> </w:t>
      </w:r>
      <w:r>
        <w:t xml:space="preserve">[19,38–40]</w:t>
      </w:r>
      <w:r>
        <w:t xml:space="preserve">, and noradrenaline</w:t>
      </w:r>
      <w:r>
        <w:t xml:space="preserve"> </w:t>
      </w:r>
      <w:r>
        <w:t xml:space="preserve">[19,35,39,41–47]</w:t>
      </w:r>
      <w:r>
        <w:t xml:space="preserve"> </w:t>
      </w:r>
      <w:r>
        <w:t xml:space="preserve">infusions.</w:t>
      </w:r>
      <w:r>
        <w:t xml:space="preserve"> </w:t>
      </w:r>
      <w:r>
        <w:t xml:space="preserve">Drugs given perioperatively were the eliciting factors in all but two of these cases (90%) and all patients reacted within minutes (range 5 - 20) upon exposition to the suspected drug. One patient reacted to systemic immune therapy (SIT) injection that was inadvertently extremely high-concentrated</w:t>
      </w:r>
      <w:r>
        <w:t xml:space="preserve"> </w:t>
      </w:r>
      <w:r>
        <w:t xml:space="preserve">[48]</w:t>
      </w:r>
      <w:r>
        <w:t xml:space="preserve"> </w:t>
      </w:r>
      <w:r>
        <w:t xml:space="preserve">and in one case the elicitor could not be established</w:t>
      </w:r>
      <w:r>
        <w:t xml:space="preserve"> </w:t>
      </w:r>
      <w:r>
        <w:t xml:space="preserve">[34]</w:t>
      </w:r>
      <w:r>
        <w:t xml:space="preserve">.</w:t>
      </w:r>
    </w:p>
    <w:p>
      <w:pPr>
        <w:pStyle w:val="Textkrper"/>
      </w:pPr>
      <w:r>
        <w:t xml:space="preserve">The use of vasopressin in refractory anaphylaxis was only suggested in the management recommendations from the AAAAI</w:t>
      </w:r>
      <w:r>
        <w:t xml:space="preserve"> </w:t>
      </w:r>
      <w:r>
        <w:t xml:space="preserve">[23]</w:t>
      </w:r>
      <w:r>
        <w:t xml:space="preserve"> </w:t>
      </w:r>
      <w:r>
        <w:t xml:space="preserve">and was never vastly investigated. Dopamine, however, is recommended by 2 out of three guidelines. Nevertheless, dopamine might be related to a higher risk of mortality and adverse events than epinephrine or norepinephrine</w:t>
      </w:r>
      <w:r>
        <w:t xml:space="preserve"> </w:t>
      </w:r>
      <w:r>
        <w:t xml:space="preserve">[49]</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[50]</w:t>
      </w:r>
      <w:r>
        <w:t xml:space="preserve">.</w:t>
      </w:r>
    </w:p>
    <w:p>
      <w:pPr>
        <w:pStyle w:val="Textkrper"/>
      </w:pPr>
      <w:r>
        <w:t xml:space="preserve">Seedat et al. described a case of anaphylaxis while undergoing a bilateral knee arthroscopy under general anesthesia. The refractory shock was not responding to repeated adrenaline (total 2 mg), antihistamines and hydrocortisone</w:t>
      </w:r>
      <w:r>
        <w:t xml:space="preserve"> </w:t>
      </w:r>
      <w:r>
        <w:t xml:space="preserve">[51]</w:t>
      </w:r>
      <w:r>
        <w:t xml:space="preserve">. A rapid response was achieved with the last resort injection of 1 U ornipressin that was repeatedly effective when the biphasic reaction occurred. The authors concluded that vasopressin or ornipressin should be considered for the treatment of adrenaline-resistant anaphylactic shock before resuscitation is discontinued</w:t>
      </w:r>
      <w:r>
        <w:t xml:space="preserve"> </w:t>
      </w:r>
      <w:r>
        <w:t xml:space="preserve">[51]</w:t>
      </w:r>
      <w:r>
        <w:t xml:space="preserve">. We support the use of vasopressin in refractory hypotension, combined with norepinephrine infusions.</w:t>
      </w:r>
    </w:p>
    <w:p>
      <w:pPr>
        <w:pStyle w:val="Textkrper"/>
      </w:pPr>
      <w:r>
        <w:t xml:space="preserve">One case report described the use of military anti-shock trousers to perform external vasopression on a patient who received inadvertently high doses of systemic immune therapy allergen</w:t>
      </w:r>
      <w:r>
        <w:t xml:space="preserve"> </w:t>
      </w:r>
      <w:r>
        <w:t xml:space="preserve">[48]</w:t>
      </w:r>
      <w:r>
        <w:t xml:space="preserve">. Although this can be hardly available in critical care centers we want to point out this minimally invasive method as a possible alternative measure in achieving normotension.</w:t>
      </w:r>
    </w:p>
    <w:p>
      <w:pPr>
        <w:pStyle w:val="berschrift2"/>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anaphylactic event in patients taking beta-blockers as both heart and lung express beta-adrenergic receptors.</w:t>
      </w:r>
      <w:r>
        <w:t xml:space="preserve"> </w:t>
      </w:r>
      <w:r>
        <w:t xml:space="preserve">Glucagon, a polypeptide hormone with potent ino- and chronotropic actions was given in two cases of refractory hypotension</w:t>
      </w:r>
      <w:r>
        <w:t xml:space="preserve"> </w:t>
      </w:r>
      <w:r>
        <w:t xml:space="preserve">[39,52]</w:t>
      </w:r>
      <w:r>
        <w:t xml:space="preserve">. Both patients receiving glucagon were undergoing refractory anaphylaxis with the concomittant use of atenolol for arterial hypertension. Both patients reacted to contrast medium and after minutes developed severe anaphylaxis not responding to repeated doses of adrenaline. An infusion of 1 mg glucagon per hour or 1 mg glucagon as a bolus relieved the refractory shock in both cases and it also successfully treated a recurrent biphasic reaction</w:t>
      </w:r>
      <w:r>
        <w:t xml:space="preserve"> </w:t>
      </w:r>
      <w:r>
        <w:t xml:space="preserve">[39]</w:t>
      </w:r>
      <w:r>
        <w:t xml:space="preserve">.</w:t>
      </w:r>
    </w:p>
    <w:p>
      <w:pPr>
        <w:pStyle w:val="Textkrper"/>
      </w:pPr>
      <w:r>
        <w:t xml:space="preserve">Adrenergic effects of glucagon are minimally influenced by beta-blockers</w:t>
      </w:r>
      <w:r>
        <w:t xml:space="preserve"> </w:t>
      </w:r>
      <w:r>
        <w:t xml:space="preserve">[52]</w:t>
      </w:r>
      <w:r>
        <w:t xml:space="preserve"> </w:t>
      </w:r>
      <w:r>
        <w:t xml:space="preserve">as glucagon activates adenylyl cyclase directly</w:t>
      </w:r>
      <w:r>
        <w:t xml:space="preserve"> </w:t>
      </w:r>
      <w:r>
        <w:t xml:space="preserve">[1]</w:t>
      </w:r>
      <w:r>
        <w:t xml:space="preserve">. Therefore, it is especially useful in patients who are on long term beta-blocker treatments. Patients with concomittant beta-blockers often show bradycardia or normocardia during anaphylaxis</w:t>
      </w:r>
      <w:r>
        <w:t xml:space="preserve"> </w:t>
      </w:r>
      <w:r>
        <w:t xml:space="preserve">[19]</w:t>
      </w:r>
      <w:r>
        <w:t xml:space="preserve">, as the reflexory tachycardia is suppressed by the beta-blockade. Authors who reported a fatal anaphylaxis case potentiated with beta blockers did not treat with glucagon but discuss this therapeutic option positively as well</w:t>
      </w:r>
      <w:r>
        <w:t xml:space="preserve"> </w:t>
      </w:r>
      <w:r>
        <w:t xml:space="preserve">[53]</w:t>
      </w:r>
      <w:r>
        <w:t xml:space="preserve">.</w:t>
      </w:r>
    </w:p>
    <w:p>
      <w:pPr>
        <w:pStyle w:val="berschrift2"/>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Textkrper"/>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anaphylactic symptoms and the patient recovered completely. These authors concluded that external gastric drainage should be considered an integral part of the treatment of severe life-threatening food-induced anaphylaxis</w:t>
      </w:r>
      <w:r>
        <w:t xml:space="preserve"> </w:t>
      </w:r>
      <w:r>
        <w:t xml:space="preserve">[14]</w:t>
      </w:r>
      <w:r>
        <w:t xml:space="preserve">.</w:t>
      </w:r>
    </w:p>
    <w:p>
      <w:pPr>
        <w:pStyle w:val="Textkrper"/>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[54]</w:t>
      </w:r>
      <w:r>
        <w:t xml:space="preserve">.</w:t>
      </w:r>
    </w:p>
    <w:p>
      <w:pPr>
        <w:pStyle w:val="Textkrper"/>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[47]</w:t>
      </w:r>
      <w:r>
        <w:t xml:space="preserve">.</w:t>
      </w:r>
    </w:p>
    <w:p>
      <w:pPr>
        <w:pStyle w:val="berschrift2"/>
      </w:pPr>
      <w:bookmarkStart w:id="29" w:name="extracorporeal-life-support"/>
      <w:bookmarkEnd w:id="29"/>
      <w:r>
        <w:t xml:space="preserve">Extracorporeal life support</w:t>
      </w:r>
    </w:p>
    <w:p>
      <w:pPr>
        <w:pStyle w:val="FirstParagraph"/>
      </w:pPr>
      <w:r>
        <w:t xml:space="preserve">In the most severe cases, where all pharmacologic attempts fail to alleviate symptoms of anaphylaxis clinicians turned to last resort of extracorporeal life support (ECLS) options. There were 4 reports where patients reacted extremely severe and all were operated on because of a heart condition in general anesthesia</w:t>
      </w:r>
      <w:r>
        <w:t xml:space="preserve"> </w:t>
      </w:r>
      <w:r>
        <w:t xml:space="preserve">[36,41,42,55]</w:t>
      </w:r>
      <w:r>
        <w:t xml:space="preserve">. Two patients reacted to chlorhexidine, one to rocuronium and in one case the elicitor could not be established. Only one of these patients was taking a beta blocker</w:t>
      </w:r>
      <w:r>
        <w:t xml:space="preserve"> </w:t>
      </w:r>
      <w:r>
        <w:t xml:space="preserve">[41]</w:t>
      </w:r>
      <w:r>
        <w:t xml:space="preserve">. All these patients received multiple doses of adrenaline (total dose ranged 1 – 15 mg), vasopressors, high volume replacement therapy, corticosteroids, and antihistaminics. Upon prolonged resuscitation procedures two of these patients were placed on cardiopulmonary bypass (CPB) and two on an extracorporeal membrane oxygenation (ECMO) device. After stabilizing of their condition, patients were weaned off from these supportive measures without neurological sequelae. Gouel-Chéron et al. reported a fifth case of refractory anaphylaxis where the patient died on the 5th day after introducing ECLS</w:t>
      </w:r>
      <w:r>
        <w:t xml:space="preserve"> </w:t>
      </w:r>
      <w:r>
        <w:t xml:space="preserve">[56]</w:t>
      </w:r>
      <w:r>
        <w:t xml:space="preserve">.</w:t>
      </w:r>
    </w:p>
    <w:p>
      <w:pPr>
        <w:pStyle w:val="Textkrper"/>
      </w:pPr>
      <w:r>
        <w:t xml:space="preserve">Life-threatening anaphylactic reactions occur in approximately 1 in 6000 anesthetic procedures and are associated with 5% mortality</w:t>
      </w:r>
      <w:r>
        <w:t xml:space="preserve"> </w:t>
      </w:r>
      <w:r>
        <w:t xml:space="preserve">[36]</w:t>
      </w:r>
      <w:r>
        <w:t xml:space="preserve">. ECMO is widely used for the treatment of cardiogenic shock</w:t>
      </w:r>
      <w:r>
        <w:t xml:space="preserve"> </w:t>
      </w:r>
      <w:r>
        <w:t xml:space="preserve">[57]</w:t>
      </w:r>
      <w:r>
        <w:t xml:space="preserve"> </w:t>
      </w:r>
      <w:r>
        <w:t xml:space="preserve">and may also be used in cases of anaphylaxis. It is especially helpful where there is refractory anaphylaxis with cardiac or respiratory arrest. Its use may gain time to eliminate the responsible elicitor (metabolize the drug or find the occluded elicitor). One of the reported cases identified the chlorhexidine coated catheter to be responsible for the refractory shock, and after its removal patient responded immediately to therapy. The use of ECMO facilitated the elicitor discovery</w:t>
      </w:r>
      <w:r>
        <w:t xml:space="preserve"> </w:t>
      </w:r>
      <w:r>
        <w:t xml:space="preserve">[55]</w:t>
      </w:r>
      <w:r>
        <w:t xml:space="preserve">.</w:t>
      </w:r>
    </w:p>
    <w:p>
      <w:pPr>
        <w:pStyle w:val="berschrift2"/>
      </w:pPr>
      <w:bookmarkStart w:id="30" w:name="conclusion"/>
      <w:bookmarkEnd w:id="30"/>
      <w:r>
        <w:t xml:space="preserve">Conclusion</w:t>
      </w:r>
    </w:p>
    <w:p>
      <w:pPr>
        <w:pStyle w:val="FirstParagraph"/>
      </w:pPr>
      <w:r>
        <w:t xml:space="preserve">We analyzed case reports from the literature and critically evaluated the undertaken therapeutic approaches. These cases of refractory anaphylaxis were most frequently elicited by drugs and happened during a medical procedure. All patients were treated with adrenaline as a first line therapy, nearly all of them were given oxygen, steroids i.v. and fluid replacement therapy.</w:t>
      </w:r>
    </w:p>
    <w:p>
      <w:pPr>
        <w:pStyle w:val="Textkrper"/>
      </w:pPr>
      <w:r>
        <w:t xml:space="preserve">We highlight therapeutic options that should be evaluated in case of anaphylaxis non-responsive to first-line therapy with adrenaline: methylene blue, vasopressors, glucagon and extracorporeal life support. We suggest a management algorithm for refractory anaphylaxis (Fig.</w:t>
      </w:r>
      <w:r>
        <w:t xml:space="preserve"> </w:t>
      </w:r>
      <w:r>
        <w:t xml:space="preserve">3</w:t>
      </w:r>
      <w:r>
        <w:t xml:space="preserve">) that is supplementary to the established protocols.</w:t>
      </w:r>
    </w:p>
    <w:p>
      <w:pPr>
        <w:pStyle w:val="berschrift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and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enhancement of vascular permeability</w:t>
      </w:r>
      <w:r>
        <w:t xml:space="preserve"> </w:t>
      </w:r>
      <w:r>
        <w:t xml:space="preserve">[58]</w:t>
      </w:r>
      <w:r>
        <w:t xml:space="preserve">.</w:t>
      </w:r>
    </w:p>
    <w:p>
      <w:pPr>
        <w:pStyle w:val="Textkrper"/>
      </w:pPr>
      <w:r>
        <w:t xml:space="preserve">In clinical practice, it is necessary to identify patients at risk. Such risk factors should particularly be assessed in patients undergoing medical diagnostic and therapeutic measures. The diagnosis of anaphylaxis is based on non-specific clinical presentation, most frequently with hypotension, bronchospasm and skin flushing. In cases where anaphylaxis is possible but the symptoms are not clearly apparent introduction of a point-of-care test could confirm the suspicion in order to introduce the immediate therapy with adrenaline. The measurement of peak tryptase levels (with the cut off value of 12 µg/L) could be used for confirming the diagnosis of anaphylaxis (specificity of 0.93) but its sensitivity of 0.36 is insufficient</w:t>
      </w:r>
      <w:r>
        <w:t xml:space="preserve"> </w:t>
      </w:r>
      <w:r>
        <w:t xml:space="preserve">[59]</w:t>
      </w:r>
      <w:r>
        <w:t xml:space="preserve">.</w:t>
      </w:r>
    </w:p>
    <w:p>
      <w:pPr>
        <w:pStyle w:val="berschrift1"/>
      </w:pPr>
      <w:bookmarkStart w:id="32" w:name="five-year-view"/>
      <w:bookmarkEnd w:id="32"/>
      <w:r>
        <w:t xml:space="preserve">Five year View</w:t>
      </w:r>
    </w:p>
    <w:p>
      <w:pPr>
        <w:pStyle w:val="FirstParagraph"/>
      </w:pPr>
      <w:r>
        <w:t xml:space="preserve">For the future, measurements</w:t>
      </w:r>
      <w:r>
        <w:t xml:space="preserve"> </w:t>
      </w:r>
      <w:r>
        <w:t xml:space="preserve">[60]</w:t>
      </w:r>
      <w:r>
        <w:t xml:space="preserve"> </w:t>
      </w:r>
      <w:r>
        <w:t xml:space="preserve">at a bedside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save the life in a given patient.</w:t>
      </w:r>
    </w:p>
    <w:p>
      <w:pPr>
        <w:pStyle w:val="Textkrper"/>
      </w:pPr>
      <w:r>
        <w:t xml:space="preserve">Aditionally, based on clinical features, we will be able to predict which patients are at risk of developing severe anaphylaxis. Therefore extraordinary preventive measures could be undertaken in such patients beforehand.</w:t>
      </w:r>
    </w:p>
    <w:p>
      <w:pPr>
        <w:pStyle w:val="berschrift1"/>
      </w:pPr>
      <w:bookmarkStart w:id="33" w:name="key-issues"/>
      <w:bookmarkEnd w:id="33"/>
      <w:r>
        <w:t xml:space="preserve">Key issues</w:t>
      </w:r>
    </w:p>
    <w:p>
      <w:pPr>
        <w:pStyle w:val="Compact"/>
        <w:numPr>
          <w:numId w:val="1001"/>
          <w:ilvl w:val="0"/>
        </w:numPr>
      </w:pPr>
      <w:r>
        <w:t xml:space="preserve">Drug elicited reactions in perioperative setting and concomitant beta-blocker use are the most important risk factors for refractory anaphylaxis.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receive beta-blockers.</w:t>
      </w:r>
    </w:p>
    <w:p>
      <w:pPr>
        <w:pStyle w:val="Compact"/>
        <w:numPr>
          <w:numId w:val="1001"/>
          <w:ilvl w:val="0"/>
        </w:numPr>
      </w:pPr>
      <w:r>
        <w:t xml:space="preserve">Methylene blue and vasopressors i.v. should be considered together with volume replacement therapy in cases of refractory hypotension.</w:t>
      </w:r>
    </w:p>
    <w:p>
      <w:pPr>
        <w:pStyle w:val="Compact"/>
        <w:numPr>
          <w:numId w:val="1001"/>
          <w:ilvl w:val="0"/>
        </w:numPr>
      </w:pPr>
      <w:r>
        <w:t xml:space="preserve">In cases of severe refractory anaphylaxis with prolonged resuscitation an extracorporeal life support should be evaluated.</w:t>
      </w:r>
    </w:p>
    <w:p>
      <w:pPr>
        <w:pStyle w:val="berschrift1"/>
      </w:pPr>
      <w:bookmarkStart w:id="34" w:name="annotated-bibliography"/>
      <w:bookmarkEnd w:id="34"/>
      <w:r>
        <w:t xml:space="preserve">Annotated bibliography</w:t>
      </w:r>
    </w:p>
    <w:p>
      <w:pPr>
        <w:pStyle w:val="FirstParagraph"/>
      </w:pPr>
      <w:r>
        <w:t xml:space="preserve">[1] Kemp AM, Kemp SF. Pharmacotherapy in refractory anaphylaxis. Current Opinion in Allergy and Clinical Immunology. 2014;14:371–378.</w:t>
      </w:r>
    </w:p>
    <w:p>
      <w:pPr>
        <w:pStyle w:val="Textkrper"/>
      </w:pPr>
      <w:r>
        <w:t xml:space="preserve">[2]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Textkrper"/>
      </w:pPr>
      <w:r>
        <w:t xml:space="preserve">[3] Lieberman P, Nicklas RA, Randolph C, et al. Anaphylaxis - a practice parameter update 2015. Annals of Allergy, Asthma &amp; Immunology. 2015;115:341–384.</w:t>
      </w:r>
    </w:p>
    <w:p>
      <w:pPr>
        <w:pStyle w:val="Textkrper"/>
      </w:pPr>
      <w:r>
        <w:t xml:space="preserve">[4] Houser SM, Weng C, Liu Y-C. A Patient With an Allergy Emergency. JAMA Otolaryngology–Head &amp; Neck Surgery. 2015;141:382.</w:t>
      </w:r>
    </w:p>
    <w:p>
      <w:pPr>
        <w:pStyle w:val="Textkrper"/>
      </w:pPr>
      <w:r>
        <w:t xml:space="preserve">[5] Gouel-Chéron A, Harpan A, Mertes P-M, et al. Management of anaphylactic shock in the operating room. La Presse Médicale. 2016;45:774–783.</w:t>
      </w:r>
    </w:p>
    <w:p>
      <w:pPr>
        <w:pStyle w:val="Textkrper"/>
      </w:pPr>
      <w:r>
        <w:t xml:space="preserve">[6] Mullins RJ. Anaphylaxis: Risk factors for recurrence. Clinical and Experimental Allergy. 2003;33:1033–1040.</w:t>
      </w:r>
    </w:p>
    <w:p>
      <w:pPr>
        <w:pStyle w:val="Textkrper"/>
      </w:pPr>
      <w:r>
        <w:t xml:space="preserve">[7] Jagdis A, Vadas P. Omalizumab effectively prevents recurrent refractory anaphylaxis in a patient with monoclonal mast cell activation syndrome. Annals of Allergy, Asthma &amp; Immunology. 2014;113:115–116.</w:t>
      </w:r>
    </w:p>
    <w:p>
      <w:pPr>
        <w:pStyle w:val="Textkrper"/>
      </w:pPr>
      <w:r>
        <w:t xml:space="preserve">[8] Koplin JJ, Martin PE, Allen KJ. An update on epidemiology of anaphylaxis in children and adults. Current Opinion in Allergy and Clinical Immunology. 2011;11:492–496.</w:t>
      </w:r>
    </w:p>
    <w:p>
      <w:pPr>
        <w:pStyle w:val="Textkrper"/>
      </w:pPr>
      <w:r>
        <w:t xml:space="preserve">[9] Tejedor Alonso MA, Moro Moro M, Múgica García MV. Epidemiology of anaphylaxis. Clinical &amp; Experimental Allergy. 2015;45:1027–1039.</w:t>
      </w:r>
    </w:p>
    <w:p>
      <w:pPr>
        <w:pStyle w:val="Textkrper"/>
      </w:pPr>
      <w:r>
        <w:t xml:space="preserve">[10] Fineman SM, Bowman SH, Campbell RL, et al. Addressing barriers to emergency anaphylaxis care: from emergency medical services to emergency department to outpatient follow-up. Annals of Allergy, Asthma &amp; Immunology. 2015;115:301–305.</w:t>
      </w:r>
    </w:p>
    <w:p>
      <w:pPr>
        <w:pStyle w:val="Textkrper"/>
      </w:pPr>
      <w:r>
        <w:t xml:space="preserve">[11] Braganza SC, Acworth JP, Mckinnon DRL, et al. Paediatric emergency department anaphylaxis: different patterns from adults. Archives of disease in childhood. 2006;91:159–163.</w:t>
      </w:r>
    </w:p>
    <w:p>
      <w:pPr>
        <w:pStyle w:val="Textkrper"/>
      </w:pPr>
      <w:r>
        <w:t xml:space="preserve">[12] Worm M, Francuzik W, Renaudin J-M, et al. Factors increasing the risk for a severe reaction in anaphylaxis: An analysis of data from the european anaphylaxis registry. Allergy. 2018;</w:t>
      </w:r>
    </w:p>
    <w:p>
      <w:pPr>
        <w:pStyle w:val="Textkrper"/>
      </w:pPr>
      <w:r>
        <w:t xml:space="preserve">[13] Worm M, Babina M, Hompes S. Causes and risk factors for anaphylaxis. JDDG: Journal der Deutschen Dermatologischen Gesellschaft. 2013;11:44–50.</w:t>
      </w:r>
    </w:p>
    <w:p>
      <w:pPr>
        <w:pStyle w:val="Textkrper"/>
      </w:pPr>
      <w:r>
        <w:t xml:space="preserve">[14] Lazar I, Cavari Y, Levitas A, et al. Gastric Drainage in the Treatment of Near-Fatal Food-Induced Anaphylaxis. Pediatric Emergency Care. 2017;00:1.</w:t>
      </w:r>
    </w:p>
    <w:p>
      <w:pPr>
        <w:pStyle w:val="Textkrper"/>
      </w:pPr>
      <w:r>
        <w:t xml:space="preserve">[15] Kovalchik S. RISmed: Download content from ncbi databases. 2017.</w:t>
      </w:r>
    </w:p>
    <w:p>
      <w:pPr>
        <w:pStyle w:val="Textkrper"/>
      </w:pPr>
      <w:r>
        <w:t xml:space="preserve">[16] R Core Team. R: A language and environment for statistical computing. Vienna, Austria: R Foundation for Statistical Computing; 2017.</w:t>
      </w:r>
    </w:p>
    <w:p>
      <w:pPr>
        <w:pStyle w:val="Textkrper"/>
      </w:pPr>
      <w:r>
        <w:t xml:space="preserve">[17] Stewart WJ, McSweeney SM, Kellett MA, et al. Increased risk of severe protamine reactions in NPH insulin-dependent diabetics undergoing cardiac catheterization. Circulation. 1984;70:788–792.</w:t>
      </w:r>
    </w:p>
    <w:p>
      <w:pPr>
        <w:pStyle w:val="Textkrper"/>
      </w:pPr>
      <w:r>
        <w:t xml:space="preserve">[18] Drug allergy: An updated practice parameter. Annals of Allergy, Asthma &amp; Immunology. 2010;105:259–273.e78.</w:t>
      </w:r>
    </w:p>
    <w:p>
      <w:pPr>
        <w:pStyle w:val="Textkrper"/>
      </w:pPr>
      <w:r>
        <w:t xml:space="preserve">[19] Nag DS, Samaddar DP, Kant S, et al. Perianesthetic refractory anaphylactic shock with cefuroxime in a patient with history of penicillin allergy on multiple antihypertensive medications. Brazilian Journal of Anesthesiology (English Edition). 2017;67:217–220.</w:t>
      </w:r>
    </w:p>
    <w:p>
      <w:pPr>
        <w:pStyle w:val="Textkrper"/>
      </w:pPr>
      <w:r>
        <w:t xml:space="preserve">[20] Baumann A, Studnicska D, Audibert G, et al. Refractory anaphylactic cardiac arrest after succinylcholine administration. Anesthesia and Analgesia. 2009;109:137–140.</w:t>
      </w:r>
    </w:p>
    <w:p>
      <w:pPr>
        <w:pStyle w:val="Textkrper"/>
      </w:pPr>
      <w:r>
        <w:t xml:space="preserve">[21] Simons KJ, Simons FER. Epinephrine and its use in anaphylaxis: current issues. Current Opinion in Allergy and Clinical Immunology. 2010;10:354–361.</w:t>
      </w:r>
    </w:p>
    <w:p>
      <w:pPr>
        <w:pStyle w:val="Textkrper"/>
      </w:pPr>
      <w:r>
        <w:t xml:space="preserve">[22] Simons FER, Ardusso LRF, Bilò MB, et al. World Allergy Organization Guidelines for the Assessment and Management of Anaphylaxis. World Allergy Organization Journal. 2011;4:13–36.</w:t>
      </w:r>
    </w:p>
    <w:p>
      <w:pPr>
        <w:pStyle w:val="Textkrper"/>
      </w:pPr>
      <w:r>
        <w:t xml:space="preserve">[23] LIEBERMAN P, KEMP S, OPPENHEIMER J, et al. The diagnosis and management of anaphylaxis: An updated practice parameter. Journal of Allergy and Clinical Immunology. 2005;115:S483–S523.</w:t>
      </w:r>
    </w:p>
    <w:p>
      <w:pPr>
        <w:pStyle w:val="Textkrper"/>
      </w:pPr>
      <w:r>
        <w:t xml:space="preserve">[24] Muraro A, Roberts G, Worm M, et al. Anaphylaxis: Guidelines from the european academy of allergy and clinical immunology. Allergy. 2014;69:1026–1045.</w:t>
      </w:r>
    </w:p>
    <w:p>
      <w:pPr>
        <w:pStyle w:val="Textkrper"/>
      </w:pPr>
      <w:r>
        <w:t xml:space="preserve">[25] Enjeti S, Bleecker ER, Smith PL, et al. Hemodynamic mechanisms in anaphylaxis. Circulatory shock. 1983;11:297–309.</w:t>
      </w:r>
    </w:p>
    <w:p>
      <w:pPr>
        <w:pStyle w:val="Textkrper"/>
      </w:pPr>
      <w:r>
        <w:t xml:space="preserve">[26] Lucas KA, Pitari GM, Kazerounian S, et al. Guanylyl cyclases and signaling by cyclic GMP. Pharmacological reviews. 2000;52:375–414.</w:t>
      </w:r>
    </w:p>
    <w:p>
      <w:pPr>
        <w:pStyle w:val="Textkrper"/>
      </w:pPr>
      <w:r>
        <w:t xml:space="preserve">[27] Omar S, Zedan A, Nugent K. Cardiac Vasoplegia Syndrome: Pathophysiology, Risk Factors and Treatment. The American Journal of the Medical Sciences. 2015;349:80–88.</w:t>
      </w:r>
    </w:p>
    <w:p>
      <w:pPr>
        <w:pStyle w:val="Textkrper"/>
      </w:pPr>
      <w:r>
        <w:t xml:space="preserve">[28] Schirmer RH, Coulibaly B, Stich A, et al. Methylene blue as an antimalarial agent. Redox Report. 2003;8:272–275.</w:t>
      </w:r>
    </w:p>
    <w:p>
      <w:pPr>
        <w:pStyle w:val="Textkrper"/>
      </w:pPr>
      <w:r>
        <w:t xml:space="preserve">[29] Buzato MAS, Viaro F, Piccinato CE, et al. The use of methylene blue in the treatment of anaphylactic shock induced by compound 48/80: experimental studies in rabbits. Shock (Augusta, Ga.). 2005;23:582–587.</w:t>
      </w:r>
    </w:p>
    <w:p>
      <w:pPr>
        <w:pStyle w:val="Textkrper"/>
      </w:pPr>
      <w:r>
        <w:t xml:space="preserve">[30] Bauer C, Vadas P, Kelly K. Methylene blue for the treatment of refractory anaphylaxis without hypotension. The American Journal of Emergency Medicine. 2013;31:753.</w:t>
      </w:r>
    </w:p>
    <w:p>
      <w:pPr>
        <w:pStyle w:val="Textkrper"/>
      </w:pPr>
      <w:r>
        <w:t xml:space="preserve">[31] Moritoki H, Hisayama T, Takeuchi S, et al. Involvement of nitric oxide pathway in the PAF-induced relaxation of rat thoracic aorta. British Journal of Pharmacology. 1992;107:196–201.</w:t>
      </w:r>
    </w:p>
    <w:p>
      <w:pPr>
        <w:pStyle w:val="Textkrper"/>
      </w:pPr>
      <w:r>
        <w:t xml:space="preserve">[32] Evora PR, Simon MR. Role of nitric oxide production in anaphylaxis and its relevance for the treatment of anaphylactic hypotension with methylene blue. Annals of Allergy, Asthma &amp; Immunology. 2007;99:306–313.</w:t>
      </w:r>
    </w:p>
    <w:p>
      <w:pPr>
        <w:pStyle w:val="Textkrper"/>
      </w:pPr>
      <w:r>
        <w:t xml:space="preserve">[33] Kessler MR, Eide T, Humayun B, et al. Spurious pulse oximeter desaturation with methylene blue injection. Anesthesiology. 1986;65:435–436.</w:t>
      </w:r>
    </w:p>
    <w:p>
      <w:pPr>
        <w:pStyle w:val="Textkrper"/>
      </w:pPr>
      <w:r>
        <w:t xml:space="preserve">[34] Heytman M, Rainbird A. Use of alpha-agonists for management of anaphylaxis occurring under anaesthesia: Case studies and review. Anaesthesia. 2004;59:1210–1215.</w:t>
      </w:r>
    </w:p>
    <w:p>
      <w:pPr>
        <w:pStyle w:val="Textkrper"/>
      </w:pPr>
      <w:r>
        <w:t xml:space="preserve">[35] Da Silva PS, Furtado P. Methylene Blue to Treat Refractory Latex-Induced Anaphylactic Shock. A &amp; A Case Reports. 2017;XXX:1.</w:t>
      </w:r>
    </w:p>
    <w:p>
      <w:pPr>
        <w:pStyle w:val="Textkrper"/>
      </w:pPr>
      <w:r>
        <w:t xml:space="preserve">[36] Weiss GM, Fandrick AD, Sidebotham D. Successful Rescue of an Adult With Refractory Anaphylactic Shock and Abdominal Compartment Syndrome With Venoarterial Extracorporeal Membrane Oxygenation and Bedside Laparotomy. Seminars in Cardiothoracic and Vascular Anesthesia. 2015;19:66–70.</w:t>
      </w:r>
    </w:p>
    <w:p>
      <w:pPr>
        <w:pStyle w:val="Textkrper"/>
      </w:pPr>
      <w:r>
        <w:t xml:space="preserve">[37] Higgins DJ, Gayatri P. Methoxamine in the management of severe anaphylaxis. Anaesthesia. 1999;54:1126.</w:t>
      </w:r>
    </w:p>
    <w:p>
      <w:pPr>
        <w:pStyle w:val="Textkrper"/>
      </w:pPr>
      <w:r>
        <w:t xml:space="preserve">[38] Oliveira Neto AM, Duarte NM, Vicente WV a, et al. Methylene blue: an effective treatment for contrast medium-induced anaphylaxis. Medical science monitor : international medical journal of experimental and clinical research. 2003;9:CS102–6.</w:t>
      </w:r>
    </w:p>
    <w:p>
      <w:pPr>
        <w:pStyle w:val="Textkrper"/>
      </w:pPr>
      <w:r>
        <w:t xml:space="preserve">[39] Javeed N, Javeed H, Javeed S, et al. Refractory anaphylactoid shock potentiated by beta-blockers. 1996. pp. 383–384.</w:t>
      </w:r>
    </w:p>
    <w:p>
      <w:pPr>
        <w:pStyle w:val="Textkrper"/>
      </w:pPr>
      <w:r>
        <w:t xml:space="preserve">[40] Gibbs MW, Kuczkowski KM, Benumof JL. Complete recovery from prolonged cardio-pulmonary resuscitation following anaphylactic reaction to readministered intravenous cefazolin. Acta anaesthesiologica Scandinavica. 2003;47:230–232.</w:t>
      </w:r>
    </w:p>
    <w:p>
      <w:pPr>
        <w:pStyle w:val="Textkrper"/>
      </w:pPr>
      <w:r>
        <w:t xml:space="preserve">[41] Yee KFH, Wasowicz M. Anaphylaxis and cardiac surgery for hypertrophic obstructive cardiomyopathy: a case report and review of anaesthetic management. Anestezjologia Intensywna Terapia. 2016;48:252–256.</w:t>
      </w:r>
    </w:p>
    <w:p>
      <w:pPr>
        <w:pStyle w:val="Textkrper"/>
      </w:pPr>
      <w:r>
        <w:t xml:space="preserve">[42] Allen SJ, Gallagher A, Paxton LD. Anaphylaxis to rocuronium. Anaesthesia. 2000;55:1223–1224.</w:t>
      </w:r>
    </w:p>
    <w:p>
      <w:pPr>
        <w:pStyle w:val="Textkrper"/>
      </w:pPr>
      <w:r>
        <w:t xml:space="preserve">[43] Schummer C, Wirsing M, Schummer W. The pivotal role of vasopressin in refractory anaphylactic shock. Anesthesia and Analgesia. 2008;107:620–624.</w:t>
      </w:r>
    </w:p>
    <w:p>
      <w:pPr>
        <w:pStyle w:val="Textkrper"/>
      </w:pPr>
      <w:r>
        <w:t xml:space="preserve">[44] Schummer W, Schummer C, Wippermann J, et al. Anaphylactic shock: is vasopressin the drug of choice? Anesthesiology. 2004;101:1025–1027.</w:t>
      </w:r>
    </w:p>
    <w:p>
      <w:pPr>
        <w:pStyle w:val="Textkrper"/>
      </w:pPr>
      <w:r>
        <w:t xml:space="preserve">[45] Alicia Weissgerber LJ. Methylene Blue for Refractory Hypotension: A Case Report. AANA Journal August. 2007;76.</w:t>
      </w:r>
    </w:p>
    <w:p>
      <w:pPr>
        <w:pStyle w:val="Textkrper"/>
      </w:pPr>
      <w:r>
        <w:t xml:space="preserve">[46] Hussain AM, Yousuf B, Khan MA, et al. Vasopressin for the management of catecholamine-resistant anaphylactic shock. Singapore Medical Journal. 2008;49:225–228.</w:t>
      </w:r>
    </w:p>
    <w:p>
      <w:pPr>
        <w:pStyle w:val="Textkrper"/>
      </w:pPr>
      <w:r>
        <w:t xml:space="preserve">[47] Lango R, Kowalik MM, Klajbor K, et al. High-Volume Hemofiltration as Rescue Therapy for Refractory Shock After Inadvertent Rapid Aprotinin Administration. Journal of Cardiothoracic and Vascular Anesthesia. 2009;23:526–528.</w:t>
      </w:r>
    </w:p>
    <w:p>
      <w:pPr>
        <w:pStyle w:val="Textkrper"/>
      </w:pPr>
      <w:r>
        <w:t xml:space="preserve">[48] Bickell WH, Dice WH. Military antishock trousers in a patient with adrenergic-resistant anaphylaxis. Annals of Emergency Medicine. 1984;13:189–190.</w:t>
      </w:r>
    </w:p>
    <w:p>
      <w:pPr>
        <w:pStyle w:val="Textkrper"/>
      </w:pPr>
      <w:r>
        <w:t xml:space="preserve">[49] Avni T, Lador A, Lev S, et al. Vasopressors for the Treatment of Septic Shock: Systematic Review and Meta-Analysis. PloS one. 2015;10:e0129305.</w:t>
      </w:r>
    </w:p>
    <w:p>
      <w:pPr>
        <w:pStyle w:val="Textkrper"/>
      </w:pPr>
      <w:r>
        <w:t xml:space="preserve">[50] Di Chiara L, Stazi GV, Ricci Z, et al. Role of vasopressin in the treatment of anaphylactic shock in a child undergoing surgery for congenital heart disease: a case report. Journal of Medical Case Reports. 2008;2:36.</w:t>
      </w:r>
    </w:p>
    <w:p>
      <w:pPr>
        <w:pStyle w:val="Textkrper"/>
      </w:pPr>
      <w:r>
        <w:t xml:space="preserve">[51] Seedat RY, Westhuizen J van der. ORNIPRESSIN FOR THE TREATMENT OF ADRENALINE-RESISTANT ANAPHYLAXIS. Current Allergy and Immunology. 2014;27:130–133.</w:t>
      </w:r>
    </w:p>
    <w:p>
      <w:pPr>
        <w:pStyle w:val="Textkrper"/>
      </w:pPr>
      <w:r>
        <w:t xml:space="preserve">[52] Zaloga GP, Delacey W, Holmboe E, et al. Glucagon reversal of hypotension in a case of anaphylactoid shock. Annals of Internal Medicine. 1986;105:65–66.</w:t>
      </w:r>
    </w:p>
    <w:p>
      <w:pPr>
        <w:pStyle w:val="Textkrper"/>
      </w:pPr>
      <w:r>
        <w:t xml:space="preserve">[53] Laxenaire MC, Torrens J, Moneret-Vautrin DA. [Fatal anaphylactic shock in a patient treated with beta-blockers]. Annales francaises d’anesthesie et de reanimation. 1984;3:453–455.</w:t>
      </w:r>
    </w:p>
    <w:p>
      <w:pPr>
        <w:pStyle w:val="Textkrper"/>
      </w:pPr>
      <w:r>
        <w:t xml:space="preserve">[54] Raft J, Leclercq M, Longrois D, et al. Récupération hémodynamique et ventilatoire rapide après injection de sugammadex lors d’un choc anaphylactique au rocuronium, réfractaire au traitement conventionnel. Annales Françaises d’Anesthésie et de Réanimation. 2012;31:158–161.</w:t>
      </w:r>
    </w:p>
    <w:p>
      <w:pPr>
        <w:pStyle w:val="Textkrper"/>
      </w:pPr>
      <w:r>
        <w:t xml:space="preserve">[55] Wang ML, Chang CT, Huang HH, et al. Chlorhexidine-related refractory anaphylactic shock: a case successfully resuscitated with extracorporeal membrane oxygenation. Journal of Clinical Anesthesia. 2016;34:654–657.</w:t>
      </w:r>
    </w:p>
    <w:p>
      <w:pPr>
        <w:pStyle w:val="Textkrper"/>
      </w:pPr>
      <w:r>
        <w:t xml:space="preserve">[56] Gouel-Chéron A, Chaisemartin L de, Jönsson F, et al. Low end-tidal CO 2 as a real-time severity marker of intra-anaesthetic acute hypersensitivity reactions. British Journal of Anaesthesia. 2017;119:908–917.</w:t>
      </w:r>
    </w:p>
    <w:p>
      <w:pPr>
        <w:pStyle w:val="Textkrper"/>
      </w:pPr>
      <w:r>
        <w:t xml:space="preserve">[57] Sidebotham D, McGeorge A, McGuinness S, et al. Extracorporeal Membrane Oxygenation for Treating Severe Cardiac and Respiratory Failure in Adults: Part 2—Technical Considerations. Journal of Cardiothoracic and Vascular Anesthesia. 2010;24:164–172.</w:t>
      </w:r>
    </w:p>
    <w:p>
      <w:pPr>
        <w:pStyle w:val="Textkrper"/>
      </w:pPr>
      <w:r>
        <w:t xml:space="preserve">[58] Imamura T, Dubin A, Moore W, et al. Induction of vascular permeability enhancement by human tryptase: dependence on activation of prekallikrein and direct release of bradykinin from kininogens. Laboratory investigation; a journal of technical methods and pathology. 1996;74:861–870.</w:t>
      </w:r>
    </w:p>
    <w:p>
      <w:pPr>
        <w:pStyle w:val="Textkrper"/>
      </w:pPr>
      <w:r>
        <w:t xml:space="preserve">[59] Brown SG a, Blackman KE, Heddle RJ. Can serum mast cell tryptase help diagnose anaphylaxis? Emergency medicine Australasia : EMA. 2004;16:120–124.</w:t>
      </w:r>
    </w:p>
    <w:p>
      <w:pPr>
        <w:pStyle w:val="Textkrper"/>
      </w:pPr>
      <w:r>
        <w:t xml:space="preserve">[60] Wittenberg M, Nassiri M, Francuzik W, et al. Serum levels of 9</w:t>
      </w:r>
      <m:oMath>
        <m:r>
          <m:t>α</m:t>
        </m:r>
      </m:oMath>
      <w:r>
        <w:t xml:space="preserve">,11</w:t>
      </w:r>
      <m:oMath>
        <m:r>
          <m:t>β</m:t>
        </m:r>
      </m:oMath>
      <w:r>
        <w:t xml:space="preserve">-PGF &lt;sub&gt;2&lt;/sub&gt; and apolipoprotein A1 achieve high predictive power as biomarkers of anaphylaxis. Allergy. 2017;72:1801–1805.</w:t>
      </w:r>
    </w:p>
    <w:p>
      <w:pPr>
        <w:pStyle w:val="Textkrper"/>
      </w:pPr>
      <w:r>
        <w:t xml:space="preserve">[61] Tsai C, Slampak-Cindric A. Use of methylene blue in chemotherapy-induced refractory anaphylactic shock. Critical Care Medicine. 2016;44:543.</w:t>
      </w:r>
    </w:p>
    <w:p>
      <w:pPr>
        <w:pStyle w:val="Textkrper"/>
      </w:pPr>
      <w:r>
        <w:t xml:space="preserve">[62] Del Duca D, Sheth SS, Clarke AE, et al. Use of Methylene Blue for Catecholamine-Refractory Vasoplegia from Protamine and Aprotinin. Annals of Thoracic Surgery. 2009;87:640–642.</w:t>
      </w:r>
    </w:p>
    <w:p>
      <w:pPr>
        <w:pStyle w:val="Textkrper"/>
      </w:pPr>
      <w:r>
        <w:t xml:space="preserve">[63] Rodrigues JM, Pazin Filho A, Rodrigues AJ, et al. Methylene blue for clinical anaphylaxis treatment: A case report. Sao Paulo Medical Journal. 2007;125:60–62.</w:t>
      </w:r>
    </w:p>
    <w:p>
      <w:pPr>
        <w:pStyle w:val="Textkrper"/>
      </w:pPr>
      <w:r>
        <w:t xml:space="preserve">[64] Zweizig S, Roman LD, Muderspach LI. Death from Anaphylaxis to Cisplatin: A Case Report. Gynecologic Oncology. 1994;53:121–122.</w:t>
      </w:r>
    </w:p>
    <w:p>
      <w:pPr>
        <w:pStyle w:val="Textkrper"/>
      </w:pPr>
      <w:r>
        <w:t xml:space="preserve">[65] Stocche RM, Garcia LV, Reis MPD, et al. Uso do azul de metileno no tratamento de choque anafilático durante anestesia: relato de caso. Revista Brasileira de Anestesiologia. 2004;54:809–814.</w:t>
      </w:r>
    </w:p>
    <w:p>
      <w:pPr>
        <w:pStyle w:val="Textkrper"/>
      </w:pPr>
      <w:r>
        <w:t xml:space="preserve">[66] Liu PY, Lee CH, Lin LJ, et al. Refractory anaphylactic shock associated with ketoconazole treatment. Annals of Pharmacotherapy. 2005;39:547–550.</w:t>
      </w:r>
    </w:p>
    <w:p>
      <w:pPr>
        <w:pStyle w:val="berschrift1"/>
      </w:pPr>
      <w:bookmarkStart w:id="35" w:name="figures-and-tables"/>
      <w:bookmarkEnd w:id="35"/>
      <w:r>
        <w:t xml:space="preserve">Figures and Tables</w:t>
      </w:r>
    </w:p>
    <w:p>
      <w:pPr>
        <w:pStyle w:val="FigureWithCaption"/>
      </w:pPr>
      <w:r>
        <w:drawing>
          <wp:inline>
            <wp:extent cx="5943600" cy="4436771"/>
            <wp:effectExtent b="0" l="0" r="0" t="0"/>
            <wp:docPr descr="Figure 1 The PRISMA flowchart for included sources. The additional 18 papers were included as a result of screening the referenced sources in the initial 151 screened papres. We screened the pubmed database using the search terms refractory anaphylaxis with the help of the RISmed package for R. Only Case reports were included." title="" id="1" name="Picture"/>
            <a:graphic>
              <a:graphicData uri="http://schemas.openxmlformats.org/drawingml/2006/picture">
                <pic:pic>
                  <pic:nvPicPr>
                    <pic:cNvPr descr="../figures/prism_flow.png" id="0" name="Picture"/>
                    <pic:cNvPicPr>
                      <a:picLocks noChangeArrowheads="1" noChangeAspect="1"/>
                    </pic:cNvPicPr>
                  </pic:nvPicPr>
                  <pic:blipFill>
                    <a:blip r:embed="rId36"/>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 The additional 18 papers were included as a result of screening the referenced sources in the initial 151 screened papres. We screened the pubmed database using the search terms</w:t>
      </w:r>
      <w:r>
        <w:t xml:space="preserve"> </w:t>
      </w:r>
      <w:r>
        <w:t xml:space="preserve">‘</w:t>
      </w:r>
      <w:r>
        <w:t xml:space="preserve">refractory anaphylaxis</w:t>
      </w:r>
      <w:r>
        <w:t xml:space="preserve">’</w:t>
      </w:r>
      <w:r>
        <w:t xml:space="preserve"> </w:t>
      </w:r>
      <w:r>
        <w:t xml:space="preserve">with the help of the RISmed package for R. Only Case reports were included.</w:t>
      </w:r>
    </w:p>
    <w:p>
      <w:pPr>
        <w:pStyle w:val="FigureWithCaption"/>
      </w:pPr>
      <w:r>
        <w:drawing>
          <wp:inline>
            <wp:extent cx="5943600" cy="3452173"/>
            <wp:effectExtent b="0" l="0" r="0" t="0"/>
            <wp:docPr descr="Figure 2 The overview of factors influencing the onset of refractory anaphylaxis." title="" id="1" name="Picture"/>
            <a:graphic>
              <a:graphicData uri="http://schemas.openxmlformats.org/drawingml/2006/picture">
                <pic:pic>
                  <pic:nvPicPr>
                    <pic:cNvPr descr="../figures/pato.png" id="0" name="Picture"/>
                    <pic:cNvPicPr>
                      <a:picLocks noChangeArrowheads="1" noChangeAspect="1"/>
                    </pic:cNvPicPr>
                  </pic:nvPicPr>
                  <pic:blipFill>
                    <a:blip r:embed="rId37"/>
                    <a:stretch>
                      <a:fillRect/>
                    </a:stretch>
                  </pic:blipFill>
                  <pic:spPr bwMode="auto">
                    <a:xfrm>
                      <a:off x="0" y="0"/>
                      <a:ext cx="5943600" cy="3452173"/>
                    </a:xfrm>
                    <a:prstGeom prst="rect">
                      <a:avLst/>
                    </a:prstGeom>
                    <a:noFill/>
                    <a:ln w="9525">
                      <a:noFill/>
                      <a:headEnd/>
                      <a:tailEnd/>
                    </a:ln>
                  </pic:spPr>
                </pic:pic>
              </a:graphicData>
            </a:graphic>
          </wp:inline>
        </w:drawing>
      </w:r>
    </w:p>
    <w:p>
      <w:pPr>
        <w:pStyle w:val="ImageCaption"/>
      </w:pPr>
      <w:r>
        <w:t xml:space="preserve">Figure 2 The overview of factors influencing the onset of refractory anaphylaxis.</w:t>
      </w:r>
    </w:p>
    <w:p>
      <w:pPr>
        <w:pStyle w:val="FigureWithCaption"/>
      </w:pPr>
      <w:r>
        <w:drawing>
          <wp:inline>
            <wp:extent cx="5943600" cy="2828108"/>
            <wp:effectExtent b="0" l="0" r="0" t="0"/>
            <wp:docPr descr="Figure 3 Proposed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38"/>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3 Proposed algorithm for refractory anaphylaxis management</w:t>
      </w:r>
    </w:p>
    <w:p>
      <w:pPr>
        <w:pStyle w:val="TableCaption"/>
      </w:pPr>
      <w:r>
        <w:t xml:space="preserve">Table 1 Summary of the refractory anaphylxis cases included into the analysis according to concomitant diseases (arterial hypertension and diabetes (either type I or II) expressed as a fraction of included cases). TTR - median time to reaction after exposure to the suspected allergen expressed in minutes. Age is a mean value across evaluated cases in each group.</w:t>
      </w:r>
    </w:p>
    <w:tbl>
      <w:tblPr>
        <w:tblStyle w:val="TableNormal"/>
        <w:tblW w:type="pct" w:w="0.0"/>
        <w:tblLook w:firstRow="1"/>
        <w:tblCaption w:val="Table 1 Summary of the refractory anaphylxis cases included into the analysis according to concomitant diseases (arterial hypertension and diabetes (either type I or II) expressed as a fraction of included cases). TTR - median time to reaction after exposure to the suspected allergen expressed in minutes. Age is a mean value across evaluated cases in each group."/>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TTR [min]</w:t>
            </w:r>
          </w:p>
        </w:tc>
        <w:tc>
          <w:tcPr>
            <w:tcBorders>
              <w:bottom w:val="single"/>
            </w:tcBorders>
            <w:vAlign w:val="bottom"/>
          </w:tcPr>
          <w:p>
            <w:pPr>
              <w:pStyle w:val="Compact"/>
              <w:jc w:val="left"/>
            </w:pPr>
            <w:r>
              <w:t xml:space="preserve">Hypertension [%]</w:t>
            </w:r>
          </w:p>
        </w:tc>
        <w:tc>
          <w:tcPr>
            <w:tcBorders>
              <w:bottom w:val="single"/>
            </w:tcBorders>
            <w:vAlign w:val="bottom"/>
          </w:tcPr>
          <w:p>
            <w:pPr>
              <w:pStyle w:val="Compact"/>
              <w:jc w:val="left"/>
            </w:pPr>
            <w:r>
              <w:t xml:space="preserve">Diabetes [%]</w:t>
            </w:r>
          </w:p>
        </w:tc>
      </w:tr>
      <w:tr>
        <w:tc>
          <w:p>
            <w:pPr>
              <w:pStyle w:val="Compact"/>
              <w:jc w:val="left"/>
            </w:pPr>
            <w:r>
              <w:t xml:space="preserve">male</w:t>
            </w:r>
          </w:p>
        </w:tc>
        <w:tc>
          <w:p>
            <w:pPr>
              <w:pStyle w:val="Compact"/>
              <w:jc w:val="left"/>
            </w:pPr>
            <w:r>
              <w:t xml:space="preserve">21</w:t>
            </w:r>
          </w:p>
        </w:tc>
        <w:tc>
          <w:p>
            <w:pPr>
              <w:pStyle w:val="Compact"/>
              <w:jc w:val="left"/>
            </w:pPr>
            <w:r>
              <w:t xml:space="preserve">57.7</w:t>
            </w:r>
          </w:p>
        </w:tc>
        <w:tc>
          <w:p>
            <w:pPr>
              <w:pStyle w:val="Compact"/>
              <w:jc w:val="left"/>
            </w:pPr>
            <w:r>
              <w:t xml:space="preserve">5</w:t>
            </w:r>
          </w:p>
        </w:tc>
        <w:tc>
          <w:p>
            <w:pPr>
              <w:pStyle w:val="Compact"/>
              <w:jc w:val="left"/>
            </w:pPr>
            <w:r>
              <w:t xml:space="preserve">47.6</w:t>
            </w:r>
          </w:p>
        </w:tc>
        <w:tc>
          <w:p>
            <w:pPr>
              <w:pStyle w:val="Compact"/>
              <w:jc w:val="left"/>
            </w:pPr>
            <w:r>
              <w:t xml:space="preserve">19</w:t>
            </w:r>
          </w:p>
        </w:tc>
      </w:tr>
      <w:tr>
        <w:tc>
          <w:p>
            <w:pPr>
              <w:pStyle w:val="Compact"/>
              <w:jc w:val="left"/>
            </w:pPr>
            <w:r>
              <w:t xml:space="preserve">female</w:t>
            </w:r>
          </w:p>
        </w:tc>
        <w:tc>
          <w:p>
            <w:pPr>
              <w:pStyle w:val="Compact"/>
              <w:jc w:val="left"/>
            </w:pPr>
            <w:r>
              <w:t xml:space="preserve">21</w:t>
            </w:r>
          </w:p>
        </w:tc>
        <w:tc>
          <w:p>
            <w:pPr>
              <w:pStyle w:val="Compact"/>
              <w:jc w:val="left"/>
            </w:pPr>
            <w:r>
              <w:t xml:space="preserve">51.6</w:t>
            </w:r>
          </w:p>
        </w:tc>
        <w:tc>
          <w:p>
            <w:pPr>
              <w:pStyle w:val="Compact"/>
              <w:jc w:val="left"/>
            </w:pPr>
            <w:r>
              <w:t xml:space="preserve">5</w:t>
            </w:r>
          </w:p>
        </w:tc>
        <w:tc>
          <w:p>
            <w:pPr>
              <w:pStyle w:val="Compact"/>
              <w:jc w:val="left"/>
            </w:pPr>
            <w:r>
              <w:t xml:space="preserve">28.6</w:t>
            </w:r>
          </w:p>
        </w:tc>
        <w:tc>
          <w:p>
            <w:pPr>
              <w:pStyle w:val="Compact"/>
              <w:jc w:val="left"/>
            </w:pPr>
            <w:r>
              <w:t xml:space="preserve">4.8</w:t>
            </w:r>
          </w:p>
        </w:tc>
      </w:tr>
    </w:tbl>
    <w:p>
      <w:pPr>
        <w:pStyle w:val="TableCaption"/>
      </w:pPr>
      <w:r>
        <w:t xml:space="preserve">Table 2 Refractory anaphylaxis cases broken down according to the elicitor of the reaction. Male - percentage of male cases to all cases in a given group. Perioperative - fraction of anaphylaxis episode that happened either during surgery or in temporal proximity to a surgical procedure. The eliciting drugs were: cefuroxime, chlorhexidine, protamine, aprotinin, succinylocholine, gelofusine, recuronium, chemotherapy, amoxicillin, ketokonazole, metamizole.</w:t>
      </w:r>
    </w:p>
    <w:tbl>
      <w:tblPr>
        <w:tblStyle w:val="TableNormal"/>
        <w:tblW w:type="pct" w:w="0.0"/>
        <w:tblLook w:firstRow="1"/>
        <w:tblCaption w:val="Table 2 Refractory anaphylaxis cases broken down according to the elicitor of the reaction. Male - percentage of male cases to all cases in a given group. Perioperative - fraction of anaphylaxis episode that happened either during surgery or in temporal proximity to a surgical procedure. The eliciting drugs were: cefuroxime, chlorhexidine, protamine, aprotinin, succinylocholine, gelofusine, recuronium, chemotherapy, amoxicillin, ketokonazole, metamizole."/>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Perioperative [%]</w:t>
            </w:r>
          </w:p>
        </w:tc>
      </w:tr>
      <w:tr>
        <w:tc>
          <w:p>
            <w:pPr>
              <w:pStyle w:val="Compact"/>
              <w:jc w:val="left"/>
            </w:pPr>
            <w:r>
              <w:t xml:space="preserve">contrast</w:t>
            </w:r>
          </w:p>
        </w:tc>
        <w:tc>
          <w:p>
            <w:pPr>
              <w:pStyle w:val="Compact"/>
              <w:jc w:val="right"/>
            </w:pPr>
            <w:r>
              <w:t xml:space="preserve">6</w:t>
            </w:r>
          </w:p>
        </w:tc>
        <w:tc>
          <w:p>
            <w:pPr>
              <w:pStyle w:val="Compact"/>
              <w:jc w:val="left"/>
            </w:pPr>
            <w:r>
              <w:t xml:space="preserve">55.3 [44.5 - 66.1]</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left"/>
            </w:pPr>
            <w:r>
              <w:t xml:space="preserve">54.5 [47.7 - 61.3]</w:t>
            </w:r>
          </w:p>
        </w:tc>
        <w:tc>
          <w:p>
            <w:pPr>
              <w:pStyle w:val="Compact"/>
              <w:jc w:val="right"/>
            </w:pPr>
            <w:r>
              <w:t xml:space="preserve">45.5</w:t>
            </w:r>
          </w:p>
        </w:tc>
        <w:tc>
          <w:p>
            <w:pPr>
              <w:pStyle w:val="Compact"/>
              <w:jc w:val="right"/>
            </w:pPr>
            <w:r>
              <w:t xml:space="preserve">86.4</w:t>
            </w:r>
          </w:p>
        </w:tc>
      </w:tr>
      <w:tr>
        <w:tc>
          <w:p>
            <w:pPr>
              <w:pStyle w:val="Compact"/>
              <w:jc w:val="left"/>
            </w:pPr>
            <w:r>
              <w:t xml:space="preserve">other</w:t>
            </w:r>
          </w:p>
        </w:tc>
        <w:tc>
          <w:p>
            <w:pPr>
              <w:pStyle w:val="Compact"/>
              <w:jc w:val="right"/>
            </w:pPr>
            <w:r>
              <w:t xml:space="preserve">6</w:t>
            </w:r>
          </w:p>
        </w:tc>
        <w:tc>
          <w:p>
            <w:pPr>
              <w:pStyle w:val="Compact"/>
              <w:jc w:val="left"/>
            </w:pPr>
            <w:r>
              <w:t xml:space="preserve">40 [25.8 - 54.2]</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8</w:t>
            </w:r>
          </w:p>
        </w:tc>
        <w:tc>
          <w:p>
            <w:pPr>
              <w:pStyle w:val="Compact"/>
              <w:jc w:val="left"/>
            </w:pPr>
            <w:r>
              <w:t xml:space="preserve">65.5 [49.2 - 81.8]</w:t>
            </w:r>
          </w:p>
        </w:tc>
        <w:tc>
          <w:p>
            <w:pPr>
              <w:pStyle w:val="Compact"/>
              <w:jc w:val="right"/>
            </w:pPr>
            <w:r>
              <w:t xml:space="preserve">37.5</w:t>
            </w:r>
          </w:p>
        </w:tc>
        <w:tc>
          <w:p>
            <w:pPr>
              <w:pStyle w:val="Compact"/>
              <w:jc w:val="right"/>
            </w:pPr>
            <w:r>
              <w:t xml:space="preserve">87.5</w:t>
            </w:r>
          </w:p>
        </w:tc>
      </w:tr>
    </w:tbl>
    <w:p>
      <w:pPr>
        <w:pStyle w:val="TableCaption"/>
      </w:pPr>
      <w:r>
        <w:t xml:space="preserve">Table 3 List of reports included into this study, summarizing their elicitors, and effective therapy interventions. Cases where the reaction was fatal and all therapeutic options fialed were indicated with the asterix (*). Other cases resulted with full recovery of the patient.</w:t>
      </w:r>
      <w:r>
        <w:t xml:space="preserve"> </w:t>
      </w:r>
      <w:r>
        <w:t xml:space="preserve">‘</w:t>
      </w:r>
      <w:r>
        <w:t xml:space="preserve">Therapy</w:t>
      </w:r>
      <w:r>
        <w:t xml:space="preserve">’</w:t>
      </w:r>
      <w:r>
        <w:t xml:space="preserve"> </w:t>
      </w:r>
      <w:r>
        <w:t xml:space="preserve">column describes the approach which lead to a rapid recovery in a given case. HT - arterial hypertension and DM - diabetes mellitus are reported (other concomitant diseases are not included in this table). OP - perioperative anaphylaxis.</w:t>
      </w:r>
    </w:p>
    <w:tbl>
      <w:tblPr>
        <w:tblStyle w:val="TableNormal"/>
        <w:tblW w:type="pct" w:w="0.0"/>
        <w:tblLook w:firstRow="1"/>
        <w:tblCaption w:val="Table 3 List of reports included into this study, summarizing their elicitors, and effective therapy interventions. Cases where the reaction was fatal and all therapeutic options fialed were indicated with the asterix (*). Other cases resulted with full recovery of the patient. Therapy column describes the approach which lead to a rapid recovery in a given case. HT - arterial hypertension and DM - diabetes mellitus are reported (other concomitant diseases are not included in this table). OP - perioperative anaphylaxis."/>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Seting</w:t>
            </w:r>
          </w:p>
        </w:tc>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Conc. disease</w:t>
            </w:r>
          </w:p>
        </w:tc>
        <w:tc>
          <w:tcPr>
            <w:tcBorders>
              <w:bottom w:val="single"/>
            </w:tcBorders>
            <w:vAlign w:val="bottom"/>
          </w:tcPr>
          <w:p>
            <w:pPr>
              <w:pStyle w:val="Compact"/>
              <w:jc w:val="left"/>
            </w:pPr>
            <w:r>
              <w:t xml:space="preserve">Vaopressors</w:t>
            </w:r>
          </w:p>
        </w:tc>
      </w:tr>
      <w:tr>
        <w:tc>
          <w:p>
            <w:pPr>
              <w:pStyle w:val="Compact"/>
              <w:jc w:val="left"/>
            </w:pPr>
            <w:r>
              <w:t xml:space="preserve">Silva</w:t>
            </w:r>
            <w:r>
              <w:t xml:space="preserve"> </w:t>
            </w:r>
            <w:r>
              <w:t xml:space="preserve">[35]</w:t>
            </w:r>
          </w:p>
        </w:tc>
        <w:tc>
          <w:p>
            <w:pPr>
              <w:pStyle w:val="Compact"/>
              <w:jc w:val="left"/>
            </w:pPr>
            <w:r>
              <w:t xml:space="preserve">latex</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yes</w:t>
            </w:r>
          </w:p>
        </w:tc>
      </w:tr>
      <w:tr>
        <w:tc>
          <w:p>
            <w:pPr>
              <w:pStyle w:val="Compact"/>
              <w:jc w:val="left"/>
            </w:pPr>
            <w:r>
              <w:t xml:space="preserve">Nag</w:t>
            </w:r>
            <w:r>
              <w:t xml:space="preserve"> </w:t>
            </w:r>
            <w:r>
              <w:t xml:space="preserve">[19]</w:t>
            </w:r>
          </w:p>
        </w:tc>
        <w:tc>
          <w:p>
            <w:pPr>
              <w:pStyle w:val="Compact"/>
              <w:jc w:val="left"/>
            </w:pPr>
            <w:r>
              <w:t xml:space="preserve">cefuroxime</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HT</w:t>
            </w:r>
          </w:p>
        </w:tc>
        <w:tc>
          <w:p>
            <w:pPr>
              <w:pStyle w:val="Compact"/>
              <w:jc w:val="left"/>
            </w:pPr>
            <w:r>
              <w:t xml:space="preserve">yes</w:t>
            </w:r>
          </w:p>
        </w:tc>
      </w:tr>
      <w:tr>
        <w:tc>
          <w:p>
            <w:pPr>
              <w:pStyle w:val="Compact"/>
              <w:jc w:val="left"/>
            </w:pPr>
            <w:r>
              <w:t xml:space="preserve">Yee</w:t>
            </w:r>
            <w:r>
              <w:t xml:space="preserve"> </w:t>
            </w:r>
            <w:r>
              <w:t xml:space="preserve">[41]</w:t>
            </w:r>
          </w:p>
        </w:tc>
        <w:tc>
          <w:p>
            <w:pPr>
              <w:pStyle w:val="Compact"/>
              <w:jc w:val="left"/>
            </w:pPr>
            <w:r>
              <w:t xml:space="preserve">chlorhexidine</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pPr>
          </w:p>
        </w:tc>
        <w:tc>
          <w:p>
            <w:pPr>
              <w:pStyle w:val="Compact"/>
              <w:jc w:val="left"/>
            </w:pPr>
            <w:r>
              <w:t xml:space="preserve">yes</w:t>
            </w:r>
          </w:p>
        </w:tc>
      </w:tr>
      <w:tr>
        <w:tc>
          <w:p>
            <w:pPr>
              <w:pStyle w:val="Compact"/>
              <w:jc w:val="left"/>
            </w:pPr>
            <w:r>
              <w:t xml:space="preserve">Lazar</w:t>
            </w:r>
            <w:r>
              <w:t xml:space="preserve"> </w:t>
            </w:r>
            <w:r>
              <w:t xml:space="preserve">[14]</w:t>
            </w:r>
          </w:p>
        </w:tc>
        <w:tc>
          <w:p>
            <w:pPr>
              <w:pStyle w:val="Compact"/>
              <w:jc w:val="left"/>
            </w:pPr>
            <w:r>
              <w:t xml:space="preserve">milk</w:t>
            </w:r>
          </w:p>
        </w:tc>
        <w:tc>
          <w:p>
            <w:pPr>
              <w:pStyle w:val="Compact"/>
              <w:jc w:val="right"/>
            </w:pPr>
            <w:r>
              <w:t xml:space="preserve">15</w:t>
            </w:r>
          </w:p>
        </w:tc>
        <w:tc>
          <w:p>
            <w:pPr>
              <w:pStyle w:val="Compact"/>
              <w:jc w:val="left"/>
            </w:pPr>
            <w:r>
              <w:t xml:space="preserve">man</w:t>
            </w:r>
          </w:p>
        </w:tc>
        <w:tc>
          <w:p>
            <w:pPr>
              <w:pStyle w:val="Compact"/>
              <w:jc w:val="left"/>
            </w:pPr>
            <w:r>
              <w:t xml:space="preserve">ambulatory</w:t>
            </w:r>
          </w:p>
        </w:tc>
        <w:tc>
          <w:p>
            <w:pPr>
              <w:pStyle w:val="Compact"/>
              <w:jc w:val="left"/>
            </w:pPr>
            <w:r>
              <w:t xml:space="preserve">drainage</w:t>
            </w:r>
          </w:p>
        </w:tc>
        <w:tc>
          <w:p>
            <w:pPr>
              <w:pStyle w:val="Compact"/>
            </w:pPr>
          </w:p>
        </w:tc>
        <w:tc>
          <w:p>
            <w:pPr>
              <w:pStyle w:val="Compact"/>
              <w:jc w:val="left"/>
            </w:pPr>
            <w:r>
              <w:t xml:space="preserve">no</w:t>
            </w:r>
          </w:p>
        </w:tc>
      </w:tr>
      <w:tr>
        <w:tc>
          <w:p>
            <w:pPr>
              <w:pStyle w:val="Compact"/>
              <w:jc w:val="left"/>
            </w:pPr>
            <w:r>
              <w:t xml:space="preserve">Tsai</w:t>
            </w:r>
            <w:r>
              <w:t xml:space="preserve"> </w:t>
            </w:r>
            <w:r>
              <w:t xml:space="preserve">[61]</w:t>
            </w:r>
          </w:p>
        </w:tc>
        <w:tc>
          <w:p>
            <w:pPr>
              <w:pStyle w:val="Compact"/>
              <w:jc w:val="left"/>
            </w:pPr>
            <w:r>
              <w:t xml:space="preserve">bendamustine</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pPr>
          </w:p>
        </w:tc>
        <w:tc>
          <w:p>
            <w:pPr>
              <w:pStyle w:val="Compact"/>
              <w:jc w:val="left"/>
            </w:pPr>
            <w:r>
              <w:t xml:space="preserve">yes</w:t>
            </w:r>
          </w:p>
        </w:tc>
      </w:tr>
      <w:tr>
        <w:tc>
          <w:p>
            <w:pPr>
              <w:pStyle w:val="Compact"/>
              <w:jc w:val="left"/>
            </w:pPr>
            <w:r>
              <w:t xml:space="preserve">Weiss</w:t>
            </w:r>
            <w:r>
              <w:t xml:space="preserve"> </w:t>
            </w:r>
            <w:r>
              <w:t xml:space="preserve">[36]</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pPr>
          </w:p>
        </w:tc>
        <w:tc>
          <w:p>
            <w:pPr>
              <w:pStyle w:val="Compact"/>
              <w:jc w:val="left"/>
            </w:pPr>
            <w:r>
              <w:t xml:space="preserve">yes</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CT</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CT</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CT</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Duca</w:t>
            </w:r>
            <w:r>
              <w:t xml:space="preserve"> </w:t>
            </w:r>
            <w:r>
              <w:t xml:space="preserve">[62]</w:t>
            </w:r>
          </w:p>
        </w:tc>
        <w:tc>
          <w:p>
            <w:pPr>
              <w:pStyle w:val="Compact"/>
              <w:jc w:val="left"/>
            </w:pPr>
            <w:r>
              <w:t xml:space="preserve">protamine</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HT, DM</w:t>
            </w:r>
          </w:p>
        </w:tc>
        <w:tc>
          <w:p>
            <w:pPr>
              <w:pStyle w:val="Compact"/>
              <w:jc w:val="left"/>
            </w:pPr>
            <w:r>
              <w:t xml:space="preserve">yes</w:t>
            </w:r>
          </w:p>
        </w:tc>
      </w:tr>
      <w:tr>
        <w:tc>
          <w:p>
            <w:pPr>
              <w:pStyle w:val="Compact"/>
              <w:jc w:val="left"/>
            </w:pPr>
            <w:r>
              <w:t xml:space="preserve">Duca</w:t>
            </w:r>
            <w:r>
              <w:t xml:space="preserve"> </w:t>
            </w:r>
            <w:r>
              <w:t xml:space="preserve">[62]</w:t>
            </w:r>
          </w:p>
        </w:tc>
        <w:tc>
          <w:p>
            <w:pPr>
              <w:pStyle w:val="Compact"/>
              <w:jc w:val="left"/>
            </w:pPr>
            <w:r>
              <w:t xml:space="preserve">aprotinin</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HT</w:t>
            </w:r>
          </w:p>
        </w:tc>
        <w:tc>
          <w:p>
            <w:pPr>
              <w:pStyle w:val="Compact"/>
              <w:jc w:val="left"/>
            </w:pPr>
            <w:r>
              <w:t xml:space="preserve">yes</w:t>
            </w:r>
          </w:p>
        </w:tc>
      </w:tr>
      <w:tr>
        <w:tc>
          <w:p>
            <w:pPr>
              <w:pStyle w:val="Compact"/>
              <w:jc w:val="left"/>
            </w:pPr>
            <w:r>
              <w:t xml:space="preserve">Rodrigues</w:t>
            </w:r>
            <w:r>
              <w:t xml:space="preserve"> </w:t>
            </w:r>
            <w:r>
              <w:t xml:space="preserve">[63]</w:t>
            </w:r>
          </w:p>
        </w:tc>
        <w:tc>
          <w:p>
            <w:pPr>
              <w:pStyle w:val="Compact"/>
              <w:jc w:val="left"/>
            </w:pPr>
            <w:r>
              <w:t xml:space="preserve">unknown</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Bauer</w:t>
            </w:r>
            <w:r>
              <w:t xml:space="preserve"> </w:t>
            </w:r>
            <w:r>
              <w:t xml:space="preserve">[30]</w:t>
            </w:r>
          </w:p>
        </w:tc>
        <w:tc>
          <w:p>
            <w:pPr>
              <w:pStyle w:val="Compact"/>
              <w:jc w:val="left"/>
            </w:pPr>
            <w:r>
              <w:t xml:space="preserve">menses</w:t>
            </w:r>
          </w:p>
        </w:tc>
        <w:tc>
          <w:p>
            <w:pPr>
              <w:pStyle w:val="Compact"/>
              <w:jc w:val="right"/>
            </w:pPr>
            <w:r>
              <w:t xml:space="preserve">43</w:t>
            </w:r>
          </w:p>
        </w:tc>
        <w:tc>
          <w:p>
            <w:pPr>
              <w:pStyle w:val="Compact"/>
              <w:jc w:val="left"/>
            </w:pPr>
            <w:r>
              <w:t xml:space="preserve">woman</w:t>
            </w:r>
          </w:p>
        </w:tc>
        <w:tc>
          <w:p>
            <w:pPr>
              <w:pStyle w:val="Compact"/>
              <w:jc w:val="left"/>
            </w:pPr>
            <w:r>
              <w:t xml:space="preserve">ambulatory</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Baumann</w:t>
            </w:r>
            <w:r>
              <w:t xml:space="preserve"> </w:t>
            </w:r>
            <w:r>
              <w:t xml:space="preserve">[20]</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Baumann</w:t>
            </w:r>
            <w:r>
              <w:t xml:space="preserve"> </w:t>
            </w:r>
            <w:r>
              <w:t xml:space="preserve">[20]</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Heytman</w:t>
            </w:r>
            <w:r>
              <w:t xml:space="preserve"> </w:t>
            </w:r>
            <w:r>
              <w:t xml:space="preserve">[34]</w:t>
            </w:r>
          </w:p>
        </w:tc>
        <w:tc>
          <w:p>
            <w:pPr>
              <w:pStyle w:val="Compact"/>
              <w:jc w:val="left"/>
            </w:pPr>
            <w:r>
              <w:t xml:space="preserve">gelofusine</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Heytman</w:t>
            </w:r>
            <w:r>
              <w:t xml:space="preserve"> </w:t>
            </w:r>
            <w:r>
              <w:t xml:space="preserve">[34]</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Higgins</w:t>
            </w:r>
            <w:r>
              <w:t xml:space="preserve"> </w:t>
            </w:r>
            <w:r>
              <w:t xml:space="preserve">[37]</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pPr>
          </w:p>
        </w:tc>
        <w:tc>
          <w:p>
            <w:pPr>
              <w:pStyle w:val="Compact"/>
              <w:jc w:val="left"/>
            </w:pPr>
            <w:r>
              <w:t xml:space="preserve">no</w:t>
            </w:r>
          </w:p>
        </w:tc>
      </w:tr>
      <w:tr>
        <w:tc>
          <w:p>
            <w:pPr>
              <w:pStyle w:val="Compact"/>
              <w:jc w:val="left"/>
            </w:pPr>
            <w:r>
              <w:t xml:space="preserve">Allen</w:t>
            </w:r>
            <w:r>
              <w:t xml:space="preserve"> </w:t>
            </w:r>
            <w:r>
              <w:t xml:space="preserve">[42]</w:t>
            </w:r>
          </w:p>
        </w:tc>
        <w:tc>
          <w:p>
            <w:pPr>
              <w:pStyle w:val="Compact"/>
              <w:jc w:val="left"/>
            </w:pPr>
            <w:r>
              <w:t xml:space="preserve">rocuronium</w:t>
            </w:r>
          </w:p>
        </w:tc>
        <w:tc>
          <w:p>
            <w:pPr>
              <w:pStyle w:val="Compact"/>
              <w:jc w:val="right"/>
            </w:pPr>
            <w:r>
              <w:t xml:space="preserve">21</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HT</w:t>
            </w:r>
          </w:p>
        </w:tc>
        <w:tc>
          <w:p>
            <w:pPr>
              <w:pStyle w:val="Compact"/>
              <w:jc w:val="left"/>
            </w:pPr>
            <w:r>
              <w:t xml:space="preserve">no</w:t>
            </w:r>
          </w:p>
        </w:tc>
      </w:tr>
      <w:tr>
        <w:tc>
          <w:p>
            <w:pPr>
              <w:pStyle w:val="Compact"/>
              <w:jc w:val="left"/>
            </w:pPr>
            <w:r>
              <w:t xml:space="preserve">Zaloga</w:t>
            </w:r>
            <w:r>
              <w:t xml:space="preserve"> </w:t>
            </w:r>
            <w:r>
              <w:t xml:space="preserve">[52]</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HT</w:t>
            </w:r>
          </w:p>
        </w:tc>
        <w:tc>
          <w:p>
            <w:pPr>
              <w:pStyle w:val="Compact"/>
              <w:jc w:val="left"/>
            </w:pPr>
            <w:r>
              <w:t xml:space="preserve">no</w:t>
            </w:r>
          </w:p>
        </w:tc>
      </w:tr>
      <w:tr>
        <w:tc>
          <w:p>
            <w:pPr>
              <w:pStyle w:val="Compact"/>
              <w:jc w:val="left"/>
            </w:pPr>
            <w:r>
              <w:t xml:space="preserve">Zweizig</w:t>
            </w:r>
            <w:r>
              <w:t xml:space="preserve"> </w:t>
            </w:r>
            <w:r>
              <w:t xml:space="preserve">[64]</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Lexenaire</w:t>
            </w:r>
            <w:r>
              <w:t xml:space="preserve"> </w:t>
            </w:r>
            <w:r>
              <w:t xml:space="preserve">[53]</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Bickell</w:t>
            </w:r>
            <w:r>
              <w:t xml:space="preserve"> </w:t>
            </w:r>
            <w:r>
              <w:t xml:space="preserve">[48]</w:t>
            </w:r>
          </w:p>
        </w:tc>
        <w:tc>
          <w:p>
            <w:pPr>
              <w:pStyle w:val="Compact"/>
              <w:jc w:val="left"/>
            </w:pPr>
            <w:r>
              <w:t xml:space="preserve">SIT</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pPr>
          </w:p>
        </w:tc>
        <w:tc>
          <w:p>
            <w:pPr>
              <w:pStyle w:val="Compact"/>
              <w:jc w:val="left"/>
            </w:pPr>
            <w:r>
              <w:t xml:space="preserve">no</w:t>
            </w:r>
          </w:p>
        </w:tc>
      </w:tr>
      <w:tr>
        <w:tc>
          <w:p>
            <w:pPr>
              <w:pStyle w:val="Compact"/>
              <w:jc w:val="left"/>
            </w:pPr>
            <w:r>
              <w:t xml:space="preserve">Javeed</w:t>
            </w:r>
            <w:r>
              <w:t xml:space="preserve"> </w:t>
            </w:r>
            <w:r>
              <w:t xml:space="preserve">[39]</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HT</w:t>
            </w:r>
          </w:p>
        </w:tc>
        <w:tc>
          <w:p>
            <w:pPr>
              <w:pStyle w:val="Compact"/>
              <w:jc w:val="left"/>
            </w:pPr>
            <w:r>
              <w:t xml:space="preserve">no</w:t>
            </w:r>
          </w:p>
        </w:tc>
      </w:tr>
      <w:tr>
        <w:tc>
          <w:p>
            <w:pPr>
              <w:pStyle w:val="Compact"/>
              <w:jc w:val="left"/>
            </w:pPr>
            <w:r>
              <w:t xml:space="preserve">Stocche</w:t>
            </w:r>
            <w:r>
              <w:t xml:space="preserve"> </w:t>
            </w:r>
            <w:r>
              <w:t xml:space="preserve">[65]</w:t>
            </w:r>
          </w:p>
        </w:tc>
        <w:tc>
          <w:p>
            <w:pPr>
              <w:pStyle w:val="Compact"/>
              <w:jc w:val="left"/>
            </w:pPr>
            <w:r>
              <w:t xml:space="preserve">dipirone</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Liu</w:t>
            </w:r>
            <w:r>
              <w:t xml:space="preserve"> </w:t>
            </w:r>
            <w:r>
              <w:t xml:space="preserve">[66]</w:t>
            </w:r>
          </w:p>
        </w:tc>
        <w:tc>
          <w:p>
            <w:pPr>
              <w:pStyle w:val="Compact"/>
              <w:jc w:val="left"/>
            </w:pPr>
            <w:r>
              <w:t xml:space="preserve">ketakonazole</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pPr>
          </w:p>
        </w:tc>
        <w:tc>
          <w:p>
            <w:pPr>
              <w:pStyle w:val="Compact"/>
              <w:jc w:val="left"/>
            </w:pPr>
            <w:r>
              <w:t xml:space="preserve">no</w:t>
            </w:r>
          </w:p>
        </w:tc>
      </w:tr>
      <w:tr>
        <w:tc>
          <w:p>
            <w:pPr>
              <w:pStyle w:val="Compact"/>
              <w:jc w:val="left"/>
            </w:pPr>
            <w:r>
              <w:t xml:space="preserve">Schummer</w:t>
            </w:r>
            <w:r>
              <w:t xml:space="preserve"> </w:t>
            </w:r>
            <w:r>
              <w:t xml:space="preserve">[43]</w:t>
            </w:r>
          </w:p>
        </w:tc>
        <w:tc>
          <w:p>
            <w:pPr>
              <w:pStyle w:val="Compact"/>
              <w:jc w:val="left"/>
            </w:pPr>
            <w:r>
              <w:t xml:space="preserve">aprotinin</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aprotionin</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HT, DM</w:t>
            </w: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gelatin</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[44]</w:t>
            </w:r>
          </w:p>
        </w:tc>
        <w:tc>
          <w:p>
            <w:pPr>
              <w:pStyle w:val="Compact"/>
              <w:jc w:val="left"/>
            </w:pPr>
            <w:r>
              <w:t xml:space="preserve">gelatin</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HT</w:t>
            </w:r>
          </w:p>
        </w:tc>
        <w:tc>
          <w:p>
            <w:pPr>
              <w:pStyle w:val="Compact"/>
              <w:jc w:val="left"/>
            </w:pPr>
            <w:r>
              <w:t xml:space="preserve">yes</w:t>
            </w:r>
          </w:p>
        </w:tc>
      </w:tr>
      <w:tr>
        <w:tc>
          <w:p>
            <w:pPr>
              <w:pStyle w:val="Compact"/>
              <w:jc w:val="left"/>
            </w:pPr>
            <w:r>
              <w:t xml:space="preserve">Weissgerber</w:t>
            </w:r>
            <w:r>
              <w:t xml:space="preserve"> </w:t>
            </w:r>
            <w:r>
              <w:t xml:space="preserve">[45]</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HT, DM</w:t>
            </w:r>
          </w:p>
        </w:tc>
        <w:tc>
          <w:p>
            <w:pPr>
              <w:pStyle w:val="Compact"/>
              <w:jc w:val="left"/>
            </w:pPr>
            <w:r>
              <w:t xml:space="preserve">no</w:t>
            </w:r>
          </w:p>
        </w:tc>
      </w:tr>
      <w:tr>
        <w:tc>
          <w:p>
            <w:pPr>
              <w:pStyle w:val="Compact"/>
              <w:jc w:val="left"/>
            </w:pPr>
            <w:r>
              <w:t xml:space="preserve">Hussain</w:t>
            </w:r>
            <w:r>
              <w:t xml:space="preserve"> </w:t>
            </w:r>
            <w:r>
              <w:t xml:space="preserve">[46]</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Lango</w:t>
            </w:r>
            <w:r>
              <w:t xml:space="preserve"> </w:t>
            </w:r>
            <w:r>
              <w:t xml:space="preserve">[47]</w:t>
            </w:r>
          </w:p>
        </w:tc>
        <w:tc>
          <w:p>
            <w:pPr>
              <w:pStyle w:val="Compact"/>
              <w:jc w:val="left"/>
            </w:pPr>
            <w:r>
              <w:t xml:space="preserve">aprotinin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HT</w:t>
            </w:r>
          </w:p>
        </w:tc>
        <w:tc>
          <w:p>
            <w:pPr>
              <w:pStyle w:val="Compact"/>
              <w:jc w:val="left"/>
            </w:pPr>
            <w:r>
              <w:t xml:space="preserve">yes</w:t>
            </w:r>
          </w:p>
        </w:tc>
      </w:tr>
      <w:tr>
        <w:tc>
          <w:p>
            <w:pPr>
              <w:pStyle w:val="Compact"/>
              <w:jc w:val="left"/>
            </w:pPr>
            <w:r>
              <w:t xml:space="preserve">Raft</w:t>
            </w:r>
            <w:r>
              <w:t xml:space="preserve"> </w:t>
            </w:r>
            <w:r>
              <w:t xml:space="preserve">[54]</w:t>
            </w:r>
          </w:p>
        </w:tc>
        <w:tc>
          <w:p>
            <w:pPr>
              <w:pStyle w:val="Compact"/>
              <w:jc w:val="left"/>
            </w:pPr>
            <w:r>
              <w:t xml:space="preserve">recuronium</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HT, DM</w:t>
            </w:r>
          </w:p>
        </w:tc>
        <w:tc>
          <w:p>
            <w:pPr>
              <w:pStyle w:val="Compact"/>
              <w:jc w:val="left"/>
            </w:pPr>
            <w:r>
              <w:t xml:space="preserve">no</w:t>
            </w:r>
          </w:p>
        </w:tc>
      </w:tr>
      <w:tr>
        <w:tc>
          <w:p>
            <w:pPr>
              <w:pStyle w:val="Compact"/>
              <w:jc w:val="left"/>
            </w:pPr>
            <w:r>
              <w:t xml:space="preserve">Wang</w:t>
            </w:r>
            <w:r>
              <w:t xml:space="preserve"> </w:t>
            </w:r>
            <w:r>
              <w:t xml:space="preserve">[55]</w:t>
            </w:r>
          </w:p>
        </w:tc>
        <w:tc>
          <w:p>
            <w:pPr>
              <w:pStyle w:val="Compact"/>
              <w:jc w:val="left"/>
            </w:pPr>
            <w:r>
              <w:t xml:space="preserve">chlorhexidine</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HT</w:t>
            </w:r>
          </w:p>
        </w:tc>
        <w:tc>
          <w:p>
            <w:pPr>
              <w:pStyle w:val="Compact"/>
              <w:jc w:val="left"/>
            </w:pPr>
            <w:r>
              <w:t xml:space="preserve">no</w:t>
            </w:r>
          </w:p>
        </w:tc>
      </w:tr>
      <w:tr>
        <w:tc>
          <w:p>
            <w:pPr>
              <w:pStyle w:val="Compact"/>
              <w:jc w:val="left"/>
            </w:pPr>
            <w:r>
              <w:t xml:space="preserve">Gibbs</w:t>
            </w:r>
            <w:r>
              <w:t xml:space="preserve"> </w:t>
            </w:r>
            <w:r>
              <w:t xml:space="preserve">[40]</w:t>
            </w:r>
          </w:p>
        </w:tc>
        <w:tc>
          <w:p>
            <w:pPr>
              <w:pStyle w:val="Compact"/>
              <w:jc w:val="left"/>
            </w:pPr>
            <w:r>
              <w:t xml:space="preserve">cefazolin</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HT, DM</w:t>
            </w:r>
          </w:p>
        </w:tc>
        <w:tc>
          <w:p>
            <w:pPr>
              <w:pStyle w:val="Compact"/>
              <w:jc w:val="left"/>
            </w:pPr>
            <w:r>
              <w:t xml:space="preserve">no</w:t>
            </w:r>
          </w:p>
        </w:tc>
      </w:tr>
      <w:tr>
        <w:tc>
          <w:p>
            <w:pPr>
              <w:pStyle w:val="Compact"/>
              <w:jc w:val="left"/>
            </w:pPr>
            <w:r>
              <w:t xml:space="preserve">Gouel-Cheron</w:t>
            </w:r>
            <w:r>
              <w:t xml:space="preserve"> </w:t>
            </w:r>
            <w:r>
              <w:t xml:space="preserve">[56]</w:t>
            </w:r>
          </w:p>
        </w:tc>
        <w:tc>
          <w:p>
            <w:pPr>
              <w:pStyle w:val="Compact"/>
              <w:jc w:val="left"/>
            </w:pPr>
            <w:r>
              <w:t xml:space="preserve">unknown</w:t>
            </w:r>
          </w:p>
        </w:tc>
        <w:tc>
          <w:p>
            <w:pPr>
              <w:pStyle w:val="Compact"/>
              <w:jc w:val="right"/>
            </w:pPr>
            <w:r>
              <w:t xml:space="preserve">90</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Gouel-Cheron</w:t>
            </w:r>
            <w:r>
              <w:t xml:space="preserve"> </w:t>
            </w:r>
            <w:r>
              <w:t xml:space="preserve">[56]</w:t>
            </w:r>
          </w:p>
        </w:tc>
        <w:tc>
          <w:p>
            <w:pPr>
              <w:pStyle w:val="Compact"/>
              <w:jc w:val="left"/>
            </w:pPr>
            <w:r>
              <w:t xml:space="preserve">unknown</w:t>
            </w:r>
          </w:p>
        </w:tc>
        <w:tc>
          <w:p>
            <w:pPr>
              <w:pStyle w:val="Compact"/>
              <w:jc w:val="right"/>
            </w:pPr>
            <w:r>
              <w:t xml:space="preserve">76</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Gouel-Cheron</w:t>
            </w:r>
            <w:r>
              <w:t xml:space="preserve"> </w:t>
            </w:r>
            <w:r>
              <w:t xml:space="preserve">[56]</w:t>
            </w:r>
          </w:p>
        </w:tc>
        <w:tc>
          <w:p>
            <w:pPr>
              <w:pStyle w:val="Compact"/>
              <w:jc w:val="left"/>
            </w:pPr>
            <w:r>
              <w:t xml:space="preserve">unknown</w:t>
            </w:r>
          </w:p>
        </w:tc>
        <w:tc>
          <w:p>
            <w:pPr>
              <w:pStyle w:val="Compact"/>
              <w:jc w:val="right"/>
            </w:pPr>
            <w:r>
              <w:t xml:space="preserve">67</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bl>
    <w:p>
      <w:pPr>
        <w:pStyle w:val="TableCaption"/>
      </w:pPr>
      <w:r>
        <w:t xml:space="preserve">Table 4 Fatal anaphylaxis cases, not responsive to any form of therapy.</w:t>
      </w:r>
    </w:p>
    <w:tbl>
      <w:tblPr>
        <w:tblStyle w:val="TableNormal"/>
        <w:tblW w:type="pct" w:w="0.0"/>
        <w:tblLook w:firstRow="1"/>
        <w:tblCaption w:val="Table 4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r>
        <w:tc>
          <w:p>
            <w:pPr>
              <w:pStyle w:val="Compact"/>
              <w:jc w:val="left"/>
            </w:pPr>
            <w:r>
              <w:t xml:space="preserve">unknown</w:t>
            </w:r>
          </w:p>
        </w:tc>
        <w:tc>
          <w:p>
            <w:pPr>
              <w:pStyle w:val="Compact"/>
              <w:jc w:val="right"/>
            </w:pPr>
            <w:r>
              <w:t xml:space="preserve">90</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8.0</w:t>
            </w:r>
          </w:p>
        </w:tc>
        <w:tc>
          <w:p>
            <w:pPr>
              <w:pStyle w:val="Compact"/>
              <w:jc w:val="right"/>
            </w:pPr>
            <w:r>
              <w:t xml:space="preserve">0.0</w:t>
            </w:r>
          </w:p>
        </w:tc>
        <w:tc>
          <w:p>
            <w:pPr>
              <w:pStyle w:val="Compact"/>
              <w:jc w:val="left"/>
            </w:pPr>
            <w:r>
              <w:t xml:space="preserve">-</w:t>
            </w:r>
          </w:p>
        </w:tc>
      </w:tr>
      <w:tr>
        <w:tc>
          <w:p>
            <w:pPr>
              <w:pStyle w:val="Compact"/>
              <w:jc w:val="left"/>
            </w:pPr>
            <w:r>
              <w:t xml:space="preserve">unknown</w:t>
            </w:r>
          </w:p>
        </w:tc>
        <w:tc>
          <w:p>
            <w:pPr>
              <w:pStyle w:val="Compact"/>
              <w:jc w:val="right"/>
            </w:pPr>
            <w:r>
              <w:t xml:space="preserve">76</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20.0</w:t>
            </w:r>
          </w:p>
        </w:tc>
        <w:tc>
          <w:p>
            <w:pPr>
              <w:pStyle w:val="Compact"/>
              <w:jc w:val="right"/>
            </w:pPr>
            <w:r>
              <w:t xml:space="preserve">0.0</w:t>
            </w:r>
          </w:p>
        </w:tc>
        <w:tc>
          <w:p>
            <w:pPr>
              <w:pStyle w:val="Compact"/>
              <w:jc w:val="left"/>
            </w:pPr>
            <w:r>
              <w:t xml:space="preserve">+</w:t>
            </w:r>
          </w:p>
        </w:tc>
      </w:tr>
      <w:tr>
        <w:tc>
          <w:p>
            <w:pPr>
              <w:pStyle w:val="Compact"/>
              <w:jc w:val="left"/>
            </w:pPr>
            <w:r>
              <w:t xml:space="preserve">unknown</w:t>
            </w:r>
          </w:p>
        </w:tc>
        <w:tc>
          <w:p>
            <w:pPr>
              <w:pStyle w:val="Compact"/>
              <w:jc w:val="right"/>
            </w:pPr>
            <w:r>
              <w:t xml:space="preserve">67</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1.3</w:t>
            </w:r>
          </w:p>
        </w:tc>
        <w:tc>
          <w:p>
            <w:pPr>
              <w:pStyle w:val="Compact"/>
              <w:jc w:val="right"/>
            </w:pPr>
            <w:r>
              <w:t xml:space="preserve">0.5</w:t>
            </w:r>
          </w:p>
        </w:tc>
        <w:tc>
          <w:p>
            <w:pPr>
              <w:pStyle w:val="Compact"/>
              <w:jc w:val="left"/>
            </w:pPr>
            <w:r>
              <w:t xml:space="preserv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2506F7"/>
    <w:multiLevelType w:val="multilevel"/>
    <w:tmpl w:val="8EDAE4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b4b028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e63c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2D2595"/>
    <w:pPr>
      <w:keepNext/>
      <w:keepLines/>
      <w:numPr>
        <w:numId w:val="3"/>
      </w:numPr>
      <w:spacing w:before="480" w:after="0"/>
      <w:outlineLvl w:val="0"/>
    </w:pPr>
    <w:rPr>
      <w:rFonts w:ascii="Times New Roman" w:eastAsiaTheme="majorEastAsia" w:hAnsi="Times New Roman" w:cstheme="majorBidi"/>
      <w:b/>
      <w:bCs/>
      <w:szCs w:val="32"/>
    </w:rPr>
  </w:style>
  <w:style w:type="paragraph" w:styleId="berschrift2">
    <w:name w:val="heading 2"/>
    <w:basedOn w:val="Standard"/>
    <w:next w:val="Textkrper"/>
    <w:uiPriority w:val="9"/>
    <w:unhideWhenUsed/>
    <w:qFormat/>
    <w:rsid w:val="00C61880"/>
    <w:pPr>
      <w:keepNext/>
      <w:keepLines/>
      <w:numPr>
        <w:ilvl w:val="1"/>
        <w:numId w:val="3"/>
      </w:numPr>
      <w:spacing w:before="200" w:after="0"/>
      <w:outlineLvl w:val="1"/>
    </w:pPr>
    <w:rPr>
      <w:rFonts w:ascii="Times New Roman" w:eastAsiaTheme="majorEastAsia" w:hAnsi="Times New Roman" w:cstheme="majorBidi"/>
      <w:bCs/>
      <w:szCs w:val="32"/>
      <w:u w:val="single"/>
    </w:rPr>
  </w:style>
  <w:style w:type="paragraph" w:styleId="berschrift3">
    <w:name w:val="heading 3"/>
    <w:basedOn w:val="Standard"/>
    <w:next w:val="Textkrper"/>
    <w:uiPriority w:val="9"/>
    <w:unhideWhenUsed/>
    <w:qFormat/>
    <w:rsid w:val="00C61880"/>
    <w:pPr>
      <w:keepNext/>
      <w:keepLines/>
      <w:numPr>
        <w:ilvl w:val="2"/>
        <w:numId w:val="3"/>
      </w:numPr>
      <w:spacing w:before="200" w:after="0"/>
      <w:outlineLvl w:val="2"/>
    </w:pPr>
    <w:rPr>
      <w:rFonts w:ascii="Times New Roman" w:eastAsiaTheme="majorEastAsia" w:hAnsi="Times New Roman" w:cstheme="majorBidi"/>
      <w:bCs/>
      <w:i/>
      <w:szCs w:val="28"/>
    </w:rPr>
  </w:style>
  <w:style w:type="paragraph" w:styleId="berschrift4">
    <w:name w:val="heading 4"/>
    <w:basedOn w:val="Standard"/>
    <w:next w:val="Textkrper"/>
    <w:uiPriority w:val="9"/>
    <w:unhideWhenUsed/>
    <w:qFormat/>
    <w:rsid w:val="00C61880"/>
    <w:pPr>
      <w:keepNext/>
      <w:keepLines/>
      <w:numPr>
        <w:ilvl w:val="3"/>
        <w:numId w:val="3"/>
      </w:numPr>
      <w:spacing w:before="200" w:after="0"/>
      <w:outlineLvl w:val="3"/>
    </w:pPr>
    <w:rPr>
      <w:rFonts w:ascii="Times New Roman" w:eastAsiaTheme="majorEastAsia" w:hAnsi="Times New Roman" w:cstheme="majorBidi"/>
      <w:bCs/>
    </w:rPr>
  </w:style>
  <w:style w:type="paragraph" w:styleId="berschrift5">
    <w:name w:val="heading 5"/>
    <w:basedOn w:val="Standard"/>
    <w:next w:val="Textkrper"/>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semiHidden/>
    <w:unhideWhenUsed/>
    <w:rsid w:val="002D259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rsid w:val="002D259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rsid w:val="002D259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C61880"/>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C61880"/>
    <w:pPr>
      <w:keepNext/>
      <w:keepLines/>
      <w:spacing w:before="480" w:after="240"/>
    </w:pPr>
    <w:rPr>
      <w:rFonts w:ascii="Times New Roman" w:eastAsiaTheme="majorEastAsia" w:hAnsi="Times New Roman" w:cstheme="majorBidi"/>
      <w:bCs/>
      <w:sz w:val="48"/>
      <w:szCs w:val="36"/>
    </w:rPr>
  </w:style>
  <w:style w:type="paragraph" w:styleId="Untertitel">
    <w:name w:val="Subtitle"/>
    <w:basedOn w:val="Titel"/>
    <w:next w:val="Textkrper"/>
    <w:qFormat/>
    <w:pPr>
      <w:spacing w:before="240"/>
      <w:jc w:val="center"/>
    </w:pPr>
    <w:rPr>
      <w:sz w:val="30"/>
      <w:szCs w:val="30"/>
    </w:rPr>
  </w:style>
  <w:style w:type="paragraph" w:customStyle="1" w:styleId="Author">
    <w:name w:val="Author"/>
    <w:next w:val="Textkrper"/>
    <w:qFormat/>
    <w:rsid w:val="00C61880"/>
    <w:pPr>
      <w:keepNext/>
      <w:keepLines/>
      <w:spacing w:after="80"/>
    </w:pPr>
    <w:rPr>
      <w:rFonts w:ascii="Times New Roman" w:hAnsi="Times New Roman"/>
    </w:rPr>
  </w:style>
  <w:style w:type="paragraph" w:styleId="Datum">
    <w:name w:val="Date"/>
    <w:next w:val="Textkrper"/>
    <w:qFormat/>
    <w:rsid w:val="00C61880"/>
    <w:pPr>
      <w:keepNext/>
      <w:keepLines/>
    </w:pPr>
    <w:rPr>
      <w:rFonts w:ascii="Times New Roman" w:hAnsi="Times New Roman"/>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C6188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1880"/>
    <w:rPr>
      <w:rFonts w:ascii="Tahoma" w:hAnsi="Tahoma" w:cs="Tahoma"/>
      <w:sz w:val="16"/>
      <w:szCs w:val="16"/>
    </w:rPr>
  </w:style>
  <w:style w:type="character" w:styleId="Zeilennummer">
    <w:name w:val="line number"/>
    <w:basedOn w:val="Absatz-Standardschriftart"/>
    <w:rsid w:val="00B0534C"/>
  </w:style>
  <w:style w:type="character" w:customStyle="1" w:styleId="berschrift7Zchn">
    <w:name w:val="Überschrift 7 Zchn"/>
    <w:basedOn w:val="Absatz-Standardschriftart"/>
    <w:link w:val="berschrift7"/>
    <w:semiHidden/>
    <w:rsid w:val="002D259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semiHidden/>
    <w:rsid w:val="002D25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D259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897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My title</vt:lpstr>
    </vt:vector>
  </TitlesOfParts>
  <Company>University of Wollongong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review of case reports</dc:title>
  <dc:creator>Wojciech Francuzik; Sabine Dölle; Margitta Worm, MD</dc:creator>
  <dcterms:created xsi:type="dcterms:W3CDTF">2018-02-23T12:42:48Z</dcterms:created>
  <dcterms:modified xsi:type="dcterms:W3CDTF">2018-02-23T12:42:48Z</dcterms:modified>
</cp:coreProperties>
</file>