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8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e"/>
      </w:pPr>
      <w:r>
        <w:t xml:space="preserve">06</w:t>
      </w:r>
      <w:r>
        <w:t xml:space="preserve"> </w:t>
      </w:r>
      <w:r>
        <w:t xml:space="preserve">Dezember,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potentially life-threatening mast cell dependent reaction to most frequently food, drugs, insect venom. Anaphylaxis is a clinical diagnosis. It is highly likely if there is an acute onset of skin symptoms in conjuction with cardiovascular symptoms like hypotension and/or respiratory compromise</w:t>
      </w:r>
      <w:r>
        <w:t xml:space="preserve"> </w:t>
      </w:r>
      <w:r>
        <w:t xml:space="preserve">[1]</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[2]</w:t>
      </w:r>
      <w:r>
        <w:t xml:space="preserve">.</w:t>
      </w:r>
    </w:p>
    <w:p>
      <w:pPr>
        <w:pStyle w:val="BodyText"/>
      </w:pPr>
      <w:r>
        <w:t xml:space="preserve">Although anaphylaxis remains to be a clinical diagnosis</w:t>
      </w:r>
      <w:r>
        <w:t xml:space="preserve"> </w:t>
      </w:r>
      <w:r>
        <w:t xml:space="preserve">[3]</w:t>
      </w:r>
      <w:r>
        <w:t xml:space="preserve">, a standardized set of criteria to diagnose anaphylaxis have been established</w:t>
      </w:r>
      <w:r>
        <w:t xml:space="preserve"> </w:t>
      </w:r>
      <w:r>
        <w:t xml:space="preserve">[1]</w:t>
      </w:r>
      <w:r>
        <w:t xml:space="preserve">.By contrast the term refractory anaphylaxis has not established. For the purpose of this review, we define refractory anaphylaxis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BodyText"/>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BodyText"/>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in the majority of cases food dependent and most likely less severe than episodes in adulthood</w:t>
      </w:r>
      <w:r>
        <w:t xml:space="preserve"> </w:t>
      </w:r>
      <w:r>
        <w:t xml:space="preserve">[8]</w:t>
      </w:r>
      <w:r>
        <w:t xml:space="preserve">. Cases of refractory anaphylaxis are extremely rare. The incidence of refractory anaphylaxis was not investigated earlier and it is estimated (based on our data) to range between 3–5% of all cases of anaphylaxis.</w:t>
      </w:r>
    </w:p>
    <w:p>
      <w:pPr>
        <w:pStyle w:val="BodyText"/>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[9]</w:t>
      </w:r>
      <w:r>
        <w:t xml:space="preserve">. Severe anaphylaxis is more likely to be elicited in older patients, patients with mastocytosis, and in temporal proximity to vigorous exercise (e.g. jogging)</w:t>
      </w:r>
      <w:r>
        <w:t xml:space="preserve"> </w:t>
      </w:r>
      <w:r>
        <w:t xml:space="preserve">[9]</w:t>
      </w:r>
      <w:r>
        <w:t xml:space="preserve">. Risk factors for</w:t>
      </w:r>
      <w:r>
        <w:t xml:space="preserve"> </w:t>
      </w:r>
      <w:r>
        <w:rPr>
          <w:i/>
        </w:rPr>
        <w:t xml:space="preserve">refractory</w:t>
      </w:r>
      <w:r>
        <w:t xml:space="preserve"> </w:t>
      </w:r>
      <w:r>
        <w:t xml:space="preserve">anaphylaxis were not investigated previously.</w:t>
      </w:r>
    </w:p>
    <w:p>
      <w:pPr>
        <w:pStyle w:val="BodyText"/>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international guidelines and the mainstay of therapy is the early administration of intramuscular (i.m.) adrenaline</w:t>
      </w:r>
      <w:r>
        <w:t xml:space="preserve"> </w:t>
      </w:r>
      <w:r>
        <w:t xml:space="preserve">[10]</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BodyText"/>
      </w:pPr>
      <w:r>
        <w:t xml:space="preserve">In the present analysis we aimed to evaluate the management and risk factors of refractory anaphylaxis to highlight possible clinical implications for updating current management algorithms.</w:t>
      </w:r>
    </w:p>
    <w:p>
      <w:pPr>
        <w:pStyle w:val="BodyText"/>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[11]</w:t>
      </w:r>
      <w:r>
        <w:t xml:space="preserve"> </w:t>
      </w:r>
      <w:r>
        <w:t xml:space="preserve">package for R statistical software</w:t>
      </w:r>
      <w:r>
        <w:t xml:space="preserve"> </w:t>
      </w:r>
      <w:r>
        <w:t xml:space="preserve">[12]</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adrenaline. Also, cases describing mast cell activation syndrome and refractory vasoplegia without the definitive diagnosis of anaphylaxis were not included. We finally included 29 Papers reporting 39 cases of anaphylaxis.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p>
      <w:pPr>
        <w:pStyle w:val="Heading1"/>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27 (69.2%) cases the anaphylactic reaction occured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 (see Table</w:t>
      </w:r>
      <w:r>
        <w:t xml:space="preserve"> </w:t>
      </w:r>
      <w:r>
        <w:t xml:space="preserve">1</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[13]</w:t>
      </w:r>
    </w:p>
    <w:p>
      <w:pPr>
        <w:pStyle w:val="BodyText"/>
      </w:pPr>
      <w:r>
        <w:t xml:space="preserve">An 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[14]</w:t>
      </w:r>
      <w:r>
        <w:t xml:space="preserve"> </w:t>
      </w:r>
      <w:r>
        <w:t xml:space="preserve">In such case - treatment with adrenalin should be immediately initiated as delayed adrenaline use has been linked with increased mortality</w:t>
      </w:r>
      <w:r>
        <w:t xml:space="preserve"> </w:t>
      </w:r>
      <w:r>
        <w:t xml:space="preserve">[15]</w:t>
      </w:r>
      <w:r>
        <w:t xml:space="preserve"> </w:t>
      </w:r>
      <w:r>
        <w:t xml:space="preserve">and refractoriness to adrenaline</w:t>
      </w:r>
      <w:r>
        <w:t xml:space="preserve"> </w:t>
      </w:r>
      <w:r>
        <w:t xml:space="preserve">[7]</w:t>
      </w:r>
      <w:r>
        <w:t xml:space="preserve">.</w:t>
      </w:r>
    </w:p>
    <w:p>
      <w:pPr>
        <w:pStyle w:val="Heading1"/>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[16]</w:t>
      </w:r>
      <w:r>
        <w:t xml:space="preserve"> </w:t>
      </w:r>
      <w:r>
        <w:t xml:space="preserve">but were supplemented by additional procedures that have saved patients’ lives when first-line therapy failed. We report the most frequent procedures in order to evaluate them in the treatment of refractory anaphylaxis.</w:t>
      </w:r>
    </w:p>
    <w:p>
      <w:pPr>
        <w:pStyle w:val="BodyText"/>
      </w:pPr>
      <w:r>
        <w:t xml:space="preserve">Based on the analyzed reports, ambulatory 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BodyText"/>
      </w:pPr>
      <w:r>
        <w:t xml:space="preserve">4 fatal cases (10.3%) which did not respond to any therapy are listed in the table</w:t>
      </w:r>
      <w:r>
        <w:t xml:space="preserve"> </w:t>
      </w:r>
      <w:r>
        <w:t xml:space="preserve">2</w:t>
      </w:r>
    </w:p>
    <w:p>
      <w:pPr>
        <w:pStyle w:val="BodyText"/>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[16]</w:t>
      </w:r>
      <w:r>
        <w:t xml:space="preserve">. Patients should be transported to a critical care unit. The AAAAI</w:t>
      </w:r>
      <w:r>
        <w:t xml:space="preserve"> </w:t>
      </w:r>
      <w:r>
        <w:t xml:space="preserve">[17]</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[18]</w:t>
      </w:r>
      <w:r>
        <w:t xml:space="preserve"> </w:t>
      </w:r>
      <w:r>
        <w:t xml:space="preserve">guidelines suggest to use glucagon in case of concomitant beta-blockade.</w:t>
      </w:r>
    </w:p>
    <w:p>
      <w:pPr>
        <w:pStyle w:val="Heading1"/>
      </w:pPr>
      <w:bookmarkStart w:id="25" w:name="methylene-blue-for-the-treatment-of-refractory-hypotension"/>
      <w:bookmarkEnd w:id="25"/>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BodyText"/>
      </w:pPr>
      <w:r>
        <w:t xml:space="preserve">The hypotension in anaphylaxis is mediated mainly through histamine</w:t>
      </w:r>
      <w:r>
        <w:t xml:space="preserve"> </w:t>
      </w:r>
      <w:r>
        <w:t xml:space="preserve">[19]</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[20]</w:t>
      </w:r>
      <w:r>
        <w:t xml:space="preserve">. This in effect leads to the opening of the calcium ion channels in smooth muscle tissues and subsequent loss of vascular muscle contractility</w:t>
      </w:r>
      <w:r>
        <w:t xml:space="preserve"> </w:t>
      </w:r>
      <w:r>
        <w:t xml:space="preserve">[21]</w:t>
      </w:r>
      <w:r>
        <w:t xml:space="preserve">.</w:t>
      </w:r>
    </w:p>
    <w:p>
      <w:pPr>
        <w:pStyle w:val="BodyText"/>
      </w:pPr>
      <w:r>
        <w:t xml:space="preserve">Methylene blue is a well-investigated drug used for treating patients with methemoglobinemia</w:t>
      </w:r>
      <w:r>
        <w:t xml:space="preserve"> </w:t>
      </w:r>
      <w:r>
        <w:t xml:space="preserve">[22]</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[23]</w:t>
      </w:r>
      <w:r>
        <w:t xml:space="preserve">.</w:t>
      </w:r>
    </w:p>
    <w:p>
      <w:pPr>
        <w:pStyle w:val="BodyText"/>
      </w:pPr>
      <w:r>
        <w:t xml:space="preserve">Although the mechanism of action is thought to counteract the vasoplegia related hypotension, one case report successfully used methylene blue in the treatment of anaphylaxis without hypotension</w:t>
      </w:r>
      <w:r>
        <w:t xml:space="preserve"> </w:t>
      </w:r>
      <w:r>
        <w:t xml:space="preserve">[24]</w:t>
      </w:r>
      <w:r>
        <w:t xml:space="preserve">. Authors suggested that the inhibition of GC may result in the decrease of histamine and platelet-activating factor (PAF) production which is a potent mediator of anaphylaxis</w:t>
      </w:r>
      <w:r>
        <w:t xml:space="preserve"> </w:t>
      </w:r>
      <w:r>
        <w:t xml:space="preserve">[25]</w:t>
      </w:r>
      <w:r>
        <w:t xml:space="preserve">.</w:t>
      </w:r>
    </w:p>
    <w:p>
      <w:pPr>
        <w:pStyle w:val="BodyText"/>
      </w:pPr>
      <w:r>
        <w:t xml:space="preserve">The use of methylene blue in current management of anaphylaxis is scarce. We received no reports of methylene blue use in our International Registry of Anaphylaxis which contains over 10,000 cases to date.</w:t>
      </w:r>
    </w:p>
    <w:p>
      <w:pPr>
        <w:pStyle w:val="BodyText"/>
      </w:pPr>
      <w:r>
        <w:t xml:space="preserve">We propose to initiate the therapy in case of a refractory anaphylaxis with hypotension using 100 mg bolus i.v. and follow it with an infusion of 50 µg/kg/min. As a vector, a 100 mL of 5% dextrose can be used.</w:t>
      </w:r>
    </w:p>
    <w:p>
      <w:pPr>
        <w:pStyle w:val="BodyText"/>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[26]</w:t>
      </w:r>
      <w:r>
        <w:t xml:space="preserve">). It may be considered a safe option for the treatment of anaphylaxis. No side effects were reported due to methylene blue use in the above cases.</w:t>
      </w:r>
    </w:p>
    <w:p>
      <w:pPr>
        <w:pStyle w:val="BodyText"/>
      </w:pPr>
      <w:r>
        <w:t xml:space="preserve">Clinicians must be aware that methylene blue may provoke false pulse-oximetry readings as the blue dye mimics cyanosis</w:t>
      </w:r>
      <w:r>
        <w:t xml:space="preserve"> </w:t>
      </w:r>
      <w:r>
        <w:t xml:space="preserve">[27]</w:t>
      </w:r>
      <w:r>
        <w:t xml:space="preserve">.</w:t>
      </w:r>
    </w:p>
    <w:p>
      <w:pPr>
        <w:pStyle w:val="Heading1"/>
      </w:pPr>
      <w:bookmarkStart w:id="26" w:name="vasopressors"/>
      <w:bookmarkEnd w:id="26"/>
      <w:r>
        <w:t xml:space="preserve">Vasopressors</w:t>
      </w:r>
    </w:p>
    <w:p>
      <w:pPr>
        <w:pStyle w:val="FirstParagraph"/>
      </w:pPr>
      <w:r>
        <w:t xml:space="preserve">In case of a hypotension refractory to adrenaline or volume replacement therapy – vasopressors can be evaluated. 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w:t>
      </w:r>
      <w:r>
        <w:t xml:space="preserve"> </w:t>
      </w:r>
      <w:r>
        <w:t xml:space="preserve">[28]–[30]</w:t>
      </w:r>
      <w:r>
        <w:t xml:space="preserve">, methoxamine</w:t>
      </w:r>
      <w:r>
        <w:t xml:space="preserve"> </w:t>
      </w:r>
      <w:r>
        <w:t xml:space="preserve">[31]</w:t>
      </w:r>
      <w:r>
        <w:t xml:space="preserve">, dopamine</w:t>
      </w:r>
      <w:r>
        <w:t xml:space="preserve"> </w:t>
      </w:r>
      <w:r>
        <w:t xml:space="preserve">[13],[32]–[34]</w:t>
      </w:r>
      <w:r>
        <w:t xml:space="preserve">, and noradrenaline</w:t>
      </w:r>
      <w:r>
        <w:t xml:space="preserve"> </w:t>
      </w:r>
      <w:r>
        <w:t xml:space="preserve">[13],[29],[33],[35]–[41]</w:t>
      </w:r>
      <w:r>
        <w:t xml:space="preserve"> </w:t>
      </w:r>
      <w:r>
        <w:t xml:space="preserve">infusions.</w:t>
      </w:r>
      <w:r>
        <w:t xml:space="preserve"> </w:t>
      </w:r>
      <w:r>
        <w:t xml:space="preserve">Drugs given perioperatively were the elicing factors in all but two of these cases (88.2%) and all patients reacted within minutes (range 5 - 20) upon exposition to the suspected drug. One patient reacted to systemic immune therapy (SIT) injection that was inadverently extremely high-concentrated</w:t>
      </w:r>
      <w:r>
        <w:t xml:space="preserve"> </w:t>
      </w:r>
      <w:r>
        <w:t xml:space="preserve">[42]</w:t>
      </w:r>
      <w:r>
        <w:t xml:space="preserve"> </w:t>
      </w:r>
      <w:r>
        <w:t xml:space="preserve">and in one case the elicitor could not be established</w:t>
      </w:r>
      <w:r>
        <w:t xml:space="preserve"> </w:t>
      </w:r>
      <w:r>
        <w:t xml:space="preserve">[28]</w:t>
      </w:r>
      <w:r>
        <w:t xml:space="preserve">.</w:t>
      </w:r>
    </w:p>
    <w:p>
      <w:pPr>
        <w:pStyle w:val="BodyText"/>
      </w:pPr>
      <w:r>
        <w:t xml:space="preserve">Use of vasopressin in refractory anaphylaxis was only suggested in management recommendations from the AAAAI</w:t>
      </w:r>
      <w:r>
        <w:t xml:space="preserve"> </w:t>
      </w:r>
      <w:r>
        <w:t xml:space="preserve">[17]</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t xml:space="preserve"> </w:t>
      </w:r>
      <w:r>
        <w:t xml:space="preserve">[43]</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[44]</w:t>
      </w:r>
      <w:r>
        <w:t xml:space="preserve">.</w:t>
      </w:r>
    </w:p>
    <w:p>
      <w:pPr>
        <w:pStyle w:val="BodyText"/>
      </w:pPr>
      <w:r>
        <w:t xml:space="preserve">Seedat et al. described a case of anaphylaxis while undergoing a bilateral knee arthroscopy under general anesthesia. The refractory shock was not responding to repeated adrenalin (total 2 mg), antihistaminics and hydrocortisone</w:t>
      </w:r>
      <w:r>
        <w:t xml:space="preserve"> </w:t>
      </w:r>
      <w:r>
        <w:t xml:space="preserve">[45]</w:t>
      </w:r>
      <w:r>
        <w:t xml:space="preserve">. Rapid response was achieved with the last resort injection of 1 U ornipressin that was repeatedly effective when biphasic reaction occurred. Authors concluded that vasopressin or ornipressin should be considered for the treatment of adrenaline-resistant anaphylactic shock before resuscitation is discontinued</w:t>
      </w:r>
      <w:r>
        <w:t xml:space="preserve"> </w:t>
      </w:r>
      <w:r>
        <w:t xml:space="preserve">[45]</w:t>
      </w:r>
      <w:r>
        <w:t xml:space="preserve">. We support the use of vasopressin in refractory hypotension, combined with norepinephrine infusions.</w:t>
      </w:r>
    </w:p>
    <w:p>
      <w:pPr>
        <w:pStyle w:val="BodyText"/>
      </w:pPr>
      <w:r>
        <w:t xml:space="preserve">One case report described the use of military anti-shock trousers to perform external vasopression on a patient who received inadvertently high doses of systemic immune therapy allergen</w:t>
      </w:r>
      <w:r>
        <w:t xml:space="preserve"> </w:t>
      </w:r>
      <w:r>
        <w:t xml:space="preserve">[42]</w:t>
      </w:r>
      <w:r>
        <w:t xml:space="preserve">. Although this can be hardly available in critical care centers we would like to point out this minimally invasive method as a possible alternative measure in achieving normotension.</w:t>
      </w:r>
    </w:p>
    <w:p>
      <w:pPr>
        <w:pStyle w:val="BodyText"/>
      </w:pPr>
      <w:r>
        <w:t xml:space="preserve">The European anaphylaxis register lists 18 cases where dopamine was used (mean age 52.9; range 16–77). None of these reactions were fatal and 44.4% were Ring and Messmer grade IV. 66.7% of there reactions were elicited by drugs or occured during a medical procedure. Adrenaline was not used in 22.2%</w:t>
      </w:r>
    </w:p>
    <w:p>
      <w:pPr>
        <w:pStyle w:val="Heading1"/>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anaphylctic event in patients taking beta-blockers as both heart and lungs possess beta-adrenergic receptors.</w:t>
      </w:r>
      <w:r>
        <w:t xml:space="preserve"> </w:t>
      </w:r>
      <w:r>
        <w:t xml:space="preserve">Glucagon, a polypeptide hormone with potent inotropic and chronotropic actions was given in two cases of refractory hypotension in analyzed cases</w:t>
      </w:r>
      <w:r>
        <w:t xml:space="preserve">[33],[46]</w:t>
      </w:r>
      <w:r>
        <w:t xml:space="preserve">. Both patients recieiving glucagon were undergoing refractory anaphylaxis with the concomitant use of atenolol for arterial hypertension. They both reacted to contrast medium and after minutes they have devloped severe anaphylaxis not responding to repeated doses of adrenaline. Infusion of 1 mg glucagon per hour or 1 mg glucagon as a bolus releaved the refractory shock in both cases and it also sucessfully treated a recurrent biphasic reaction</w:t>
      </w:r>
      <w:r>
        <w:t xml:space="preserve"> </w:t>
      </w:r>
      <w:r>
        <w:t xml:space="preserve">[33]</w:t>
      </w:r>
      <w:r>
        <w:t xml:space="preserve">.</w:t>
      </w:r>
    </w:p>
    <w:p>
      <w:pPr>
        <w:pStyle w:val="BodyText"/>
      </w:pPr>
      <w:r>
        <w:t xml:space="preserve">Adrenergic effects of glucagon are minimally influenced by beta-blockers</w:t>
      </w:r>
      <w:r>
        <w:t xml:space="preserve"> </w:t>
      </w:r>
      <w:r>
        <w:t xml:space="preserve">[46]</w:t>
      </w:r>
      <w:r>
        <w:t xml:space="preserve"> </w:t>
      </w:r>
      <w:r>
        <w:t xml:space="preserve">as glucagon activates adenylyl cyclase directly</w:t>
      </w:r>
      <w:r>
        <w:t xml:space="preserve"> </w:t>
      </w:r>
      <w:r>
        <w:t xml:space="preserve">[3]</w:t>
      </w:r>
      <w:r>
        <w:t xml:space="preserve">, therefore it is especially useful in patients who are chronically treated with beta-blockers. Patients with concomitant beta-blockers often show bradycardia or normocardia during anaphylaxis</w:t>
      </w:r>
      <w:r>
        <w:t xml:space="preserve"> </w:t>
      </w:r>
      <w:r>
        <w:t xml:space="preserve">[13]</w:t>
      </w:r>
      <w:r>
        <w:t xml:space="preserve">, as the reflexory tachycardia is surpressed by the beta-blockade. Authors who reported a fatal anaphylaxis case potentiated with beta blockers did not treat with glucagon what, they discuss, would be a good therapeutic attempt in their case</w:t>
      </w:r>
      <w:r>
        <w:t xml:space="preserve"> </w:t>
      </w:r>
      <w:r>
        <w:t xml:space="preserve">[47]</w:t>
      </w:r>
      <w:r>
        <w:t xml:space="preserve">.</w:t>
      </w:r>
    </w:p>
    <w:p>
      <w:pPr>
        <w:pStyle w:val="Heading1"/>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BodyText"/>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[10]</w:t>
      </w:r>
      <w:r>
        <w:t xml:space="preserve">.</w:t>
      </w:r>
    </w:p>
    <w:p>
      <w:pPr>
        <w:pStyle w:val="BodyText"/>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[48]</w:t>
      </w:r>
      <w:r>
        <w:t xml:space="preserve">.</w:t>
      </w:r>
    </w:p>
    <w:p>
      <w:pPr>
        <w:pStyle w:val="BodyText"/>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[41]</w:t>
      </w:r>
      <w:r>
        <w:t xml:space="preserve">.</w:t>
      </w:r>
    </w:p>
    <w:p>
      <w:pPr>
        <w:pStyle w:val="Heading1"/>
      </w:pPr>
      <w:bookmarkStart w:id="29" w:name="extracorporeal-life-support"/>
      <w:bookmarkEnd w:id="29"/>
      <w:r>
        <w:t xml:space="preserve">Extracorporeal life support</w:t>
      </w:r>
    </w:p>
    <w:p>
      <w:pPr>
        <w:pStyle w:val="FirstParagraph"/>
      </w:pPr>
      <w:r>
        <w:t xml:space="preserve">In the most extreme cases, where all pharmacologic attempts fail to alleviate symptoms of anaphylaxis clinicians turned to last resort extracorporeal life support (ECLS) options. There were 4 reports where patients reacted extremely severe and all were operated on because of a heart condition in general anesthesia</w:t>
      </w:r>
      <w:r>
        <w:t xml:space="preserve"> </w:t>
      </w:r>
      <w:r>
        <w:t xml:space="preserve">[30],[35],[36],[49]</w:t>
      </w:r>
      <w:r>
        <w:t xml:space="preserve">. Two patients reacted to chlorhexidine, one to recuronium and in one case the elicitor could not be established. Only one of these patients was taking a beta blocker</w:t>
      </w:r>
      <w:r>
        <w:t xml:space="preserve"> </w:t>
      </w:r>
      <w:r>
        <w:t xml:space="preserve">[35]</w:t>
      </w:r>
      <w:r>
        <w:t xml:space="preserve">. All these patients recieved multiple doses of adrenaline (total dose ranged 1 – 15 mg), vasopressors, high volume replacement therapy, coricostreroids and antihistaminics. Upon prolonged resuscitation procedures two of these patients were place on cardiopulmonary bypass (CPB) and two on an extracorporeal membrane oxygenation (ECMO) device. After stabilizing of their condition, patients were weaned out from these supportive measures without neurological sequele.</w:t>
      </w:r>
    </w:p>
    <w:p>
      <w:pPr>
        <w:pStyle w:val="BodyText"/>
      </w:pPr>
      <w:r>
        <w:t xml:space="preserve">Life-threatening anaphylactic reactions occur in approximately 1 in 6000 anesthetic procedures and are associated with 5% mortality</w:t>
      </w:r>
      <w:r>
        <w:t xml:space="preserve"> </w:t>
      </w:r>
      <w:r>
        <w:t xml:space="preserve">[30]</w:t>
      </w:r>
      <w:r>
        <w:t xml:space="preserve">. ECMO is widely used for the treatment of cardiogenic shock</w:t>
      </w:r>
      <w:r>
        <w:t xml:space="preserve"> </w:t>
      </w:r>
      <w:r>
        <w:t xml:space="preserve">[50]</w:t>
      </w:r>
      <w:r>
        <w:t xml:space="preserve"> </w:t>
      </w:r>
      <w:r>
        <w:t xml:space="preserve">and may also be used in cases of anaphylaxis. It is especially helpful where there is refractory anaphylaxis with cardiac or respiratory arrest. Its use may gain time for to eliminate the responsible elicitor (metabolize the drug or find the occluded elicitor). One of the reported cases identified the clorhexidin coated cathether to be responsible for the refractory shock, and after its removal patient responded immidiately to therapy. The use of ECMO facilitated the elicitor discovery</w:t>
      </w:r>
      <w:r>
        <w:t xml:space="preserve"> </w:t>
      </w:r>
      <w:r>
        <w:t xml:space="preserve">[49]</w:t>
      </w:r>
      <w:r>
        <w:t xml:space="preserve">.</w:t>
      </w:r>
    </w:p>
    <w:p>
      <w:pPr>
        <w:pStyle w:val="Heading1"/>
      </w:pPr>
      <w:bookmarkStart w:id="30" w:name="conclusion"/>
      <w:bookmarkEnd w:id="30"/>
      <w:r>
        <w:t xml:space="preserve">Conclusion</w:t>
      </w:r>
    </w:p>
    <w:p>
      <w:pPr>
        <w:pStyle w:val="FirstParagraph"/>
      </w:pPr>
      <w:r>
        <w:t xml:space="preserve">We analysed case reports of refractory anaphylaxis and evaluated the undertaken therapeutic approaches. The cases were most frequently elicited by drugs and happend during a medical procedure. All patients were treated with adrenaline as a first line therapy, nearly all of them were given oxygen, steroids i.v. and fluid replacement therapy.</w:t>
      </w:r>
    </w:p>
    <w:p>
      <w:pPr>
        <w:pStyle w:val="BodyText"/>
      </w:pPr>
      <w:r>
        <w:t xml:space="preserve">We highlight therapeutic options that should be evaluated in case of anaphylaxis non-responsive to first line therapy with adrenaline: methylene blue, vasopressors, glucagon and extracorporeal life support. We suggest a managment algorithm for refractory anaphylaxis (see Fig.</w:t>
      </w:r>
      <w:r>
        <w:t xml:space="preserve"> </w:t>
      </w:r>
      <w:r>
        <w:t xml:space="preserve">2</w:t>
      </w:r>
      <w:r>
        <w:t xml:space="preserve">) that is supplementary to the established protocols.</w:t>
      </w:r>
    </w:p>
    <w:p>
      <w:pPr>
        <w:pStyle w:val="Heading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which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enhancment of vascular permeability</w:t>
      </w:r>
      <w:r>
        <w:t xml:space="preserve"> </w:t>
      </w:r>
      <w:r>
        <w:t xml:space="preserve">[51]</w:t>
      </w:r>
      <w:r>
        <w:t xml:space="preserve">.</w:t>
      </w:r>
    </w:p>
    <w:p>
      <w:pPr>
        <w:pStyle w:val="BodyText"/>
      </w:pPr>
      <w:r>
        <w:t xml:space="preserve">In clinical practice it is necessary to identify patients of risk. Such risk factors should particulary be assessed in patients undergoing medical diagnostic and therapeutic measures. The measurement of tryptase enables to identify patients who are at risk for severe anaphylaxis.</w:t>
      </w:r>
    </w:p>
    <w:p>
      <w:pPr>
        <w:pStyle w:val="BodyText"/>
      </w:pPr>
      <w:r>
        <w:t xml:space="preserve">For the future, biomarker measurements in a bed 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safe life in a given patient.</w:t>
      </w:r>
    </w:p>
    <w:p>
      <w:pPr>
        <w:pStyle w:val="Heading1"/>
      </w:pPr>
      <w:bookmarkStart w:id="32" w:name="key-issues"/>
      <w:bookmarkEnd w:id="32"/>
      <w:r>
        <w:t xml:space="preserve">Key issues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recieve beta-blockers.</w:t>
      </w:r>
    </w:p>
    <w:p>
      <w:pPr>
        <w:pStyle w:val="Compact"/>
        <w:numPr>
          <w:numId w:val="1001"/>
          <w:ilvl w:val="0"/>
        </w:numPr>
      </w:pPr>
      <w:r>
        <w:t xml:space="preserve">Methylene blue and Vasopressors should be considered together with volume replacement therapy in cases of refractory hypotension.</w:t>
      </w:r>
    </w:p>
    <w:p>
      <w:pPr>
        <w:pStyle w:val="Heading1"/>
      </w:pPr>
      <w:bookmarkStart w:id="33" w:name="annotated-bibliography"/>
      <w:bookmarkEnd w:id="33"/>
      <w:r>
        <w:t xml:space="preserve">Annotated bibliography</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BodyText"/>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34">
        <w:r>
          <w:rPr>
            <w:rStyle w:val="Hyperlink"/>
          </w:rPr>
          <w:t xml:space="preserve">http://www.ncbi.nlm.nih.gov/pubmed/25675291 http://archotol.jamanetwork.com/article.aspx?doi=10.1001/jamaoto.2015.8</w:t>
        </w:r>
      </w:hyperlink>
      <w:r>
        <w:t xml:space="preserve">.</w:t>
      </w:r>
    </w:p>
    <w:p>
      <w:pPr>
        <w:pStyle w:val="BodyText"/>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35">
        <w:r>
          <w:rPr>
            <w:rStyle w:val="Hyperlink"/>
          </w:rPr>
          <w:t xml:space="preserve">http://content.wkhealth.com/linkback/openurl?sid=WKPTLP:landingpage{\&amp;}an=00130832-201408000-00018</w:t>
        </w:r>
      </w:hyperlink>
      <w:r>
        <w:t xml:space="preserve">.</w:t>
      </w:r>
    </w:p>
    <w:p>
      <w:pPr>
        <w:pStyle w:val="BodyText"/>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36">
        <w:r>
          <w:rPr>
            <w:rStyle w:val="Hyperlink"/>
          </w:rPr>
          <w:t xml:space="preserve">http://dx.doi.org/10.1016/j.anai.2014.05.001 http://linkinghub.elsevier.com/retrieve/pii/S1081120614002993</w:t>
        </w:r>
      </w:hyperlink>
      <w:r>
        <w:t xml:space="preserve">.</w:t>
      </w:r>
    </w:p>
    <w:p>
      <w:pPr>
        <w:pStyle w:val="BodyText"/>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37">
        <w:r>
          <w:rPr>
            <w:rStyle w:val="Hyperlink"/>
          </w:rPr>
          <w:t xml:space="preserve">http://content.wkhealth.com/linkback/openurl?sid=WKPTLP:landingpage{\&amp;}an=00130832-201110000-00017</w:t>
        </w:r>
      </w:hyperlink>
      <w:r>
        <w:t xml:space="preserve">.</w:t>
      </w:r>
    </w:p>
    <w:p>
      <w:pPr>
        <w:pStyle w:val="BodyText"/>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38">
        <w:r>
          <w:rPr>
            <w:rStyle w:val="Hyperlink"/>
          </w:rPr>
          <w:t xml:space="preserve">http://doi.wiley.com/10.1111/cea.12418</w:t>
        </w:r>
      </w:hyperlink>
      <w:r>
        <w:t xml:space="preserve">.</w:t>
      </w:r>
    </w:p>
    <w:p>
      <w:pPr>
        <w:pStyle w:val="BodyText"/>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39">
        <w:r>
          <w:rPr>
            <w:rStyle w:val="Hyperlink"/>
          </w:rPr>
          <w:t xml:space="preserve">http://dx.doi.org/10.1016/j.anai.2015.07.008 http://linkinghub.elsevier.com/retrieve/pii/S1081120615004548</w:t>
        </w:r>
      </w:hyperlink>
      <w:r>
        <w:t xml:space="preserve">.</w:t>
      </w:r>
    </w:p>
    <w:p>
      <w:pPr>
        <w:pStyle w:val="BodyText"/>
      </w:pPr>
      <w:r>
        <w:t xml:space="preserve">8.</w:t>
      </w:r>
      <w:r>
        <w:t xml:space="preserve"> </w:t>
      </w:r>
      <w:r>
        <w:rPr>
          <w:b/>
        </w:rPr>
        <w:t xml:space="preserve">Braganza SC</w:t>
      </w:r>
      <w:r>
        <w:t xml:space="preserve">,</w:t>
      </w:r>
      <w:r>
        <w:t xml:space="preserve"> </w:t>
      </w:r>
      <w:r>
        <w:rPr>
          <w:b/>
        </w:rPr>
        <w:t xml:space="preserve">Acworth JP</w:t>
      </w:r>
      <w:r>
        <w:t xml:space="preserve">,</w:t>
      </w:r>
      <w:r>
        <w:t xml:space="preserve"> </w:t>
      </w:r>
      <w:r>
        <w:rPr>
          <w:b/>
        </w:rPr>
        <w:t xml:space="preserve">Mckinnon DRL</w:t>
      </w:r>
      <w:r>
        <w:t xml:space="preserve">,</w:t>
      </w:r>
      <w:r>
        <w:t xml:space="preserve"> </w:t>
      </w:r>
      <w:r>
        <w:rPr>
          <w:b/>
        </w:rPr>
        <w:t xml:space="preserve">Peake JE</w:t>
      </w:r>
      <w:r>
        <w:t xml:space="preserve">,</w:t>
      </w:r>
      <w:r>
        <w:t xml:space="preserve"> </w:t>
      </w:r>
      <w:r>
        <w:rPr>
          <w:b/>
        </w:rPr>
        <w:t xml:space="preserve">Brown AFT</w:t>
      </w:r>
      <w:r>
        <w:t xml:space="preserve">. Paediatric emergency department anaphylaxis: different patterns from adults.</w:t>
      </w:r>
      <w:r>
        <w:t xml:space="preserve"> </w:t>
      </w:r>
      <w:r>
        <w:rPr>
          <w:i/>
        </w:rPr>
        <w:t xml:space="preserve">Archives of disease in childhood</w:t>
      </w:r>
      <w:r>
        <w:t xml:space="preserve">. 2006;</w:t>
      </w:r>
      <w:r>
        <w:t xml:space="preserve"> </w:t>
      </w:r>
      <w:r>
        <w:rPr>
          <w:b/>
        </w:rPr>
        <w:t xml:space="preserve">91</w:t>
      </w:r>
      <w:r>
        <w:t xml:space="preserve">(2):159–63. Available at:</w:t>
      </w:r>
      <w:r>
        <w:t xml:space="preserve"> </w:t>
      </w:r>
      <w:hyperlink r:id="rId40">
        <w:r>
          <w:rPr>
            <w:rStyle w:val="Hyperlink"/>
          </w:rPr>
          <w:t xml:space="preserve">http://adc.bmj.com/content/91/2/159.short http://adc.bmj.com/cgi/doi/10.1136/adc.2004.069914 http://www.ncbi.nlm.nih.gov/pubmed/16308410 http://www.pubmedcentral.nih.gov/articlerender.fcgi?artid=PMC2082667</w:t>
        </w:r>
      </w:hyperlink>
      <w:r>
        <w:t xml:space="preserve">.</w:t>
      </w:r>
    </w:p>
    <w:p>
      <w:pPr>
        <w:pStyle w:val="BodyText"/>
      </w:pPr>
      <w:r>
        <w:t xml:space="preserve">9.</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1">
        <w:r>
          <w:rPr>
            <w:rStyle w:val="Hyperlink"/>
          </w:rPr>
          <w:t xml:space="preserve">http://www.ncbi.nlm.nih.gov/pubmed/23181736 http://doi.wiley.com/10.1111/j.1610-0387.2012.08045.x</w:t>
        </w:r>
      </w:hyperlink>
      <w:r>
        <w:t xml:space="preserve">.</w:t>
      </w:r>
    </w:p>
    <w:p>
      <w:pPr>
        <w:pStyle w:val="BodyText"/>
      </w:pPr>
      <w:r>
        <w:t xml:space="preserve">10.</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42">
        <w:r>
          <w:rPr>
            <w:rStyle w:val="Hyperlink"/>
          </w:rPr>
          <w:t xml:space="preserve">http://insights.ovid.com/crossref?an=00006565-900000000-98600</w:t>
        </w:r>
      </w:hyperlink>
      <w:r>
        <w:t xml:space="preserve">.</w:t>
      </w:r>
    </w:p>
    <w:p>
      <w:pPr>
        <w:pStyle w:val="BodyText"/>
      </w:pPr>
      <w:r>
        <w:t xml:space="preserve">11.</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43">
        <w:r>
          <w:rPr>
            <w:rStyle w:val="Hyperlink"/>
          </w:rPr>
          <w:t xml:space="preserve">https://CRAN.R-project.org/package=RISmed</w:t>
        </w:r>
      </w:hyperlink>
      <w:r>
        <w:t xml:space="preserve">.</w:t>
      </w:r>
    </w:p>
    <w:p>
      <w:pPr>
        <w:pStyle w:val="BodyText"/>
      </w:pPr>
      <w:r>
        <w:t xml:space="preserve">12.</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44">
        <w:r>
          <w:rPr>
            <w:rStyle w:val="Hyperlink"/>
          </w:rPr>
          <w:t xml:space="preserve">https://www.R-project.org/</w:t>
        </w:r>
      </w:hyperlink>
      <w:r>
        <w:t xml:space="preserve">.</w:t>
      </w:r>
    </w:p>
    <w:p>
      <w:pPr>
        <w:pStyle w:val="BodyText"/>
      </w:pPr>
      <w:r>
        <w:t xml:space="preserve">13.</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45">
        <w:r>
          <w:rPr>
            <w:rStyle w:val="Hyperlink"/>
          </w:rPr>
          <w:t xml:space="preserve">http://linkinghub.elsevier.com/retrieve/pii/S0104001414001821</w:t>
        </w:r>
      </w:hyperlink>
      <w:r>
        <w:t xml:space="preserve">.</w:t>
      </w:r>
    </w:p>
    <w:p>
      <w:pPr>
        <w:pStyle w:val="BodyText"/>
      </w:pPr>
      <w:r>
        <w:t xml:space="preserve">14.</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BodyText"/>
      </w:pPr>
      <w:r>
        <w:t xml:space="preserve">15.</w:t>
      </w:r>
      <w:r>
        <w:t xml:space="preserve"> </w:t>
      </w:r>
      <w:r>
        <w:rPr>
          <w:b/>
        </w:rPr>
        <w:t xml:space="preserve">Simons KJ</w:t>
      </w:r>
      <w:r>
        <w:t xml:space="preserve">,</w:t>
      </w:r>
      <w:r>
        <w:t xml:space="preserve"> </w:t>
      </w:r>
      <w:r>
        <w:rPr>
          <w:b/>
        </w:rPr>
        <w:t xml:space="preserve">Simons FER</w:t>
      </w:r>
      <w:r>
        <w:t xml:space="preserve">. Epinephrine and its use in anaphylaxis: current issues.</w:t>
      </w:r>
      <w:r>
        <w:t xml:space="preserve"> </w:t>
      </w:r>
      <w:r>
        <w:rPr>
          <w:i/>
        </w:rPr>
        <w:t xml:space="preserve">Current Opinion in Allergy and Clinical Immunology</w:t>
      </w:r>
      <w:r>
        <w:t xml:space="preserve">. 2010;</w:t>
      </w:r>
      <w:r>
        <w:t xml:space="preserve"> </w:t>
      </w:r>
      <w:r>
        <w:rPr>
          <w:b/>
        </w:rPr>
        <w:t xml:space="preserve">10</w:t>
      </w:r>
      <w:r>
        <w:t xml:space="preserve">(4):354–361. Available at:</w:t>
      </w:r>
      <w:r>
        <w:t xml:space="preserve"> </w:t>
      </w:r>
      <w:hyperlink r:id="rId46">
        <w:r>
          <w:rPr>
            <w:rStyle w:val="Hyperlink"/>
          </w:rPr>
          <w:t xml:space="preserve">http://www.ncbi.nlm.nih.gov/pubmed/20543673 http://content.wkhealth.com/linkback/openurl?sid=WKPTLP:landingpage{\&amp;}an=00130832-201008000-00016</w:t>
        </w:r>
      </w:hyperlink>
      <w:r>
        <w:t xml:space="preserve">.</w:t>
      </w:r>
    </w:p>
    <w:p>
      <w:pPr>
        <w:pStyle w:val="BodyText"/>
      </w:pPr>
      <w:r>
        <w:t xml:space="preserve">16.</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47">
        <w:r>
          <w:rPr>
            <w:rStyle w:val="Hyperlink"/>
          </w:rPr>
          <w:t xml:space="preserve">http://www.waojournal.org/content/4/2/13</w:t>
        </w:r>
      </w:hyperlink>
      <w:r>
        <w:t xml:space="preserve">.</w:t>
      </w:r>
    </w:p>
    <w:p>
      <w:pPr>
        <w:pStyle w:val="BodyText"/>
      </w:pPr>
      <w:r>
        <w:t xml:space="preserve">17.</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48">
        <w:r>
          <w:rPr>
            <w:rStyle w:val="Hyperlink"/>
          </w:rPr>
          <w:t xml:space="preserve">https://pdfs.semanticscholar.org/ff0c/b81c88a48ecc2087ad9c3d431a50258e6fe7.pdf</w:t>
        </w:r>
      </w:hyperlink>
      <w:r>
        <w:t xml:space="preserve">.</w:t>
      </w:r>
    </w:p>
    <w:p>
      <w:pPr>
        <w:pStyle w:val="BodyText"/>
      </w:pPr>
      <w:r>
        <w:t xml:space="preserve">18.</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49">
        <w:r>
          <w:rPr>
            <w:rStyle w:val="Hyperlink"/>
          </w:rPr>
          <w:t xml:space="preserve">http://dx.doi.org/10.1111/all.12437</w:t>
        </w:r>
      </w:hyperlink>
      <w:r>
        <w:t xml:space="preserve">.</w:t>
      </w:r>
    </w:p>
    <w:p>
      <w:pPr>
        <w:pStyle w:val="BodyText"/>
      </w:pPr>
      <w:r>
        <w:t xml:space="preserve">19.</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0">
        <w:r>
          <w:rPr>
            <w:rStyle w:val="Hyperlink"/>
          </w:rPr>
          <w:t xml:space="preserve">http://www.ncbi.nlm.nih.gov/pubmed/6661813</w:t>
        </w:r>
      </w:hyperlink>
      <w:r>
        <w:t xml:space="preserve">.</w:t>
      </w:r>
    </w:p>
    <w:p>
      <w:pPr>
        <w:pStyle w:val="BodyText"/>
      </w:pPr>
      <w:r>
        <w:t xml:space="preserve">20.</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1">
        <w:r>
          <w:rPr>
            <w:rStyle w:val="Hyperlink"/>
          </w:rPr>
          <w:t xml:space="preserve">http://www.ncbi.nlm.nih.gov/pubmed/10977868</w:t>
        </w:r>
      </w:hyperlink>
      <w:r>
        <w:t xml:space="preserve">.</w:t>
      </w:r>
    </w:p>
    <w:p>
      <w:pPr>
        <w:pStyle w:val="BodyText"/>
      </w:pPr>
      <w:r>
        <w:t xml:space="preserve">21.</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2">
        <w:r>
          <w:rPr>
            <w:rStyle w:val="Hyperlink"/>
          </w:rPr>
          <w:t xml:space="preserve">http://www.ncbi.nlm.nih.gov/pubmed/25247756 http://linkinghub.elsevier.com/retrieve/pii/S0002962915301506</w:t>
        </w:r>
      </w:hyperlink>
      <w:r>
        <w:t xml:space="preserve">.</w:t>
      </w:r>
    </w:p>
    <w:p>
      <w:pPr>
        <w:pStyle w:val="BodyText"/>
      </w:pPr>
      <w:r>
        <w:t xml:space="preserve">22.</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53">
        <w:r>
          <w:rPr>
            <w:rStyle w:val="Hyperlink"/>
          </w:rPr>
          <w:t xml:space="preserve">http://www.tandfonline.com/doi/full/10.1179/135100003225002899</w:t>
        </w:r>
      </w:hyperlink>
      <w:r>
        <w:t xml:space="preserve">.</w:t>
      </w:r>
    </w:p>
    <w:p>
      <w:pPr>
        <w:pStyle w:val="BodyText"/>
      </w:pPr>
      <w:r>
        <w:t xml:space="preserve">23.</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54">
        <w:r>
          <w:rPr>
            <w:rStyle w:val="Hyperlink"/>
          </w:rPr>
          <w:t xml:space="preserve">http://www.ncbi.nlm.nih.gov/pubmed/15897814</w:t>
        </w:r>
      </w:hyperlink>
      <w:r>
        <w:t xml:space="preserve">.</w:t>
      </w:r>
    </w:p>
    <w:p>
      <w:pPr>
        <w:pStyle w:val="BodyText"/>
      </w:pPr>
      <w:r>
        <w:t xml:space="preserve">24.</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55">
        <w:r>
          <w:rPr>
            <w:rStyle w:val="Hyperlink"/>
          </w:rPr>
          <w:t xml:space="preserve">http://linkinghub.elsevier.com/retrieve/pii/S0735675713000715</w:t>
        </w:r>
      </w:hyperlink>
      <w:r>
        <w:t xml:space="preserve">.</w:t>
      </w:r>
    </w:p>
    <w:p>
      <w:pPr>
        <w:pStyle w:val="BodyText"/>
      </w:pPr>
      <w:r>
        <w:t xml:space="preserve">25.</w:t>
      </w:r>
      <w:r>
        <w:t xml:space="preserve"> </w:t>
      </w:r>
      <w:r>
        <w:rPr>
          <w:b/>
        </w:rPr>
        <w:t xml:space="preserve">Moritoki H</w:t>
      </w:r>
      <w:r>
        <w:t xml:space="preserve">,</w:t>
      </w:r>
      <w:r>
        <w:t xml:space="preserve"> </w:t>
      </w:r>
      <w:r>
        <w:rPr>
          <w:b/>
        </w:rPr>
        <w:t xml:space="preserve">Hisayama T</w:t>
      </w:r>
      <w:r>
        <w:t xml:space="preserve">,</w:t>
      </w:r>
      <w:r>
        <w:t xml:space="preserve"> </w:t>
      </w:r>
      <w:r>
        <w:rPr>
          <w:b/>
        </w:rPr>
        <w:t xml:space="preserve">Takeuchi S</w:t>
      </w:r>
      <w:r>
        <w:t xml:space="preserve">,</w:t>
      </w:r>
      <w:r>
        <w:t xml:space="preserve"> </w:t>
      </w:r>
      <w:r>
        <w:rPr>
          <w:b/>
        </w:rPr>
        <w:t xml:space="preserve">Miyano H</w:t>
      </w:r>
      <w:r>
        <w:t xml:space="preserve">,</w:t>
      </w:r>
      <w:r>
        <w:t xml:space="preserve"> </w:t>
      </w:r>
      <w:r>
        <w:rPr>
          <w:b/>
        </w:rPr>
        <w:t xml:space="preserve">Kondoh W</w:t>
      </w:r>
      <w:r>
        <w:t xml:space="preserve">. Involvement of nitric oxide pathway in the PAF-induced relaxation of rat thoracic aorta.</w:t>
      </w:r>
      <w:r>
        <w:t xml:space="preserve"> </w:t>
      </w:r>
      <w:r>
        <w:rPr>
          <w:i/>
        </w:rPr>
        <w:t xml:space="preserve">British Journal of Pharmacology</w:t>
      </w:r>
      <w:r>
        <w:t xml:space="preserve">. 1992;</w:t>
      </w:r>
      <w:r>
        <w:t xml:space="preserve"> </w:t>
      </w:r>
      <w:r>
        <w:rPr>
          <w:b/>
        </w:rPr>
        <w:t xml:space="preserve">107</w:t>
      </w:r>
      <w:r>
        <w:t xml:space="preserve">(1):196–201. Available at:</w:t>
      </w:r>
      <w:r>
        <w:t xml:space="preserve"> </w:t>
      </w:r>
      <w:hyperlink r:id="rId56">
        <w:r>
          <w:rPr>
            <w:rStyle w:val="Hyperlink"/>
          </w:rPr>
          <w:t xml:space="preserve">http://doi.wiley.com/10.1111/j.1476-5381.1992.tb14486.x</w:t>
        </w:r>
      </w:hyperlink>
      <w:r>
        <w:t xml:space="preserve">.</w:t>
      </w:r>
    </w:p>
    <w:p>
      <w:pPr>
        <w:pStyle w:val="BodyText"/>
      </w:pPr>
      <w:r>
        <w:t xml:space="preserve">26.</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57">
        <w:r>
          <w:rPr>
            <w:rStyle w:val="Hyperlink"/>
          </w:rPr>
          <w:t xml:space="preserve">http://www.ncbi.nlm.nih.gov/pubmed/17941276 http://linkinghub.elsevier.com/retrieve/pii/S1081120610605455</w:t>
        </w:r>
      </w:hyperlink>
      <w:r>
        <w:t xml:space="preserve">.</w:t>
      </w:r>
    </w:p>
    <w:p>
      <w:pPr>
        <w:pStyle w:val="BodyText"/>
      </w:pPr>
      <w:r>
        <w:t xml:space="preserve">27.</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58">
        <w:r>
          <w:rPr>
            <w:rStyle w:val="Hyperlink"/>
          </w:rPr>
          <w:t xml:space="preserve">http://www.ncbi.nlm.nih.gov/pubmed/3767045</w:t>
        </w:r>
      </w:hyperlink>
      <w:r>
        <w:t xml:space="preserve">.</w:t>
      </w:r>
    </w:p>
    <w:p>
      <w:pPr>
        <w:pStyle w:val="BodyText"/>
      </w:pPr>
      <w:r>
        <w:t xml:space="preserve">28.</w:t>
      </w:r>
      <w:r>
        <w:t xml:space="preserve"> </w:t>
      </w:r>
      <w:r>
        <w:rPr>
          <w:b/>
        </w:rPr>
        <w:t xml:space="preserve">Heytman M</w:t>
      </w:r>
      <w:r>
        <w:t xml:space="preserve">,</w:t>
      </w:r>
      <w:r>
        <w:t xml:space="preserve"> </w:t>
      </w:r>
      <w:r>
        <w:rPr>
          <w:b/>
        </w:rPr>
        <w:t xml:space="preserve">Rainbird A</w:t>
      </w:r>
      <w:r>
        <w:t xml:space="preserve">. Use of alpha-agonists for management of anaphylaxis occurring under anaesthesia: Case studies and review.</w:t>
      </w:r>
      <w:r>
        <w:t xml:space="preserve"> </w:t>
      </w:r>
      <w:r>
        <w:rPr>
          <w:i/>
        </w:rPr>
        <w:t xml:space="preserve">Anaesthesia</w:t>
      </w:r>
      <w:r>
        <w:t xml:space="preserve">. 2004;</w:t>
      </w:r>
      <w:r>
        <w:t xml:space="preserve"> </w:t>
      </w:r>
      <w:r>
        <w:rPr>
          <w:b/>
        </w:rPr>
        <w:t xml:space="preserve">59</w:t>
      </w:r>
      <w:r>
        <w:t xml:space="preserve">(12):1210–1215.</w:t>
      </w:r>
    </w:p>
    <w:p>
      <w:pPr>
        <w:pStyle w:val="BodyText"/>
      </w:pPr>
      <w:r>
        <w:t xml:space="preserve">29.</w:t>
      </w:r>
      <w:r>
        <w:t xml:space="preserve"> </w:t>
      </w:r>
      <w:r>
        <w:rPr>
          <w:b/>
        </w:rPr>
        <w:t xml:space="preserve">Da Silva PS</w:t>
      </w:r>
      <w:r>
        <w:t xml:space="preserve">,</w:t>
      </w:r>
      <w:r>
        <w:t xml:space="preserve"> </w:t>
      </w:r>
      <w:r>
        <w:rPr>
          <w:b/>
        </w:rPr>
        <w:t xml:space="preserve">Furtado P</w:t>
      </w:r>
      <w:r>
        <w:t xml:space="preserve">. Methylene Blue to Treat Refractory Latex-Induced Anaphylactic Shock.</w:t>
      </w:r>
      <w:r>
        <w:t xml:space="preserve"> </w:t>
      </w:r>
      <w:r>
        <w:rPr>
          <w:i/>
        </w:rPr>
        <w:t xml:space="preserve">A &amp; A Case Reports</w:t>
      </w:r>
      <w:r>
        <w:t xml:space="preserve">. 2017;</w:t>
      </w:r>
      <w:r>
        <w:t xml:space="preserve"> </w:t>
      </w:r>
      <w:r>
        <w:rPr>
          <w:b/>
        </w:rPr>
        <w:t xml:space="preserve">XXX</w:t>
      </w:r>
      <w:r>
        <w:t xml:space="preserve">(Xxx):1. Available at:</w:t>
      </w:r>
      <w:r>
        <w:t xml:space="preserve"> </w:t>
      </w:r>
      <w:hyperlink r:id="rId59">
        <w:r>
          <w:rPr>
            <w:rStyle w:val="Hyperlink"/>
          </w:rPr>
          <w:t xml:space="preserve">http://insights.ovid.com/crossref?an=01720097-900000000-99628</w:t>
        </w:r>
      </w:hyperlink>
      <w:r>
        <w:t xml:space="preserve">.</w:t>
      </w:r>
    </w:p>
    <w:p>
      <w:pPr>
        <w:pStyle w:val="BodyText"/>
      </w:pPr>
      <w:r>
        <w:t xml:space="preserve">30.</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0">
        <w:r>
          <w:rPr>
            <w:rStyle w:val="Hyperlink"/>
          </w:rPr>
          <w:t xml:space="preserve">http://journals.sagepub.com/doi/10.1177/1089253214564192</w:t>
        </w:r>
      </w:hyperlink>
      <w:r>
        <w:t xml:space="preserve">.</w:t>
      </w:r>
    </w:p>
    <w:p>
      <w:pPr>
        <w:pStyle w:val="BodyText"/>
      </w:pPr>
      <w:r>
        <w:t xml:space="preserve">31.</w:t>
      </w:r>
      <w:r>
        <w:t xml:space="preserve"> </w:t>
      </w:r>
      <w:r>
        <w:rPr>
          <w:b/>
        </w:rPr>
        <w:t xml:space="preserve">Higgins DJ</w:t>
      </w:r>
      <w:r>
        <w:t xml:space="preserve">,</w:t>
      </w:r>
      <w:r>
        <w:t xml:space="preserve"> </w:t>
      </w:r>
      <w:r>
        <w:rPr>
          <w:b/>
        </w:rPr>
        <w:t xml:space="preserve">Gayatri P</w:t>
      </w:r>
      <w:r>
        <w:t xml:space="preserve">. Methoxamine in the management of severe anaphylaxis.</w:t>
      </w:r>
      <w:r>
        <w:t xml:space="preserve"> </w:t>
      </w:r>
      <w:r>
        <w:rPr>
          <w:i/>
        </w:rPr>
        <w:t xml:space="preserve">Anaesthesia</w:t>
      </w:r>
      <w:r>
        <w:t xml:space="preserve">. 1999;</w:t>
      </w:r>
      <w:r>
        <w:t xml:space="preserve"> </w:t>
      </w:r>
      <w:r>
        <w:rPr>
          <w:b/>
        </w:rPr>
        <w:t xml:space="preserve">54</w:t>
      </w:r>
      <w:r>
        <w:t xml:space="preserve">(11):1126. Available at:</w:t>
      </w:r>
      <w:r>
        <w:t xml:space="preserve"> </w:t>
      </w:r>
      <w:hyperlink r:id="rId61">
        <w:r>
          <w:rPr>
            <w:rStyle w:val="Hyperlink"/>
          </w:rPr>
          <w:t xml:space="preserve">http://www.ncbi.nlm.nih.gov/pubmed/10540117</w:t>
        </w:r>
      </w:hyperlink>
      <w:r>
        <w:t xml:space="preserve">.</w:t>
      </w:r>
    </w:p>
    <w:p>
      <w:pPr>
        <w:pStyle w:val="BodyText"/>
      </w:pPr>
      <w:r>
        <w:t xml:space="preserve">32.</w:t>
      </w:r>
      <w:r>
        <w:t xml:space="preserve"> </w:t>
      </w:r>
      <w:r>
        <w:rPr>
          <w:b/>
        </w:rPr>
        <w:t xml:space="preserve">Oliveira Neto AM</w:t>
      </w:r>
      <w:r>
        <w:t xml:space="preserve">,</w:t>
      </w:r>
      <w:r>
        <w:t xml:space="preserve"> </w:t>
      </w:r>
      <w:r>
        <w:rPr>
          <w:b/>
        </w:rPr>
        <w:t xml:space="preserve">Duarte NM</w:t>
      </w:r>
      <w:r>
        <w:t xml:space="preserve">,</w:t>
      </w:r>
      <w:r>
        <w:t xml:space="preserve"> </w:t>
      </w:r>
      <w:r>
        <w:rPr>
          <w:b/>
        </w:rPr>
        <w:t xml:space="preserve">Vicente WV a</w:t>
      </w:r>
      <w:r>
        <w:t xml:space="preserve">,</w:t>
      </w:r>
      <w:r>
        <w:t xml:space="preserve"> </w:t>
      </w:r>
      <w:r>
        <w:rPr>
          <w:b/>
        </w:rPr>
        <w:t xml:space="preserve">Viaro F</w:t>
      </w:r>
      <w:r>
        <w:t xml:space="preserve">,</w:t>
      </w:r>
      <w:r>
        <w:t xml:space="preserve"> </w:t>
      </w:r>
      <w:r>
        <w:rPr>
          <w:b/>
        </w:rPr>
        <w:t xml:space="preserve">Evora PRB</w:t>
      </w:r>
      <w:r>
        <w:t xml:space="preserve">. Methylene blue: an effective treatment for contrast medium-induced anaphylaxis.</w:t>
      </w:r>
      <w:r>
        <w:t xml:space="preserve"> </w:t>
      </w:r>
      <w:r>
        <w:rPr>
          <w:i/>
        </w:rPr>
        <w:t xml:space="preserve">Medical science monitor : international medical journal of experimental and clinical research</w:t>
      </w:r>
      <w:r>
        <w:t xml:space="preserve">. 2003;</w:t>
      </w:r>
      <w:r>
        <w:t xml:space="preserve"> </w:t>
      </w:r>
      <w:r>
        <w:rPr>
          <w:b/>
        </w:rPr>
        <w:t xml:space="preserve">9</w:t>
      </w:r>
      <w:r>
        <w:t xml:space="preserve">(11):CS102–6. Available at:</w:t>
      </w:r>
      <w:r>
        <w:t xml:space="preserve"> </w:t>
      </w:r>
      <w:hyperlink r:id="rId62">
        <w:r>
          <w:rPr>
            <w:rStyle w:val="Hyperlink"/>
          </w:rPr>
          <w:t xml:space="preserve">http://www.ncbi.nlm.nih.gov/pubmed/14586280</w:t>
        </w:r>
      </w:hyperlink>
      <w:r>
        <w:t xml:space="preserve">.</w:t>
      </w:r>
    </w:p>
    <w:p>
      <w:pPr>
        <w:pStyle w:val="BodyText"/>
      </w:pPr>
      <w:r>
        <w:t xml:space="preserve">33.</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BodyText"/>
      </w:pPr>
      <w:r>
        <w:t xml:space="preserve">34.</w:t>
      </w:r>
      <w:r>
        <w:t xml:space="preserve"> </w:t>
      </w:r>
      <w:r>
        <w:rPr>
          <w:b/>
        </w:rPr>
        <w:t xml:space="preserve">Gibbs MW</w:t>
      </w:r>
      <w:r>
        <w:t xml:space="preserve">,</w:t>
      </w:r>
      <w:r>
        <w:t xml:space="preserve"> </w:t>
      </w:r>
      <w:r>
        <w:rPr>
          <w:b/>
        </w:rPr>
        <w:t xml:space="preserve">Kuczkowski KM</w:t>
      </w:r>
      <w:r>
        <w:t xml:space="preserve">,</w:t>
      </w:r>
      <w:r>
        <w:t xml:space="preserve"> </w:t>
      </w:r>
      <w:r>
        <w:rPr>
          <w:b/>
        </w:rPr>
        <w:t xml:space="preserve">Benumof JL</w:t>
      </w:r>
      <w:r>
        <w:t xml:space="preserve">. Complete recovery from prolonged cardio-pulmonary resuscitation following anaphylactic reaction to readministered intravenous cefazolin.</w:t>
      </w:r>
      <w:r>
        <w:t xml:space="preserve"> </w:t>
      </w:r>
      <w:r>
        <w:rPr>
          <w:i/>
        </w:rPr>
        <w:t xml:space="preserve">Acta anaesthesiologica Scandinavica</w:t>
      </w:r>
      <w:r>
        <w:t xml:space="preserve">. 2003;</w:t>
      </w:r>
      <w:r>
        <w:t xml:space="preserve"> </w:t>
      </w:r>
      <w:r>
        <w:rPr>
          <w:b/>
        </w:rPr>
        <w:t xml:space="preserve">47</w:t>
      </w:r>
      <w:r>
        <w:t xml:space="preserve">(2):230–2. Available at:</w:t>
      </w:r>
      <w:r>
        <w:t xml:space="preserve"> </w:t>
      </w:r>
      <w:hyperlink r:id="rId63">
        <w:r>
          <w:rPr>
            <w:rStyle w:val="Hyperlink"/>
          </w:rPr>
          <w:t xml:space="preserve">http://www.ncbi.nlm.nih.gov/pubmed/12631055</w:t>
        </w:r>
      </w:hyperlink>
      <w:r>
        <w:t xml:space="preserve">.</w:t>
      </w:r>
    </w:p>
    <w:p>
      <w:pPr>
        <w:pStyle w:val="BodyText"/>
      </w:pPr>
      <w:r>
        <w:t xml:space="preserve">35.</w:t>
      </w:r>
      <w:r>
        <w:t xml:space="preserve"> </w:t>
      </w:r>
      <w:r>
        <w:rPr>
          <w:b/>
        </w:rPr>
        <w:t xml:space="preserve">Yee KFH</w:t>
      </w:r>
      <w:r>
        <w:t xml:space="preserve">,</w:t>
      </w:r>
      <w:r>
        <w:t xml:space="preserve"> </w:t>
      </w:r>
      <w:r>
        <w:rPr>
          <w:b/>
        </w:rPr>
        <w:t xml:space="preserve">Wasowicz M</w:t>
      </w:r>
      <w:r>
        <w:t xml:space="preserve">. Anaphylaxis and cardiac surgery for hypertrophic obstructive cardiomyopathy: a case report and review of anaesthetic management.</w:t>
      </w:r>
      <w:r>
        <w:t xml:space="preserve"> </w:t>
      </w:r>
      <w:r>
        <w:rPr>
          <w:i/>
        </w:rPr>
        <w:t xml:space="preserve">Anestezjologia Intensywna Terapia</w:t>
      </w:r>
      <w:r>
        <w:t xml:space="preserve">. 2016;</w:t>
      </w:r>
      <w:r>
        <w:t xml:space="preserve"> </w:t>
      </w:r>
      <w:r>
        <w:rPr>
          <w:b/>
        </w:rPr>
        <w:t xml:space="preserve">48</w:t>
      </w:r>
      <w:r>
        <w:t xml:space="preserve">(4):252–256. Available at:</w:t>
      </w:r>
      <w:r>
        <w:t xml:space="preserve"> </w:t>
      </w:r>
      <w:hyperlink r:id="rId64">
        <w:r>
          <w:rPr>
            <w:rStyle w:val="Hyperlink"/>
          </w:rPr>
          <w:t xml:space="preserve">https://journals.viamedica.pl/anaesthesiology{\_}intensivetherapy/article/view/47580</w:t>
        </w:r>
      </w:hyperlink>
      <w:r>
        <w:t xml:space="preserve">.</w:t>
      </w:r>
    </w:p>
    <w:p>
      <w:pPr>
        <w:pStyle w:val="BodyText"/>
      </w:pPr>
      <w:r>
        <w:t xml:space="preserve">36.</w:t>
      </w:r>
      <w:r>
        <w:t xml:space="preserve"> </w:t>
      </w:r>
      <w:r>
        <w:rPr>
          <w:b/>
        </w:rPr>
        <w:t xml:space="preserve">Allen SJ</w:t>
      </w:r>
      <w:r>
        <w:t xml:space="preserve">,</w:t>
      </w:r>
      <w:r>
        <w:t xml:space="preserve"> </w:t>
      </w:r>
      <w:r>
        <w:rPr>
          <w:b/>
        </w:rPr>
        <w:t xml:space="preserve">Gallagher A</w:t>
      </w:r>
      <w:r>
        <w:t xml:space="preserve">,</w:t>
      </w:r>
      <w:r>
        <w:t xml:space="preserve"> </w:t>
      </w:r>
      <w:r>
        <w:rPr>
          <w:b/>
        </w:rPr>
        <w:t xml:space="preserve">Paxton LD</w:t>
      </w:r>
      <w:r>
        <w:t xml:space="preserve">. Anaphylaxis to rocuronium.</w:t>
      </w:r>
      <w:r>
        <w:t xml:space="preserve"> </w:t>
      </w:r>
      <w:r>
        <w:rPr>
          <w:i/>
        </w:rPr>
        <w:t xml:space="preserve">Anaesthesia</w:t>
      </w:r>
      <w:r>
        <w:t xml:space="preserve">. 2000;</w:t>
      </w:r>
      <w:r>
        <w:t xml:space="preserve"> </w:t>
      </w:r>
      <w:r>
        <w:rPr>
          <w:b/>
        </w:rPr>
        <w:t xml:space="preserve">55</w:t>
      </w:r>
      <w:r>
        <w:t xml:space="preserve">(12):1223–1224. Available at:</w:t>
      </w:r>
      <w:r>
        <w:t xml:space="preserve"> </w:t>
      </w:r>
      <w:hyperlink r:id="rId65">
        <w:r>
          <w:rPr>
            <w:rStyle w:val="Hyperlink"/>
          </w:rPr>
          <w:t xml:space="preserve">http://doi.wiley.com/10.1046/j.1365-2044.2000.01798-15.x</w:t>
        </w:r>
      </w:hyperlink>
      <w:r>
        <w:t xml:space="preserve">.</w:t>
      </w:r>
    </w:p>
    <w:p>
      <w:pPr>
        <w:pStyle w:val="BodyText"/>
      </w:pPr>
      <w:r>
        <w:t xml:space="preserve">37.</w:t>
      </w:r>
      <w:r>
        <w:t xml:space="preserve"> </w:t>
      </w:r>
      <w:r>
        <w:rPr>
          <w:b/>
        </w:rPr>
        <w:t xml:space="preserve">Schummer C</w:t>
      </w:r>
      <w:r>
        <w:t xml:space="preserve">,</w:t>
      </w:r>
      <w:r>
        <w:t xml:space="preserve"> </w:t>
      </w:r>
      <w:r>
        <w:rPr>
          <w:b/>
        </w:rPr>
        <w:t xml:space="preserve">Wirsing M</w:t>
      </w:r>
      <w:r>
        <w:t xml:space="preserve">,</w:t>
      </w:r>
      <w:r>
        <w:t xml:space="preserve"> </w:t>
      </w:r>
      <w:r>
        <w:rPr>
          <w:b/>
        </w:rPr>
        <w:t xml:space="preserve">Schummer W</w:t>
      </w:r>
      <w:r>
        <w:t xml:space="preserve">. The pivotal role of vasopressin in refractory anaphylactic shock.</w:t>
      </w:r>
      <w:r>
        <w:t xml:space="preserve"> </w:t>
      </w:r>
      <w:r>
        <w:rPr>
          <w:i/>
        </w:rPr>
        <w:t xml:space="preserve">Anesthesia and Analgesia</w:t>
      </w:r>
      <w:r>
        <w:t xml:space="preserve">. 2008;</w:t>
      </w:r>
      <w:r>
        <w:t xml:space="preserve"> </w:t>
      </w:r>
      <w:r>
        <w:rPr>
          <w:b/>
        </w:rPr>
        <w:t xml:space="preserve">107</w:t>
      </w:r>
      <w:r>
        <w:t xml:space="preserve">(2):620–624.</w:t>
      </w:r>
    </w:p>
    <w:p>
      <w:pPr>
        <w:pStyle w:val="BodyText"/>
      </w:pPr>
      <w:r>
        <w:t xml:space="preserve">38.</w:t>
      </w:r>
      <w:r>
        <w:t xml:space="preserve"> </w:t>
      </w:r>
      <w:r>
        <w:rPr>
          <w:b/>
        </w:rPr>
        <w:t xml:space="preserve">Schummer W</w:t>
      </w:r>
      <w:r>
        <w:t xml:space="preserve">,</w:t>
      </w:r>
      <w:r>
        <w:t xml:space="preserve"> </w:t>
      </w:r>
      <w:r>
        <w:rPr>
          <w:b/>
        </w:rPr>
        <w:t xml:space="preserve">Schummer C</w:t>
      </w:r>
      <w:r>
        <w:t xml:space="preserve">,</w:t>
      </w:r>
      <w:r>
        <w:t xml:space="preserve"> </w:t>
      </w:r>
      <w:r>
        <w:rPr>
          <w:b/>
        </w:rPr>
        <w:t xml:space="preserve">Wippermann J</w:t>
      </w:r>
      <w:r>
        <w:t xml:space="preserve">,</w:t>
      </w:r>
      <w:r>
        <w:t xml:space="preserve"> </w:t>
      </w:r>
      <w:r>
        <w:rPr>
          <w:b/>
        </w:rPr>
        <w:t xml:space="preserve">Fuchs J</w:t>
      </w:r>
      <w:r>
        <w:t xml:space="preserve">. Anaphylactic shock: is vasopressin the drug of choice?</w:t>
      </w:r>
      <w:r>
        <w:t xml:space="preserve"> </w:t>
      </w:r>
      <w:r>
        <w:rPr>
          <w:i/>
        </w:rPr>
        <w:t xml:space="preserve">Anesthesiology</w:t>
      </w:r>
      <w:r>
        <w:t xml:space="preserve">. 2004;</w:t>
      </w:r>
      <w:r>
        <w:t xml:space="preserve"> </w:t>
      </w:r>
      <w:r>
        <w:rPr>
          <w:b/>
        </w:rPr>
        <w:t xml:space="preserve">101</w:t>
      </w:r>
      <w:r>
        <w:t xml:space="preserve">(4):1025–7. Available at:</w:t>
      </w:r>
      <w:r>
        <w:t xml:space="preserve"> </w:t>
      </w:r>
      <w:hyperlink r:id="rId66">
        <w:r>
          <w:rPr>
            <w:rStyle w:val="Hyperlink"/>
          </w:rPr>
          <w:t xml:space="preserve">http://www.ncbi.nlm.nih.gov/pubmed/15448540</w:t>
        </w:r>
      </w:hyperlink>
      <w:r>
        <w:t xml:space="preserve">.</w:t>
      </w:r>
    </w:p>
    <w:p>
      <w:pPr>
        <w:pStyle w:val="BodyText"/>
      </w:pPr>
      <w:r>
        <w:t xml:space="preserve">39.</w:t>
      </w:r>
      <w:r>
        <w:t xml:space="preserve"> </w:t>
      </w:r>
      <w:r>
        <w:rPr>
          <w:b/>
        </w:rPr>
        <w:t xml:space="preserve">Alicia Weissgerber LJ</w:t>
      </w:r>
      <w:r>
        <w:t xml:space="preserve">. Methylene Blue for Refractory Hypotension: A Case Report.</w:t>
      </w:r>
      <w:r>
        <w:t xml:space="preserve"> </w:t>
      </w:r>
      <w:r>
        <w:rPr>
          <w:i/>
        </w:rPr>
        <w:t xml:space="preserve">AANA Journal August</w:t>
      </w:r>
      <w:r>
        <w:t xml:space="preserve">. 2007;</w:t>
      </w:r>
      <w:r>
        <w:t xml:space="preserve"> </w:t>
      </w:r>
      <w:r>
        <w:rPr>
          <w:b/>
        </w:rPr>
        <w:t xml:space="preserve">76</w:t>
      </w:r>
      <w:r>
        <w:t xml:space="preserve">(4). Available at:</w:t>
      </w:r>
      <w:r>
        <w:t xml:space="preserve"> </w:t>
      </w:r>
      <w:hyperlink r:id="rId67">
        <w:r>
          <w:rPr>
            <w:rStyle w:val="Hyperlink"/>
          </w:rPr>
          <w:t xml:space="preserve">www.aana.com/aanajournal.aspx</w:t>
        </w:r>
      </w:hyperlink>
      <w:r>
        <w:t xml:space="preserve">.</w:t>
      </w:r>
    </w:p>
    <w:p>
      <w:pPr>
        <w:pStyle w:val="BodyText"/>
      </w:pPr>
      <w:r>
        <w:t xml:space="preserve">40.</w:t>
      </w:r>
      <w:r>
        <w:t xml:space="preserve"> </w:t>
      </w:r>
      <w:r>
        <w:rPr>
          <w:b/>
        </w:rPr>
        <w:t xml:space="preserve">Hussain AM</w:t>
      </w:r>
      <w:r>
        <w:t xml:space="preserve">,</w:t>
      </w:r>
      <w:r>
        <w:t xml:space="preserve"> </w:t>
      </w:r>
      <w:r>
        <w:rPr>
          <w:b/>
        </w:rPr>
        <w:t xml:space="preserve">Yousuf B</w:t>
      </w:r>
      <w:r>
        <w:t xml:space="preserve">,</w:t>
      </w:r>
      <w:r>
        <w:t xml:space="preserve"> </w:t>
      </w:r>
      <w:r>
        <w:rPr>
          <w:b/>
        </w:rPr>
        <w:t xml:space="preserve">Khan MA</w:t>
      </w:r>
      <w:r>
        <w:t xml:space="preserve">,</w:t>
      </w:r>
      <w:r>
        <w:t xml:space="preserve"> </w:t>
      </w:r>
      <w:r>
        <w:rPr>
          <w:b/>
        </w:rPr>
        <w:t xml:space="preserve">Khan FH</w:t>
      </w:r>
      <w:r>
        <w:t xml:space="preserve">,</w:t>
      </w:r>
      <w:r>
        <w:t xml:space="preserve"> </w:t>
      </w:r>
      <w:r>
        <w:rPr>
          <w:b/>
        </w:rPr>
        <w:t xml:space="preserve">Khan FA</w:t>
      </w:r>
      <w:r>
        <w:t xml:space="preserve">. Vasopressin for the management of catecholamine-resistant anaphylactic shock.</w:t>
      </w:r>
      <w:r>
        <w:t xml:space="preserve"> </w:t>
      </w:r>
      <w:r>
        <w:rPr>
          <w:i/>
        </w:rPr>
        <w:t xml:space="preserve">Singapore Medical Journal</w:t>
      </w:r>
      <w:r>
        <w:t xml:space="preserve">. 2008;</w:t>
      </w:r>
      <w:r>
        <w:t xml:space="preserve"> </w:t>
      </w:r>
      <w:r>
        <w:rPr>
          <w:b/>
        </w:rPr>
        <w:t xml:space="preserve">49</w:t>
      </w:r>
      <w:r>
        <w:t xml:space="preserve">(9):225–228.</w:t>
      </w:r>
    </w:p>
    <w:p>
      <w:pPr>
        <w:pStyle w:val="BodyText"/>
      </w:pPr>
      <w:r>
        <w:t xml:space="preserve">41.</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BodyText"/>
      </w:pPr>
      <w:r>
        <w:t xml:space="preserve">42.</w:t>
      </w:r>
      <w:r>
        <w:t xml:space="preserve"> </w:t>
      </w:r>
      <w:r>
        <w:rPr>
          <w:b/>
        </w:rPr>
        <w:t xml:space="preserve">Bickell WH</w:t>
      </w:r>
      <w:r>
        <w:t xml:space="preserve">,</w:t>
      </w:r>
      <w:r>
        <w:t xml:space="preserve"> </w:t>
      </w:r>
      <w:r>
        <w:rPr>
          <w:b/>
        </w:rPr>
        <w:t xml:space="preserve">Dice WH</w:t>
      </w:r>
      <w:r>
        <w:t xml:space="preserve">. Military antishock trousers in a patient with adrenergic-resistant anaphylaxis.</w:t>
      </w:r>
      <w:r>
        <w:t xml:space="preserve"> </w:t>
      </w:r>
      <w:r>
        <w:rPr>
          <w:i/>
        </w:rPr>
        <w:t xml:space="preserve">Annals of Emergency Medicine</w:t>
      </w:r>
      <w:r>
        <w:t xml:space="preserve">. 1984;</w:t>
      </w:r>
      <w:r>
        <w:t xml:space="preserve"> </w:t>
      </w:r>
      <w:r>
        <w:rPr>
          <w:b/>
        </w:rPr>
        <w:t xml:space="preserve">13</w:t>
      </w:r>
      <w:r>
        <w:t xml:space="preserve">(3):189–190.</w:t>
      </w:r>
    </w:p>
    <w:p>
      <w:pPr>
        <w:pStyle w:val="BodyText"/>
      </w:pPr>
      <w:r>
        <w:t xml:space="preserve">43.</w:t>
      </w:r>
      <w:r>
        <w:t xml:space="preserve"> </w:t>
      </w:r>
      <w:r>
        <w:rPr>
          <w:b/>
        </w:rPr>
        <w:t xml:space="preserve">Avni T</w:t>
      </w:r>
      <w:r>
        <w:t xml:space="preserve">,</w:t>
      </w:r>
      <w:r>
        <w:t xml:space="preserve"> </w:t>
      </w:r>
      <w:r>
        <w:rPr>
          <w:b/>
        </w:rPr>
        <w:t xml:space="preserve">Lador A</w:t>
      </w:r>
      <w:r>
        <w:t xml:space="preserve">,</w:t>
      </w:r>
      <w:r>
        <w:t xml:space="preserve"> </w:t>
      </w:r>
      <w:r>
        <w:rPr>
          <w:b/>
        </w:rPr>
        <w:t xml:space="preserve">Lev S</w:t>
      </w:r>
      <w:r>
        <w:t xml:space="preserve"> </w:t>
      </w:r>
      <w:r>
        <w:rPr>
          <w:i/>
        </w:rPr>
        <w:t xml:space="preserve">et al.</w:t>
      </w:r>
      <w:r>
        <w:t xml:space="preserve"> </w:t>
      </w:r>
      <w:r>
        <w:t xml:space="preserve">Vasopressors for the Treatment of Septic Shock: Systematic Review and Meta-Analysis.</w:t>
      </w:r>
      <w:r>
        <w:t xml:space="preserve"> </w:t>
      </w:r>
      <w:r>
        <w:rPr>
          <w:i/>
        </w:rPr>
        <w:t xml:space="preserve">PloS one</w:t>
      </w:r>
      <w:r>
        <w:t xml:space="preserve">. 2015;</w:t>
      </w:r>
      <w:r>
        <w:t xml:space="preserve"> </w:t>
      </w:r>
      <w:r>
        <w:rPr>
          <w:b/>
        </w:rPr>
        <w:t xml:space="preserve">10</w:t>
      </w:r>
      <w:r>
        <w:t xml:space="preserve">(8):e0129305. Available at:</w:t>
      </w:r>
      <w:r>
        <w:t xml:space="preserve"> </w:t>
      </w:r>
      <w:hyperlink r:id="rId68">
        <w:r>
          <w:rPr>
            <w:rStyle w:val="Hyperlink"/>
          </w:rPr>
          <w:t xml:space="preserve">http://www.ncbi.nlm.nih.gov/pubmed/26237037 http://www.pubmedcentral.nih.gov/articlerender.fcgi?artid=PMC4523170</w:t>
        </w:r>
      </w:hyperlink>
      <w:r>
        <w:t xml:space="preserve">.</w:t>
      </w:r>
    </w:p>
    <w:p>
      <w:pPr>
        <w:pStyle w:val="BodyText"/>
      </w:pPr>
      <w:r>
        <w:t xml:space="preserve">44.</w:t>
      </w:r>
      <w:r>
        <w:t xml:space="preserve"> </w:t>
      </w:r>
      <w:r>
        <w:rPr>
          <w:b/>
        </w:rPr>
        <w:t xml:space="preserve">Di Chiara L</w:t>
      </w:r>
      <w:r>
        <w:t xml:space="preserve">,</w:t>
      </w:r>
      <w:r>
        <w:t xml:space="preserve"> </w:t>
      </w:r>
      <w:r>
        <w:rPr>
          <w:b/>
        </w:rPr>
        <w:t xml:space="preserve">Stazi GV</w:t>
      </w:r>
      <w:r>
        <w:t xml:space="preserve">,</w:t>
      </w:r>
      <w:r>
        <w:t xml:space="preserve"> </w:t>
      </w:r>
      <w:r>
        <w:rPr>
          <w:b/>
        </w:rPr>
        <w:t xml:space="preserve">Ricci Z</w:t>
      </w:r>
      <w:r>
        <w:t xml:space="preserve"> </w:t>
      </w:r>
      <w:r>
        <w:rPr>
          <w:i/>
        </w:rPr>
        <w:t xml:space="preserve">et al.</w:t>
      </w:r>
      <w:r>
        <w:t xml:space="preserve"> </w:t>
      </w:r>
      <w:r>
        <w:t xml:space="preserve">Role of vasopressin in the treatment of anaphylactic shock in a child undergoing surgery for congenital heart disease: a case report.</w:t>
      </w:r>
      <w:r>
        <w:t xml:space="preserve"> </w:t>
      </w:r>
      <w:r>
        <w:rPr>
          <w:i/>
        </w:rPr>
        <w:t xml:space="preserve">Journal of Medical Case Reports</w:t>
      </w:r>
      <w:r>
        <w:t xml:space="preserve">. 2008;</w:t>
      </w:r>
      <w:r>
        <w:t xml:space="preserve"> </w:t>
      </w:r>
      <w:r>
        <w:rPr>
          <w:b/>
        </w:rPr>
        <w:t xml:space="preserve">2</w:t>
      </w:r>
      <w:r>
        <w:t xml:space="preserve">(1):36. Available at:</w:t>
      </w:r>
      <w:r>
        <w:t xml:space="preserve"> </w:t>
      </w:r>
      <w:hyperlink r:id="rId69">
        <w:r>
          <w:rPr>
            <w:rStyle w:val="Hyperlink"/>
          </w:rPr>
          <w:t xml:space="preserve">http://jmedicalcasereports.biomedcentral.com/articles/10.1186/1752-1947-2-36</w:t>
        </w:r>
      </w:hyperlink>
      <w:r>
        <w:t xml:space="preserve">.</w:t>
      </w:r>
    </w:p>
    <w:p>
      <w:pPr>
        <w:pStyle w:val="BodyText"/>
      </w:pPr>
      <w:r>
        <w:t xml:space="preserve">45.</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70">
        <w:r>
          <w:rPr>
            <w:rStyle w:val="Hyperlink"/>
          </w:rPr>
          <w:t xml:space="preserve">http://www.panafrican-med-journal.com/content/article/25/136/full/</w:t>
        </w:r>
      </w:hyperlink>
      <w:r>
        <w:t xml:space="preserve">.</w:t>
      </w:r>
    </w:p>
    <w:p>
      <w:pPr>
        <w:pStyle w:val="BodyText"/>
      </w:pPr>
      <w:r>
        <w:t xml:space="preserve">46.</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BodyText"/>
      </w:pPr>
      <w:r>
        <w:t xml:space="preserve">47.</w:t>
      </w:r>
      <w:r>
        <w:t xml:space="preserve"> </w:t>
      </w:r>
      <w:r>
        <w:rPr>
          <w:b/>
        </w:rPr>
        <w:t xml:space="preserve">Laxenaire MC</w:t>
      </w:r>
      <w:r>
        <w:t xml:space="preserve">,</w:t>
      </w:r>
      <w:r>
        <w:t xml:space="preserve"> </w:t>
      </w:r>
      <w:r>
        <w:rPr>
          <w:b/>
        </w:rPr>
        <w:t xml:space="preserve">Torrens J</w:t>
      </w:r>
      <w:r>
        <w:t xml:space="preserve">,</w:t>
      </w:r>
      <w:r>
        <w:t xml:space="preserve"> </w:t>
      </w:r>
      <w:r>
        <w:rPr>
          <w:b/>
        </w:rPr>
        <w:t xml:space="preserve">Moneret-Vautrin DA</w:t>
      </w:r>
      <w:r>
        <w:t xml:space="preserve">. [Fatal anaphylactic shock in a patient treated with beta-blockers].</w:t>
      </w:r>
      <w:r>
        <w:t xml:space="preserve"> </w:t>
      </w:r>
      <w:r>
        <w:rPr>
          <w:i/>
        </w:rPr>
        <w:t xml:space="preserve">Annales francaises d’anesthesie et de reanimation</w:t>
      </w:r>
      <w:r>
        <w:t xml:space="preserve">. 1984;</w:t>
      </w:r>
      <w:r>
        <w:t xml:space="preserve"> </w:t>
      </w:r>
      <w:r>
        <w:rPr>
          <w:b/>
        </w:rPr>
        <w:t xml:space="preserve">3</w:t>
      </w:r>
      <w:r>
        <w:t xml:space="preserve">(6):453–5. Available at:</w:t>
      </w:r>
      <w:r>
        <w:t xml:space="preserve"> </w:t>
      </w:r>
      <w:hyperlink r:id="rId71">
        <w:r>
          <w:rPr>
            <w:rStyle w:val="Hyperlink"/>
          </w:rPr>
          <w:t xml:space="preserve">http://www.ncbi.nlm.nih.gov/pubmed/6151372</w:t>
        </w:r>
      </w:hyperlink>
      <w:r>
        <w:t xml:space="preserve">.</w:t>
      </w:r>
    </w:p>
    <w:p>
      <w:pPr>
        <w:pStyle w:val="BodyText"/>
      </w:pPr>
      <w:r>
        <w:t xml:space="preserve">48.</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72">
        <w:r>
          <w:rPr>
            <w:rStyle w:val="Hyperlink"/>
          </w:rPr>
          <w:t xml:space="preserve">http://linkinghub.elsevier.com/retrieve/pii/S0750765811004436</w:t>
        </w:r>
      </w:hyperlink>
      <w:r>
        <w:t xml:space="preserve">.</w:t>
      </w:r>
    </w:p>
    <w:p>
      <w:pPr>
        <w:pStyle w:val="BodyText"/>
      </w:pPr>
      <w:r>
        <w:t xml:space="preserve">49.</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73">
        <w:r>
          <w:rPr>
            <w:rStyle w:val="Hyperlink"/>
          </w:rPr>
          <w:t xml:space="preserve">http://dx.doi.org/10.1016/j.jclinane.2016.07.002</w:t>
        </w:r>
      </w:hyperlink>
      <w:r>
        <w:t xml:space="preserve">.</w:t>
      </w:r>
    </w:p>
    <w:p>
      <w:pPr>
        <w:pStyle w:val="BodyText"/>
      </w:pPr>
      <w:r>
        <w:t xml:space="preserve">50.</w:t>
      </w:r>
      <w:r>
        <w:t xml:space="preserve"> </w:t>
      </w:r>
      <w:r>
        <w:rPr>
          <w:b/>
        </w:rPr>
        <w:t xml:space="preserve">Sidebotham D</w:t>
      </w:r>
      <w:r>
        <w:t xml:space="preserve">,</w:t>
      </w:r>
      <w:r>
        <w:t xml:space="preserve"> </w:t>
      </w:r>
      <w:r>
        <w:rPr>
          <w:b/>
        </w:rPr>
        <w:t xml:space="preserve">McGeorge A</w:t>
      </w:r>
      <w:r>
        <w:t xml:space="preserve">,</w:t>
      </w:r>
      <w:r>
        <w:t xml:space="preserve"> </w:t>
      </w:r>
      <w:r>
        <w:rPr>
          <w:b/>
        </w:rPr>
        <w:t xml:space="preserve">McGuinness S</w:t>
      </w:r>
      <w:r>
        <w:t xml:space="preserve"> </w:t>
      </w:r>
      <w:r>
        <w:rPr>
          <w:i/>
        </w:rPr>
        <w:t xml:space="preserve">et al.</w:t>
      </w:r>
      <w:r>
        <w:t xml:space="preserve"> </w:t>
      </w:r>
      <w:r>
        <w:t xml:space="preserve">Extracorporeal Membrane Oxygenation for Treating Severe Cardiac and Respiratory Failure in Adults: Part 2—Technical Considerations.</w:t>
      </w:r>
      <w:r>
        <w:t xml:space="preserve"> </w:t>
      </w:r>
      <w:r>
        <w:rPr>
          <w:i/>
        </w:rPr>
        <w:t xml:space="preserve">Journal of Cardiothoracic and Vascular Anesthesia</w:t>
      </w:r>
      <w:r>
        <w:t xml:space="preserve">. 2010;</w:t>
      </w:r>
      <w:r>
        <w:t xml:space="preserve"> </w:t>
      </w:r>
      <w:r>
        <w:rPr>
          <w:b/>
        </w:rPr>
        <w:t xml:space="preserve">24</w:t>
      </w:r>
      <w:r>
        <w:t xml:space="preserve">(1):164–172. Available at:</w:t>
      </w:r>
      <w:r>
        <w:t xml:space="preserve"> </w:t>
      </w:r>
      <w:hyperlink r:id="rId74">
        <w:r>
          <w:rPr>
            <w:rStyle w:val="Hyperlink"/>
          </w:rPr>
          <w:t xml:space="preserve">http://www.ncbi.nlm.nih.gov/pubmed/19875307 http://linkinghub.elsevier.com/retrieve/pii/S1053077009003012</w:t>
        </w:r>
      </w:hyperlink>
      <w:r>
        <w:t xml:space="preserve">.</w:t>
      </w:r>
    </w:p>
    <w:p>
      <w:pPr>
        <w:pStyle w:val="BodyText"/>
      </w:pPr>
      <w:r>
        <w:t xml:space="preserve">51.</w:t>
      </w:r>
      <w:r>
        <w:t xml:space="preserve"> </w:t>
      </w:r>
      <w:r>
        <w:rPr>
          <w:b/>
        </w:rPr>
        <w:t xml:space="preserve">Imamura T</w:t>
      </w:r>
      <w:r>
        <w:t xml:space="preserve">,</w:t>
      </w:r>
      <w:r>
        <w:t xml:space="preserve"> </w:t>
      </w:r>
      <w:r>
        <w:rPr>
          <w:b/>
        </w:rPr>
        <w:t xml:space="preserve">Dubin A</w:t>
      </w:r>
      <w:r>
        <w:t xml:space="preserve">,</w:t>
      </w:r>
      <w:r>
        <w:t xml:space="preserve"> </w:t>
      </w:r>
      <w:r>
        <w:rPr>
          <w:b/>
        </w:rPr>
        <w:t xml:space="preserve">Moore W</w:t>
      </w:r>
      <w:r>
        <w:t xml:space="preserve">,</w:t>
      </w:r>
      <w:r>
        <w:t xml:space="preserve"> </w:t>
      </w:r>
      <w:r>
        <w:rPr>
          <w:b/>
        </w:rPr>
        <w:t xml:space="preserve">Tanaka R</w:t>
      </w:r>
      <w:r>
        <w:t xml:space="preserve">,</w:t>
      </w:r>
      <w:r>
        <w:t xml:space="preserve"> </w:t>
      </w:r>
      <w:r>
        <w:rPr>
          <w:b/>
        </w:rPr>
        <w:t xml:space="preserve">Travis J</w:t>
      </w:r>
      <w:r>
        <w:t xml:space="preserve">. Induction of vascular permeability enhancement by human tryptase: dependence on activation of prekallikrein and direct release of bradykinin from kininogens.</w:t>
      </w:r>
      <w:r>
        <w:t xml:space="preserve"> </w:t>
      </w:r>
      <w:r>
        <w:rPr>
          <w:i/>
        </w:rPr>
        <w:t xml:space="preserve">Laboratory investigation; a journal of technical methods and pathology</w:t>
      </w:r>
      <w:r>
        <w:t xml:space="preserve">. 1996;</w:t>
      </w:r>
      <w:r>
        <w:t xml:space="preserve"> </w:t>
      </w:r>
      <w:r>
        <w:rPr>
          <w:b/>
        </w:rPr>
        <w:t xml:space="preserve">74</w:t>
      </w:r>
      <w:r>
        <w:t xml:space="preserve">(5):861–70. Available at:</w:t>
      </w:r>
      <w:r>
        <w:t xml:space="preserve"> </w:t>
      </w:r>
      <w:hyperlink r:id="rId75">
        <w:r>
          <w:rPr>
            <w:rStyle w:val="Hyperlink"/>
          </w:rPr>
          <w:t xml:space="preserve">http://www.ncbi.nlm.nih.gov/pubmed/8642782</w:t>
        </w:r>
      </w:hyperlink>
      <w:r>
        <w:t xml:space="preserve">.</w:t>
      </w:r>
    </w:p>
    <w:p>
      <w:pPr>
        <w:pStyle w:val="BodyText"/>
      </w:pPr>
      <w:r>
        <w:t xml:space="preserve">52.</w:t>
      </w:r>
      <w:r>
        <w:t xml:space="preserve"> </w:t>
      </w:r>
      <w:r>
        <w:rPr>
          <w:b/>
        </w:rPr>
        <w:t xml:space="preserve">Tsai C</w:t>
      </w:r>
      <w:r>
        <w:t xml:space="preserve">,</w:t>
      </w:r>
      <w:r>
        <w:t xml:space="preserve"> </w:t>
      </w:r>
      <w:r>
        <w:rPr>
          <w:b/>
        </w:rPr>
        <w:t xml:space="preserve">Slampak-Cindric A</w:t>
      </w:r>
      <w:r>
        <w:t xml:space="preserve">. Use of methylene blue in chemotherapy-induced refractory anaphylactic shock.</w:t>
      </w:r>
      <w:r>
        <w:t xml:space="preserve"> </w:t>
      </w:r>
      <w:r>
        <w:rPr>
          <w:i/>
        </w:rPr>
        <w:t xml:space="preserve">Critical Care Medicine</w:t>
      </w:r>
      <w:r>
        <w:t xml:space="preserve">. 2016;</w:t>
      </w:r>
      <w:r>
        <w:t xml:space="preserve"> </w:t>
      </w:r>
      <w:r>
        <w:rPr>
          <w:b/>
        </w:rPr>
        <w:t xml:space="preserve">44</w:t>
      </w:r>
      <w:r>
        <w:t xml:space="preserve">(12 Supplement 1):543. Available at:</w:t>
      </w:r>
      <w:r>
        <w:t xml:space="preserve"> </w:t>
      </w:r>
      <w:hyperlink r:id="rId76">
        <w:r>
          <w:rPr>
            <w:rStyle w:val="Hyperlink"/>
          </w:rPr>
          <w:t xml:space="preserve">http://ovidsp.ovid.com/ovidweb.cgi?T=JS{\&amp;}PAGE=reference{\&amp;}D=emed18{\&amp;}NEWS=N{\&amp;}AN=613521808</w:t>
        </w:r>
      </w:hyperlink>
      <w:r>
        <w:t xml:space="preserve">.</w:t>
      </w:r>
    </w:p>
    <w:p>
      <w:pPr>
        <w:pStyle w:val="BodyText"/>
      </w:pPr>
      <w:r>
        <w:t xml:space="preserve">53.</w:t>
      </w:r>
      <w:r>
        <w:t xml:space="preserve"> </w:t>
      </w:r>
      <w:r>
        <w:rPr>
          <w:b/>
        </w:rPr>
        <w:t xml:space="preserve">Del Duca D</w:t>
      </w:r>
      <w:r>
        <w:t xml:space="preserve">,</w:t>
      </w:r>
      <w:r>
        <w:t xml:space="preserve"> </w:t>
      </w:r>
      <w:r>
        <w:rPr>
          <w:b/>
        </w:rPr>
        <w:t xml:space="preserve">Sheth SS</w:t>
      </w:r>
      <w:r>
        <w:t xml:space="preserve">,</w:t>
      </w:r>
      <w:r>
        <w:t xml:space="preserve"> </w:t>
      </w:r>
      <w:r>
        <w:rPr>
          <w:b/>
        </w:rPr>
        <w:t xml:space="preserve">Clarke AE</w:t>
      </w:r>
      <w:r>
        <w:t xml:space="preserve">,</w:t>
      </w:r>
      <w:r>
        <w:t xml:space="preserve"> </w:t>
      </w:r>
      <w:r>
        <w:rPr>
          <w:b/>
        </w:rPr>
        <w:t xml:space="preserve">Lachapelle KJ</w:t>
      </w:r>
      <w:r>
        <w:t xml:space="preserve">,</w:t>
      </w:r>
      <w:r>
        <w:t xml:space="preserve"> </w:t>
      </w:r>
      <w:r>
        <w:rPr>
          <w:b/>
        </w:rPr>
        <w:t xml:space="preserve">Ergina PL</w:t>
      </w:r>
      <w:r>
        <w:t xml:space="preserve">. Use of Methylene Blue for Catecholamine-Refractory Vasoplegia from Protamine and Aprotinin.</w:t>
      </w:r>
      <w:r>
        <w:t xml:space="preserve"> </w:t>
      </w:r>
      <w:r>
        <w:rPr>
          <w:i/>
        </w:rPr>
        <w:t xml:space="preserve">Annals of Thoracic Surgery</w:t>
      </w:r>
      <w:r>
        <w:t xml:space="preserve">. 2009;</w:t>
      </w:r>
      <w:r>
        <w:t xml:space="preserve"> </w:t>
      </w:r>
      <w:r>
        <w:rPr>
          <w:b/>
        </w:rPr>
        <w:t xml:space="preserve">87</w:t>
      </w:r>
      <w:r>
        <w:t xml:space="preserve">(2):640–642. Available at:</w:t>
      </w:r>
      <w:r>
        <w:t xml:space="preserve"> </w:t>
      </w:r>
      <w:hyperlink r:id="rId77">
        <w:r>
          <w:rPr>
            <w:rStyle w:val="Hyperlink"/>
          </w:rPr>
          <w:t xml:space="preserve">http://dx.doi.org/10.1016/j.athoracsur.2008.07.017</w:t>
        </w:r>
      </w:hyperlink>
      <w:r>
        <w:t xml:space="preserve">.</w:t>
      </w:r>
    </w:p>
    <w:p>
      <w:pPr>
        <w:pStyle w:val="BodyText"/>
      </w:pPr>
      <w:r>
        <w:t xml:space="preserve">54.</w:t>
      </w:r>
      <w:r>
        <w:t xml:space="preserve"> </w:t>
      </w:r>
      <w:r>
        <w:rPr>
          <w:b/>
        </w:rPr>
        <w:t xml:space="preserve">Rodrigues JM</w:t>
      </w:r>
      <w:r>
        <w:t xml:space="preserve">,</w:t>
      </w:r>
      <w:r>
        <w:t xml:space="preserve"> </w:t>
      </w:r>
      <w:r>
        <w:rPr>
          <w:b/>
        </w:rPr>
        <w:t xml:space="preserve">Pazin Filho A</w:t>
      </w:r>
      <w:r>
        <w:t xml:space="preserve">,</w:t>
      </w:r>
      <w:r>
        <w:t xml:space="preserve"> </w:t>
      </w:r>
      <w:r>
        <w:rPr>
          <w:b/>
        </w:rPr>
        <w:t xml:space="preserve">Rodrigues AJ</w:t>
      </w:r>
      <w:r>
        <w:t xml:space="preserve">,</w:t>
      </w:r>
      <w:r>
        <w:t xml:space="preserve"> </w:t>
      </w:r>
      <w:r>
        <w:rPr>
          <w:b/>
        </w:rPr>
        <w:t xml:space="preserve">Vicente WV de A</w:t>
      </w:r>
      <w:r>
        <w:t xml:space="preserve">,</w:t>
      </w:r>
      <w:r>
        <w:t xml:space="preserve"> </w:t>
      </w:r>
      <w:r>
        <w:rPr>
          <w:b/>
        </w:rPr>
        <w:t xml:space="preserve">Evora PRB</w:t>
      </w:r>
      <w:r>
        <w:t xml:space="preserve">. Methylene blue for clinical anaphylaxis treatment: A case report.</w:t>
      </w:r>
      <w:r>
        <w:t xml:space="preserve"> </w:t>
      </w:r>
      <w:r>
        <w:rPr>
          <w:i/>
        </w:rPr>
        <w:t xml:space="preserve">Sao Paulo Medical Journal</w:t>
      </w:r>
      <w:r>
        <w:t xml:space="preserve">. 2007;</w:t>
      </w:r>
      <w:r>
        <w:t xml:space="preserve"> </w:t>
      </w:r>
      <w:r>
        <w:rPr>
          <w:b/>
        </w:rPr>
        <w:t xml:space="preserve">125</w:t>
      </w:r>
      <w:r>
        <w:t xml:space="preserve">(1):60–62.</w:t>
      </w:r>
    </w:p>
    <w:p>
      <w:pPr>
        <w:pStyle w:val="BodyText"/>
      </w:pPr>
      <w:r>
        <w:t xml:space="preserve">55.</w:t>
      </w:r>
      <w:r>
        <w:t xml:space="preserve"> </w:t>
      </w:r>
      <w:r>
        <w:rPr>
          <w:b/>
        </w:rPr>
        <w:t xml:space="preserve">Zweizig S</w:t>
      </w:r>
      <w:r>
        <w:t xml:space="preserve">,</w:t>
      </w:r>
      <w:r>
        <w:t xml:space="preserve"> </w:t>
      </w:r>
      <w:r>
        <w:rPr>
          <w:b/>
        </w:rPr>
        <w:t xml:space="preserve">Roman LD</w:t>
      </w:r>
      <w:r>
        <w:t xml:space="preserve">,</w:t>
      </w:r>
      <w:r>
        <w:t xml:space="preserve"> </w:t>
      </w:r>
      <w:r>
        <w:rPr>
          <w:b/>
        </w:rPr>
        <w:t xml:space="preserve">Muderspach LI</w:t>
      </w:r>
      <w:r>
        <w:t xml:space="preserve">. Death from Anaphylaxis to Cisplatin: A Case Report.</w:t>
      </w:r>
      <w:r>
        <w:t xml:space="preserve"> </w:t>
      </w:r>
      <w:r>
        <w:rPr>
          <w:i/>
        </w:rPr>
        <w:t xml:space="preserve">Gynecologic Oncology</w:t>
      </w:r>
      <w:r>
        <w:t xml:space="preserve">. 1994;</w:t>
      </w:r>
      <w:r>
        <w:t xml:space="preserve"> </w:t>
      </w:r>
      <w:r>
        <w:rPr>
          <w:b/>
        </w:rPr>
        <w:t xml:space="preserve">53</w:t>
      </w:r>
      <w:r>
        <w:t xml:space="preserve">(1):121–122. Available at:</w:t>
      </w:r>
      <w:r>
        <w:t xml:space="preserve"> </w:t>
      </w:r>
      <w:hyperlink r:id="rId78">
        <w:r>
          <w:rPr>
            <w:rStyle w:val="Hyperlink"/>
          </w:rPr>
          <w:t xml:space="preserve">http://linkinghub.elsevier.com/retrieve/pii/S0090825884710985</w:t>
        </w:r>
      </w:hyperlink>
      <w:r>
        <w:t xml:space="preserve">.</w:t>
      </w:r>
    </w:p>
    <w:p>
      <w:pPr>
        <w:pStyle w:val="BodyText"/>
      </w:pPr>
      <w:r>
        <w:t xml:space="preserve">56.</w:t>
      </w:r>
      <w:r>
        <w:t xml:space="preserve"> </w:t>
      </w:r>
      <w:r>
        <w:rPr>
          <w:b/>
        </w:rPr>
        <w:t xml:space="preserve">Stocche RM</w:t>
      </w:r>
      <w:r>
        <w:t xml:space="preserve">,</w:t>
      </w:r>
      <w:r>
        <w:t xml:space="preserve"> </w:t>
      </w:r>
      <w:r>
        <w:rPr>
          <w:b/>
        </w:rPr>
        <w:t xml:space="preserve">Garcia LV</w:t>
      </w:r>
      <w:r>
        <w:t xml:space="preserve">,</w:t>
      </w:r>
      <w:r>
        <w:t xml:space="preserve"> </w:t>
      </w:r>
      <w:r>
        <w:rPr>
          <w:b/>
        </w:rPr>
        <w:t xml:space="preserve">Reis MPD</w:t>
      </w:r>
      <w:r>
        <w:t xml:space="preserve">,</w:t>
      </w:r>
      <w:r>
        <w:t xml:space="preserve"> </w:t>
      </w:r>
      <w:r>
        <w:rPr>
          <w:b/>
        </w:rPr>
        <w:t xml:space="preserve">Klamt JG</w:t>
      </w:r>
      <w:r>
        <w:t xml:space="preserve">,</w:t>
      </w:r>
      <w:r>
        <w:t xml:space="preserve"> </w:t>
      </w:r>
      <w:r>
        <w:rPr>
          <w:b/>
        </w:rPr>
        <w:t xml:space="preserve">Évora PRB</w:t>
      </w:r>
      <w:r>
        <w:t xml:space="preserve">. Uso do azul de metileno no tratamento de choque anafilático durante anestesia: relato de caso.</w:t>
      </w:r>
      <w:r>
        <w:t xml:space="preserve"> </w:t>
      </w:r>
      <w:r>
        <w:rPr>
          <w:i/>
        </w:rPr>
        <w:t xml:space="preserve">Revista Brasileira de Anestesiologia</w:t>
      </w:r>
      <w:r>
        <w:t xml:space="preserve">. 2004;</w:t>
      </w:r>
      <w:r>
        <w:t xml:space="preserve"> </w:t>
      </w:r>
      <w:r>
        <w:rPr>
          <w:b/>
        </w:rPr>
        <w:t xml:space="preserve">54</w:t>
      </w:r>
      <w:r>
        <w:t xml:space="preserve">(6):809–814.</w:t>
      </w:r>
    </w:p>
    <w:p>
      <w:pPr>
        <w:pStyle w:val="BodyText"/>
      </w:pPr>
      <w:r>
        <w:t xml:space="preserve">57.</w:t>
      </w:r>
      <w:r>
        <w:t xml:space="preserve"> </w:t>
      </w:r>
      <w:r>
        <w:rPr>
          <w:b/>
        </w:rPr>
        <w:t xml:space="preserve">Liu PY</w:t>
      </w:r>
      <w:r>
        <w:t xml:space="preserve">,</w:t>
      </w:r>
      <w:r>
        <w:t xml:space="preserve"> </w:t>
      </w:r>
      <w:r>
        <w:rPr>
          <w:b/>
        </w:rPr>
        <w:t xml:space="preserve">Lee CH</w:t>
      </w:r>
      <w:r>
        <w:t xml:space="preserve">,</w:t>
      </w:r>
      <w:r>
        <w:t xml:space="preserve"> </w:t>
      </w:r>
      <w:r>
        <w:rPr>
          <w:b/>
        </w:rPr>
        <w:t xml:space="preserve">Lin LJ</w:t>
      </w:r>
      <w:r>
        <w:t xml:space="preserve">,</w:t>
      </w:r>
      <w:r>
        <w:t xml:space="preserve"> </w:t>
      </w:r>
      <w:r>
        <w:rPr>
          <w:b/>
        </w:rPr>
        <w:t xml:space="preserve">Chen JH</w:t>
      </w:r>
      <w:r>
        <w:t xml:space="preserve">. Refractory anaphylactic shock associated with ketoconazole treatment.</w:t>
      </w:r>
      <w:r>
        <w:t xml:space="preserve"> </w:t>
      </w:r>
      <w:r>
        <w:rPr>
          <w:i/>
        </w:rPr>
        <w:t xml:space="preserve">Annals of Pharmacotherapy</w:t>
      </w:r>
      <w:r>
        <w:t xml:space="preserve">. 2005;</w:t>
      </w:r>
      <w:r>
        <w:t xml:space="preserve"> </w:t>
      </w:r>
      <w:r>
        <w:rPr>
          <w:b/>
        </w:rPr>
        <w:t xml:space="preserve">39</w:t>
      </w:r>
      <w:r>
        <w:t xml:space="preserve">(3):547–550.</w:t>
      </w:r>
    </w:p>
    <w:p>
      <w:pPr>
        <w:pStyle w:val="Heading1"/>
      </w:pPr>
      <w:bookmarkStart w:id="79" w:name="figures-and-tables"/>
      <w:bookmarkEnd w:id="79"/>
      <w:r>
        <w:t xml:space="preserve">Figures and Tables</w:t>
      </w:r>
    </w:p>
    <w:p>
      <w:pPr>
        <w:pStyle w:val="FigureWithCaption"/>
      </w:pPr>
      <w:r>
        <w:drawing>
          <wp:inline>
            <wp:extent cx="5943600" cy="4436771"/>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80"/>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FigureWithCaption"/>
      </w:pPr>
      <w:r>
        <w:drawing>
          <wp:inline>
            <wp:extent cx="5943600" cy="2828108"/>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81"/>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p>
      <w:pPr>
        <w:pStyle w:val="TableCaption"/>
      </w:pPr>
      <w:r>
        <w:t xml:space="preserve">Table 1 Demography of refractory anaphylaxis cases.</w:t>
      </w:r>
    </w:p>
    <w:tbl>
      <w:tblPr>
        <w:tblStyle w:val="TableNormal"/>
        <w:tblW w:type="pct" w:w="0.0"/>
        <w:tblLook w:firstRow="1"/>
        <w:tblCaption w:val="Table 1 Demography of refractory anaphylaxis cases."/>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 [%]</w:t>
            </w:r>
          </w:p>
        </w:tc>
        <w:tc>
          <w:tcPr>
            <w:tcBorders>
              <w:bottom w:val="single"/>
            </w:tcBorders>
            <w:vAlign w:val="bottom"/>
          </w:tcPr>
          <w:p>
            <w:pPr>
              <w:pStyle w:val="Compact"/>
              <w:jc w:val="right"/>
            </w:pPr>
            <w:r>
              <w:t xml:space="preserve">Surgical intervention [%]</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right"/>
            </w:pPr>
            <w:r>
              <w:t xml:space="preserve">54.5</w:t>
            </w:r>
          </w:p>
        </w:tc>
        <w:tc>
          <w:p>
            <w:pPr>
              <w:pStyle w:val="Compact"/>
              <w:jc w:val="right"/>
            </w:pPr>
            <w:r>
              <w:t xml:space="preserve">45.5</w:t>
            </w:r>
          </w:p>
        </w:tc>
        <w:tc>
          <w:p>
            <w:pPr>
              <w:pStyle w:val="Compact"/>
              <w:jc w:val="right"/>
            </w:pPr>
            <w:r>
              <w:t xml:space="preserve">81.8</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w:t>
            </w:r>
          </w:p>
        </w:tc>
        <w:tc>
          <w:p>
            <w:pPr>
              <w:pStyle w:val="Compact"/>
              <w:jc w:val="right"/>
            </w:pPr>
            <w:r>
              <w:t xml:space="preserve">58.2</w:t>
            </w:r>
          </w:p>
        </w:tc>
        <w:tc>
          <w:p>
            <w:pPr>
              <w:pStyle w:val="Compact"/>
              <w:jc w:val="right"/>
            </w:pPr>
            <w:r>
              <w:t xml:space="preserve">40.0</w:t>
            </w:r>
          </w:p>
        </w:tc>
        <w:tc>
          <w:p>
            <w:pPr>
              <w:pStyle w:val="Compact"/>
              <w:jc w:val="right"/>
            </w:pPr>
            <w:r>
              <w:t xml:space="preserve">80.0</w:t>
            </w:r>
          </w:p>
        </w:tc>
      </w:tr>
    </w:tbl>
    <w:p>
      <w:pPr>
        <w:pStyle w:val="TableCaption"/>
      </w:pPr>
      <w:r>
        <w:t xml:space="preserve">Table 2 Fatal anaphylaxis cases, not responsive to any form of therapy.</w:t>
      </w:r>
    </w:p>
    <w:tbl>
      <w:tblPr>
        <w:tblStyle w:val="TableNormal"/>
        <w:tblW w:type="pct" w:w="0.0"/>
        <w:tblLook w:firstRow="1"/>
        <w:tblCaption w:val="Table 2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p>
      <w:pPr>
        <w:pStyle w:val="TableCaption"/>
      </w:pPr>
      <w:r>
        <w:t xml:space="preserve">Table 3 List of papers and anaphylaxis cases included in the sudy, summarizing their elicitors, effective interventions and therapy.</w:t>
      </w:r>
    </w:p>
    <w:tbl>
      <w:tblPr>
        <w:tblStyle w:val="TableNormal"/>
        <w:tblW w:type="pct" w:w="0.0"/>
        <w:tblLook w:firstRow="1"/>
        <w:tblCaption w:val="Table 3 List of papers and anaphylaxis cases included in the sudy, summarizing their elicitors, effective interventions and therapy."/>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What.helped</w:t>
            </w:r>
          </w:p>
        </w:tc>
        <w:tc>
          <w:tcPr>
            <w:tcBorders>
              <w:bottom w:val="single"/>
            </w:tcBorders>
            <w:vAlign w:val="bottom"/>
          </w:tcPr>
          <w:p>
            <w:pPr>
              <w:pStyle w:val="Compact"/>
              <w:jc w:val="left"/>
            </w:pPr>
            <w:r>
              <w:t xml:space="preserve">Vasopressors</w:t>
            </w:r>
          </w:p>
        </w:tc>
      </w:tr>
      <w:tr>
        <w:tc>
          <w:p>
            <w:pPr>
              <w:pStyle w:val="Compact"/>
              <w:jc w:val="left"/>
            </w:pPr>
            <w:r>
              <w:t xml:space="preserve">Silva et Furtado</w:t>
            </w:r>
            <w:r>
              <w:t xml:space="preserve"> </w:t>
            </w:r>
            <w:r>
              <w:t xml:space="preserve">[29]</w:t>
            </w:r>
          </w:p>
        </w:tc>
        <w:tc>
          <w:p>
            <w:pPr>
              <w:pStyle w:val="Compact"/>
              <w:jc w:val="left"/>
            </w:pPr>
            <w:r>
              <w:t xml:space="preserve">other</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Nag et al</w:t>
            </w:r>
            <w:r>
              <w:t xml:space="preserve"> </w:t>
            </w:r>
            <w:r>
              <w:t xml:space="preserve">[13]</w:t>
            </w:r>
          </w:p>
        </w:tc>
        <w:tc>
          <w:p>
            <w:pPr>
              <w:pStyle w:val="Compact"/>
              <w:jc w:val="left"/>
            </w:pPr>
            <w:r>
              <w:t xml:space="preserve">drug</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Yee et al</w:t>
            </w:r>
            <w:r>
              <w:t xml:space="preserve"> </w:t>
            </w:r>
            <w:r>
              <w:t xml:space="preserve">[35]</w:t>
            </w:r>
          </w:p>
        </w:tc>
        <w:tc>
          <w:p>
            <w:pPr>
              <w:pStyle w:val="Compact"/>
              <w:jc w:val="left"/>
            </w:pPr>
            <w:r>
              <w:t xml:space="preserve">other</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TRUE</w:t>
            </w:r>
          </w:p>
        </w:tc>
      </w:tr>
      <w:tr>
        <w:tc>
          <w:p>
            <w:pPr>
              <w:pStyle w:val="Compact"/>
              <w:jc w:val="left"/>
            </w:pPr>
            <w:r>
              <w:t xml:space="preserve">Lazar et al</w:t>
            </w:r>
            <w:r>
              <w:t xml:space="preserve"> </w:t>
            </w:r>
            <w:r>
              <w:t xml:space="preserve">[10]</w:t>
            </w:r>
          </w:p>
        </w:tc>
        <w:tc>
          <w:p>
            <w:pPr>
              <w:pStyle w:val="Compact"/>
              <w:jc w:val="left"/>
            </w:pPr>
            <w:r>
              <w:t xml:space="preserve">other</w:t>
            </w:r>
          </w:p>
        </w:tc>
        <w:tc>
          <w:p>
            <w:pPr>
              <w:pStyle w:val="Compact"/>
              <w:jc w:val="right"/>
            </w:pPr>
            <w:r>
              <w:t xml:space="preserve">15</w:t>
            </w:r>
          </w:p>
        </w:tc>
        <w:tc>
          <w:p>
            <w:pPr>
              <w:pStyle w:val="Compact"/>
              <w:jc w:val="left"/>
            </w:pPr>
            <w:r>
              <w:t xml:space="preserve">man</w:t>
            </w:r>
          </w:p>
        </w:tc>
        <w:tc>
          <w:p>
            <w:pPr>
              <w:pStyle w:val="Compact"/>
              <w:jc w:val="left"/>
            </w:pPr>
            <w:r>
              <w:t xml:space="preserve">not hospital</w:t>
            </w:r>
          </w:p>
        </w:tc>
        <w:tc>
          <w:p>
            <w:pPr>
              <w:pStyle w:val="Compact"/>
              <w:jc w:val="left"/>
            </w:pPr>
            <w:r>
              <w:t xml:space="preserve">drainage</w:t>
            </w:r>
          </w:p>
        </w:tc>
        <w:tc>
          <w:p>
            <w:pPr>
              <w:pStyle w:val="Compact"/>
              <w:jc w:val="left"/>
            </w:pPr>
            <w:r>
              <w:t xml:space="preserve">FALSE</w:t>
            </w:r>
          </w:p>
        </w:tc>
      </w:tr>
      <w:tr>
        <w:tc>
          <w:p>
            <w:pPr>
              <w:pStyle w:val="Compact"/>
              <w:jc w:val="left"/>
            </w:pPr>
            <w:r>
              <w:t xml:space="preserve">Tsai et al</w:t>
            </w:r>
            <w:r>
              <w:t xml:space="preserve"> </w:t>
            </w:r>
            <w:r>
              <w:t xml:space="preserve">[52]</w:t>
            </w:r>
          </w:p>
        </w:tc>
        <w:tc>
          <w:p>
            <w:pPr>
              <w:pStyle w:val="Compact"/>
              <w:jc w:val="left"/>
            </w:pPr>
            <w:r>
              <w:t xml:space="preserve">drug</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Weiss et al</w:t>
            </w:r>
            <w:r>
              <w:t xml:space="preserve"> </w:t>
            </w:r>
            <w:r>
              <w:t xml:space="preserve">[30]</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jc w:val="left"/>
            </w:pPr>
            <w:r>
              <w:t xml:space="preserve">TRUE</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unknown</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Duca</w:t>
            </w:r>
            <w:r>
              <w:t xml:space="preserve"> </w:t>
            </w:r>
            <w:r>
              <w:t xml:space="preserve">[53]</w:t>
            </w:r>
          </w:p>
        </w:tc>
        <w:tc>
          <w:p>
            <w:pPr>
              <w:pStyle w:val="Compact"/>
              <w:jc w:val="left"/>
            </w:pPr>
            <w:r>
              <w:t xml:space="preserve">drug</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Duca</w:t>
            </w:r>
            <w:r>
              <w:t xml:space="preserve"> </w:t>
            </w:r>
            <w:r>
              <w:t xml:space="preserve">[53]</w:t>
            </w:r>
          </w:p>
        </w:tc>
        <w:tc>
          <w:p>
            <w:pPr>
              <w:pStyle w:val="Compact"/>
              <w:jc w:val="left"/>
            </w:pPr>
            <w:r>
              <w:t xml:space="preserve">drug</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Rodrigues</w:t>
            </w:r>
            <w:r>
              <w:t xml:space="preserve"> </w:t>
            </w:r>
            <w:r>
              <w:t xml:space="preserve">[54]</w:t>
            </w:r>
          </w:p>
        </w:tc>
        <w:tc>
          <w:p>
            <w:pPr>
              <w:pStyle w:val="Compact"/>
              <w:jc w:val="left"/>
            </w:pPr>
            <w:r>
              <w:t xml:space="preserve">drug</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Bauer et al.</w:t>
            </w:r>
            <w:r>
              <w:t xml:space="preserve"> </w:t>
            </w:r>
            <w:r>
              <w:t xml:space="preserve">[24]</w:t>
            </w:r>
          </w:p>
        </w:tc>
        <w:tc>
          <w:p>
            <w:pPr>
              <w:pStyle w:val="Compact"/>
              <w:jc w:val="left"/>
            </w:pPr>
            <w:r>
              <w:t xml:space="preserve">other</w:t>
            </w:r>
          </w:p>
        </w:tc>
        <w:tc>
          <w:p>
            <w:pPr>
              <w:pStyle w:val="Compact"/>
              <w:jc w:val="right"/>
            </w:pPr>
            <w:r>
              <w:t xml:space="preserve">43</w:t>
            </w:r>
          </w:p>
        </w:tc>
        <w:tc>
          <w:p>
            <w:pPr>
              <w:pStyle w:val="Compact"/>
              <w:jc w:val="left"/>
            </w:pPr>
            <w:r>
              <w:t xml:space="preserve">woman</w:t>
            </w:r>
          </w:p>
        </w:tc>
        <w:tc>
          <w:p>
            <w:pPr>
              <w:pStyle w:val="Compact"/>
              <w:jc w:val="left"/>
            </w:pPr>
            <w:r>
              <w:t xml:space="preserve">not hospital</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Baumann</w:t>
            </w:r>
            <w:r>
              <w:t xml:space="preserve"> </w:t>
            </w:r>
            <w:r>
              <w:t xml:space="preserve">[14]</w:t>
            </w:r>
          </w:p>
        </w:tc>
        <w:tc>
          <w:p>
            <w:pPr>
              <w:pStyle w:val="Compact"/>
              <w:jc w:val="left"/>
            </w:pPr>
            <w:r>
              <w:t xml:space="preserve">drug</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NA</w:t>
            </w:r>
          </w:p>
        </w:tc>
        <w:tc>
          <w:p>
            <w:pPr>
              <w:pStyle w:val="Compact"/>
              <w:jc w:val="left"/>
            </w:pPr>
            <w:r>
              <w:t xml:space="preserve">TRUE</w:t>
            </w:r>
          </w:p>
        </w:tc>
      </w:tr>
      <w:tr>
        <w:tc>
          <w:p>
            <w:pPr>
              <w:pStyle w:val="Compact"/>
              <w:jc w:val="left"/>
            </w:pPr>
            <w:r>
              <w:t xml:space="preserve">Baumann</w:t>
            </w:r>
            <w:r>
              <w:t xml:space="preserve"> </w:t>
            </w:r>
            <w:r>
              <w:t xml:space="preserve">[14]</w:t>
            </w:r>
          </w:p>
        </w:tc>
        <w:tc>
          <w:p>
            <w:pPr>
              <w:pStyle w:val="Compact"/>
              <w:jc w:val="left"/>
            </w:pPr>
            <w:r>
              <w:t xml:space="preserve">drug</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TRUE</w:t>
            </w:r>
          </w:p>
        </w:tc>
      </w:tr>
      <w:tr>
        <w:tc>
          <w:p>
            <w:pPr>
              <w:pStyle w:val="Compact"/>
              <w:jc w:val="left"/>
            </w:pPr>
            <w:r>
              <w:t xml:space="preserve">heytman</w:t>
            </w:r>
            <w:r>
              <w:t xml:space="preserve"> </w:t>
            </w:r>
            <w:r>
              <w:t xml:space="preserve">[28]</w:t>
            </w:r>
          </w:p>
        </w:tc>
        <w:tc>
          <w:p>
            <w:pPr>
              <w:pStyle w:val="Compact"/>
              <w:jc w:val="left"/>
            </w:pPr>
            <w:r>
              <w:t xml:space="preserve">drug</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heytman</w:t>
            </w:r>
            <w:r>
              <w:t xml:space="preserve"> </w:t>
            </w:r>
            <w:r>
              <w:t xml:space="preserve">[28]</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Higgins et gayatri</w:t>
            </w:r>
            <w:r>
              <w:t xml:space="preserve"> </w:t>
            </w:r>
            <w:r>
              <w:t xml:space="preserve">[31]</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jc w:val="left"/>
            </w:pPr>
            <w:r>
              <w:t xml:space="preserve">FALSE</w:t>
            </w:r>
          </w:p>
        </w:tc>
      </w:tr>
      <w:tr>
        <w:tc>
          <w:p>
            <w:pPr>
              <w:pStyle w:val="Compact"/>
              <w:jc w:val="left"/>
            </w:pPr>
            <w:r>
              <w:t xml:space="preserve">allen</w:t>
            </w:r>
            <w:r>
              <w:t xml:space="preserve"> </w:t>
            </w:r>
            <w:r>
              <w:t xml:space="preserve">[36]</w:t>
            </w:r>
          </w:p>
        </w:tc>
        <w:tc>
          <w:p>
            <w:pPr>
              <w:pStyle w:val="Compact"/>
              <w:jc w:val="left"/>
            </w:pPr>
            <w:r>
              <w:t xml:space="preserve">drug</w:t>
            </w:r>
          </w:p>
        </w:tc>
        <w:tc>
          <w:p>
            <w:pPr>
              <w:pStyle w:val="Compact"/>
              <w:jc w:val="right"/>
            </w:pPr>
            <w:r>
              <w:t xml:space="preserve">21</w:t>
            </w:r>
          </w:p>
        </w:tc>
        <w:tc>
          <w:p>
            <w:pPr>
              <w:pStyle w:val="Compact"/>
              <w:jc w:val="left"/>
            </w:pPr>
            <w:r>
              <w:t xml:space="preserve">woman</w:t>
            </w:r>
          </w:p>
        </w:tc>
        <w:tc>
          <w:p>
            <w:pPr>
              <w:pStyle w:val="Compact"/>
              <w:jc w:val="left"/>
            </w:pPr>
            <w:r>
              <w:t xml:space="preserve">unknown</w:t>
            </w:r>
          </w:p>
        </w:tc>
        <w:tc>
          <w:p>
            <w:pPr>
              <w:pStyle w:val="Compact"/>
              <w:jc w:val="left"/>
            </w:pPr>
            <w:r>
              <w:t xml:space="preserve">ECLS</w:t>
            </w:r>
          </w:p>
        </w:tc>
        <w:tc>
          <w:p>
            <w:pPr>
              <w:pStyle w:val="Compact"/>
              <w:jc w:val="left"/>
            </w:pPr>
            <w:r>
              <w:t xml:space="preserve">FALSE</w:t>
            </w:r>
          </w:p>
        </w:tc>
      </w:tr>
      <w:tr>
        <w:tc>
          <w:p>
            <w:pPr>
              <w:pStyle w:val="Compact"/>
              <w:jc w:val="left"/>
            </w:pPr>
            <w:r>
              <w:t xml:space="preserve">Zaloga1986</w:t>
            </w:r>
            <w:r>
              <w:t xml:space="preserve"> </w:t>
            </w:r>
            <w:r>
              <w:t xml:space="preserve">[46]</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FALSE</w:t>
            </w:r>
          </w:p>
        </w:tc>
      </w:tr>
      <w:tr>
        <w:tc>
          <w:p>
            <w:pPr>
              <w:pStyle w:val="Compact"/>
              <w:jc w:val="left"/>
            </w:pPr>
            <w:r>
              <w:t xml:space="preserve">Zweizig</w:t>
            </w:r>
            <w:r>
              <w:t xml:space="preserve"> </w:t>
            </w:r>
            <w:r>
              <w:t xml:space="preserve">[55]</w:t>
            </w:r>
          </w:p>
        </w:tc>
        <w:tc>
          <w:p>
            <w:pPr>
              <w:pStyle w:val="Compact"/>
              <w:jc w:val="left"/>
            </w:pPr>
            <w:r>
              <w:t xml:space="preserve">drug</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NA</w:t>
            </w:r>
          </w:p>
        </w:tc>
        <w:tc>
          <w:p>
            <w:pPr>
              <w:pStyle w:val="Compact"/>
              <w:jc w:val="left"/>
            </w:pPr>
            <w:r>
              <w:t xml:space="preserve">FALSE</w:t>
            </w:r>
          </w:p>
        </w:tc>
      </w:tr>
      <w:tr>
        <w:tc>
          <w:p>
            <w:pPr>
              <w:pStyle w:val="Compact"/>
              <w:jc w:val="left"/>
            </w:pPr>
            <w:r>
              <w:t xml:space="preserve">Lexenaire</w:t>
            </w:r>
            <w:r>
              <w:t xml:space="preserve"> </w:t>
            </w:r>
            <w:r>
              <w:t xml:space="preserve">[47]</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TRUE</w:t>
            </w:r>
          </w:p>
        </w:tc>
      </w:tr>
      <w:tr>
        <w:tc>
          <w:p>
            <w:pPr>
              <w:pStyle w:val="Compact"/>
              <w:jc w:val="left"/>
            </w:pPr>
            <w:r>
              <w:t xml:space="preserve">Bickell et al</w:t>
            </w:r>
            <w:r>
              <w:t xml:space="preserve"> </w:t>
            </w:r>
            <w:r>
              <w:t xml:space="preserve">[42]</w:t>
            </w:r>
          </w:p>
        </w:tc>
        <w:tc>
          <w:p>
            <w:pPr>
              <w:pStyle w:val="Compact"/>
              <w:jc w:val="left"/>
            </w:pPr>
            <w:r>
              <w:t xml:space="preserve">other</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jc w:val="left"/>
            </w:pPr>
            <w:r>
              <w:t xml:space="preserve">FALSE</w:t>
            </w:r>
          </w:p>
        </w:tc>
      </w:tr>
      <w:tr>
        <w:tc>
          <w:p>
            <w:pPr>
              <w:pStyle w:val="Compact"/>
              <w:jc w:val="left"/>
            </w:pPr>
            <w:r>
              <w:t xml:space="preserve">Javeed</w:t>
            </w:r>
            <w:r>
              <w:t xml:space="preserve"> </w:t>
            </w:r>
            <w:r>
              <w:t xml:space="preserve">[33]</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FALSE</w:t>
            </w:r>
          </w:p>
        </w:tc>
      </w:tr>
      <w:tr>
        <w:tc>
          <w:p>
            <w:pPr>
              <w:pStyle w:val="Compact"/>
              <w:jc w:val="left"/>
            </w:pPr>
            <w:r>
              <w:t xml:space="preserve">Stocche</w:t>
            </w:r>
            <w:r>
              <w:t xml:space="preserve"> </w:t>
            </w:r>
            <w:r>
              <w:t xml:space="preserve">[56]</w:t>
            </w:r>
          </w:p>
        </w:tc>
        <w:tc>
          <w:p>
            <w:pPr>
              <w:pStyle w:val="Compact"/>
              <w:jc w:val="left"/>
            </w:pPr>
            <w:r>
              <w:t xml:space="preserve">drug</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LIU</w:t>
            </w:r>
            <w:r>
              <w:t xml:space="preserve"> </w:t>
            </w:r>
            <w:r>
              <w:t xml:space="preserve">[57]</w:t>
            </w:r>
          </w:p>
        </w:tc>
        <w:tc>
          <w:p>
            <w:pPr>
              <w:pStyle w:val="Compact"/>
              <w:jc w:val="left"/>
            </w:pPr>
            <w:r>
              <w:t xml:space="preserve">drug</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jc w:val="left"/>
            </w:pPr>
            <w:r>
              <w:t xml:space="preserve">FALSE</w:t>
            </w:r>
          </w:p>
        </w:tc>
      </w:tr>
      <w:tr>
        <w:tc>
          <w:p>
            <w:pPr>
              <w:pStyle w:val="Compact"/>
              <w:jc w:val="left"/>
            </w:pPr>
            <w:r>
              <w:t xml:space="preserve">Schummer</w:t>
            </w:r>
            <w:r>
              <w:t xml:space="preserve"> </w:t>
            </w:r>
            <w:r>
              <w:t xml:space="preserve">[37]</w:t>
            </w:r>
          </w:p>
        </w:tc>
        <w:tc>
          <w:p>
            <w:pPr>
              <w:pStyle w:val="Compact"/>
              <w:jc w:val="left"/>
            </w:pPr>
            <w:r>
              <w:t xml:space="preserve">drug</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[37]</w:t>
            </w:r>
          </w:p>
        </w:tc>
        <w:tc>
          <w:p>
            <w:pPr>
              <w:pStyle w:val="Compact"/>
              <w:jc w:val="left"/>
            </w:pPr>
            <w:r>
              <w:t xml:space="preserve">drug</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[37]</w:t>
            </w:r>
          </w:p>
        </w:tc>
        <w:tc>
          <w:p>
            <w:pPr>
              <w:pStyle w:val="Compact"/>
              <w:jc w:val="left"/>
            </w:pPr>
            <w:r>
              <w:t xml:space="preserve">drug</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[37]</w:t>
            </w:r>
          </w:p>
        </w:tc>
        <w:tc>
          <w:p>
            <w:pPr>
              <w:pStyle w:val="Compact"/>
              <w:jc w:val="left"/>
            </w:pPr>
            <w:r>
              <w:t xml:space="preserve">drug</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[37]</w:t>
            </w:r>
          </w:p>
        </w:tc>
        <w:tc>
          <w:p>
            <w:pPr>
              <w:pStyle w:val="Compact"/>
              <w:jc w:val="left"/>
            </w:pPr>
            <w:r>
              <w:t xml:space="preserve">drug</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[37]</w:t>
            </w:r>
          </w:p>
        </w:tc>
        <w:tc>
          <w:p>
            <w:pPr>
              <w:pStyle w:val="Compact"/>
              <w:jc w:val="left"/>
            </w:pPr>
            <w:r>
              <w:t xml:space="preserve">drug</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[38]</w:t>
            </w:r>
          </w:p>
        </w:tc>
        <w:tc>
          <w:p>
            <w:pPr>
              <w:pStyle w:val="Compact"/>
              <w:jc w:val="left"/>
            </w:pPr>
            <w:r>
              <w:t xml:space="preserve">drug</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Weissgerber</w:t>
            </w:r>
            <w:r>
              <w:t xml:space="preserve"> </w:t>
            </w:r>
            <w:r>
              <w:t xml:space="preserve">[39]</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Hussain</w:t>
            </w:r>
            <w:r>
              <w:t xml:space="preserve"> </w:t>
            </w:r>
            <w:r>
              <w:t xml:space="preserve">[40]</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Lango</w:t>
            </w:r>
            <w:r>
              <w:t xml:space="preserve"> </w:t>
            </w:r>
            <w:r>
              <w:t xml:space="preserve">[41]</w:t>
            </w:r>
          </w:p>
        </w:tc>
        <w:tc>
          <w:p>
            <w:pPr>
              <w:pStyle w:val="Compact"/>
              <w:jc w:val="left"/>
            </w:pPr>
            <w:r>
              <w:t xml:space="preserve">drug</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TRUE</w:t>
            </w:r>
          </w:p>
        </w:tc>
      </w:tr>
      <w:tr>
        <w:tc>
          <w:p>
            <w:pPr>
              <w:pStyle w:val="Compact"/>
              <w:jc w:val="left"/>
            </w:pPr>
            <w:r>
              <w:t xml:space="preserve">Raft</w:t>
            </w:r>
            <w:r>
              <w:t xml:space="preserve"> </w:t>
            </w:r>
            <w:r>
              <w:t xml:space="preserve">[48]</w:t>
            </w:r>
          </w:p>
        </w:tc>
        <w:tc>
          <w:p>
            <w:pPr>
              <w:pStyle w:val="Compact"/>
              <w:jc w:val="left"/>
            </w:pPr>
            <w:r>
              <w:t xml:space="preserve">drug</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FALSE</w:t>
            </w:r>
          </w:p>
        </w:tc>
      </w:tr>
      <w:tr>
        <w:tc>
          <w:p>
            <w:pPr>
              <w:pStyle w:val="Compact"/>
              <w:jc w:val="left"/>
            </w:pPr>
            <w:r>
              <w:t xml:space="preserve">Wang</w:t>
            </w:r>
            <w:r>
              <w:t xml:space="preserve"> </w:t>
            </w:r>
            <w:r>
              <w:t xml:space="preserve">[49]</w:t>
            </w:r>
          </w:p>
        </w:tc>
        <w:tc>
          <w:p>
            <w:pPr>
              <w:pStyle w:val="Compact"/>
              <w:jc w:val="left"/>
            </w:pPr>
            <w:r>
              <w:t xml:space="preserve">other</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FALSE</w:t>
            </w:r>
          </w:p>
        </w:tc>
      </w:tr>
      <w:tr>
        <w:tc>
          <w:p>
            <w:pPr>
              <w:pStyle w:val="Compact"/>
              <w:jc w:val="left"/>
            </w:pPr>
            <w:r>
              <w:t xml:space="preserve">Gibbs</w:t>
            </w:r>
            <w:r>
              <w:t xml:space="preserve"> </w:t>
            </w:r>
            <w:r>
              <w:t xml:space="preserve">[34]</w:t>
            </w:r>
          </w:p>
        </w:tc>
        <w:tc>
          <w:p>
            <w:pPr>
              <w:pStyle w:val="Compact"/>
              <w:jc w:val="left"/>
            </w:pPr>
            <w:r>
              <w:t xml:space="preserve">drug</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FALSE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a5af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dd1c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80" Target="media/rId80.png" /><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7"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78"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6"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7"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78"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6"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Sabine Dölle; Margitta Worm, MD</dc:creator>
  <dcterms:created xsi:type="dcterms:W3CDTF">2017-12-06T16:31:41Z</dcterms:created>
  <dcterms:modified xsi:type="dcterms:W3CDTF">2017-12-06T16:31:41Z</dcterms:modified>
</cp:coreProperties>
</file>