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7.png" ContentType="image/png"/>
  <Override PartName="/word/media/rId105.png" ContentType="image/png"/>
  <Override PartName="/word/media/rId103.png" ContentType="image/png"/>
  <Override PartName="/word/media/rId101.png" ContentType="image/png"/>
  <Override PartName="/word/media/rId99.png" ContentType="image/png"/>
  <Override PartName="/word/media/rId110.png" ContentType="image/png"/>
  <Override PartName="/word/media/rId112.png" ContentType="image/png"/>
  <Override PartName="/word/media/rId117.png" ContentType="image/png"/>
  <Override PartName="/word/media/rId116.png" ContentType="image/png"/>
  <Override PartName="/word/media/rId114.png" ContentType="image/png"/>
  <Override PartName="/word/media/rId11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Phenotype</w:t>
      </w:r>
      <w:r>
        <w:t xml:space="preserve"> </w:t>
      </w:r>
      <w:r>
        <w:t xml:space="preserve">and</w:t>
      </w:r>
      <w:r>
        <w:t xml:space="preserve"> </w:t>
      </w:r>
      <w:r>
        <w:t xml:space="preserve">risk</w:t>
      </w:r>
      <w:r>
        <w:t xml:space="preserve"> </w:t>
      </w:r>
      <w:r>
        <w:t xml:space="preserve">factors</w:t>
      </w:r>
      <w:r>
        <w:t xml:space="preserve"> </w:t>
      </w:r>
      <w:r>
        <w:t xml:space="preserve">of</w:t>
      </w:r>
      <w:r>
        <w:t xml:space="preserve"> </w:t>
      </w:r>
      <w:r>
        <w:t xml:space="preserve">venom-induced</w:t>
      </w:r>
      <w:r>
        <w:t xml:space="preserve"> </w:t>
      </w:r>
      <w:r>
        <w:t xml:space="preserve">anaphylaxis:</w:t>
      </w:r>
      <w:r>
        <w:t xml:space="preserve"> </w:t>
      </w:r>
      <w:r>
        <w:t xml:space="preserve">a</w:t>
      </w:r>
      <w:r>
        <w:t xml:space="preserve"> </w:t>
      </w:r>
      <w:r>
        <w:t xml:space="preserve">case</w:t>
      </w:r>
      <w:r>
        <w:t xml:space="preserve"> </w:t>
      </w:r>
      <w:r>
        <w:t xml:space="preserve">-</w:t>
      </w:r>
      <w:r>
        <w:t xml:space="preserve"> </w:t>
      </w:r>
      <w:r>
        <w:t xml:space="preserve">control</w:t>
      </w:r>
      <w:r>
        <w:t xml:space="preserve"> </w:t>
      </w:r>
      <w:r>
        <w:t xml:space="preserve">study</w:t>
      </w:r>
      <w:r>
        <w:t xml:space="preserve"> </w:t>
      </w:r>
      <w:r>
        <w:t xml:space="preserve">of</w:t>
      </w:r>
      <w:r>
        <w:t xml:space="preserve"> </w:t>
      </w:r>
      <w:r>
        <w:t xml:space="preserve">the</w:t>
      </w:r>
      <w:r>
        <w:t xml:space="preserve"> </w:t>
      </w:r>
      <w:r>
        <w:t xml:space="preserve">European</w:t>
      </w:r>
      <w:r>
        <w:t xml:space="preserve"> </w:t>
      </w:r>
      <w:r>
        <w:t xml:space="preserve">Anaphylaxis</w:t>
      </w:r>
      <w:r>
        <w:t xml:space="preserve"> </w:t>
      </w:r>
      <w:r>
        <w:t xml:space="preserve">Registry</w:t>
      </w:r>
    </w:p>
    <w:p>
      <w:pPr>
        <w:pStyle w:val="Date"/>
      </w:pPr>
      <w:r>
        <w:t xml:space="preserve">19</w:t>
      </w:r>
      <w:r>
        <w:t xml:space="preserve"> </w:t>
      </w:r>
      <w:r>
        <w:t xml:space="preserve">Dezember,</w:t>
      </w:r>
      <w:r>
        <w:t xml:space="preserve"> </w:t>
      </w:r>
      <w:r>
        <w:t xml:space="preserve">2019</w:t>
      </w:r>
    </w:p>
    <w:p>
      <w:pPr>
        <w:pStyle w:val="FirstParagraph"/>
      </w:pPr>
      <w:r>
        <w:t xml:space="preserve">Wojciech Francuzik</w:t>
      </w:r>
      <w:r>
        <w:rPr>
          <w:vertAlign w:val="superscript"/>
        </w:rPr>
        <w:t xml:space="preserve">1</w:t>
      </w:r>
      <w:r>
        <w:t xml:space="preserve">,</w:t>
      </w:r>
      <w:r>
        <w:t xml:space="preserve"> </w:t>
      </w:r>
      <w:r>
        <w:t xml:space="preserve">Franziska Ruëff</w:t>
      </w:r>
      <w:r>
        <w:rPr>
          <w:vertAlign w:val="superscript"/>
        </w:rPr>
        <w:t xml:space="preserve">2</w:t>
      </w:r>
      <w:r>
        <w:t xml:space="preserve">,</w:t>
      </w:r>
      <w:r>
        <w:t xml:space="preserve"> </w:t>
      </w:r>
      <w:r>
        <w:t xml:space="preserve">Andrea Bauer</w:t>
      </w:r>
      <w:r>
        <w:rPr>
          <w:vertAlign w:val="superscript"/>
        </w:rPr>
        <w:t xml:space="preserve">3</w:t>
      </w:r>
      <w:r>
        <w:t xml:space="preserve">,.</w:t>
      </w:r>
      <w:r>
        <w:t xml:space="preserve"> </w:t>
      </w:r>
      <w:r>
        <w:t xml:space="preserve">Maria Beatrice Bilò</w:t>
      </w:r>
      <w:r>
        <w:t xml:space="preserve"> </w:t>
      </w:r>
      <w:r>
        <w:rPr>
          <w:vertAlign w:val="superscript"/>
        </w:rPr>
        <w:t xml:space="preserve">4,5</w:t>
      </w:r>
      <w:r>
        <w:t xml:space="preserve">,</w:t>
      </w:r>
      <w:r>
        <w:t xml:space="preserve"> </w:t>
      </w:r>
      <w:r>
        <w:t xml:space="preserve">Victoria Cardona</w:t>
      </w:r>
      <w:r>
        <w:rPr>
          <w:vertAlign w:val="superscript"/>
        </w:rPr>
        <w:t xml:space="preserve">6</w:t>
      </w:r>
      <w:r>
        <w:t xml:space="preserve">,</w:t>
      </w:r>
      <w:r>
        <w:t xml:space="preserve"> </w:t>
      </w:r>
      <w:r>
        <w:t xml:space="preserve">George Christoff</w:t>
      </w:r>
      <w:r>
        <w:rPr>
          <w:vertAlign w:val="superscript"/>
        </w:rPr>
        <w:t xml:space="preserve">7</w:t>
      </w:r>
      <w:r>
        <w:t xml:space="preserve">,</w:t>
      </w:r>
      <w:r>
        <w:t xml:space="preserve"> </w:t>
      </w:r>
      <w:r>
        <w:t xml:space="preserve">Sabine Dölle-Bierke</w:t>
      </w:r>
      <w:r>
        <w:rPr>
          <w:vertAlign w:val="superscript"/>
        </w:rPr>
        <w:t xml:space="preserve">8</w:t>
      </w:r>
      <w:r>
        <w:t xml:space="preserve">,</w:t>
      </w:r>
      <w:r>
        <w:t xml:space="preserve"> </w:t>
      </w:r>
      <w:r>
        <w:t xml:space="preserve">Luis Ensina</w:t>
      </w:r>
      <w:r>
        <w:rPr>
          <w:vertAlign w:val="superscript"/>
        </w:rPr>
        <w:t xml:space="preserve">9</w:t>
      </w:r>
      <w:r>
        <w:t xml:space="preserve">,</w:t>
      </w:r>
      <w:r>
        <w:t xml:space="preserve"> </w:t>
      </w:r>
      <w:r>
        <w:t xml:space="preserve">Montserat Fernandes-Rivas</w:t>
      </w:r>
      <w:r>
        <w:rPr>
          <w:vertAlign w:val="superscript"/>
        </w:rPr>
        <w:t xml:space="preserve">7,11</w:t>
      </w:r>
      <w:r>
        <w:t xml:space="preserve">,</w:t>
      </w:r>
      <w:r>
        <w:t xml:space="preserve"> </w:t>
      </w:r>
      <w:r>
        <w:t xml:space="preserve">Thomas Hawranek</w:t>
      </w:r>
      <w:r>
        <w:rPr>
          <w:vertAlign w:val="superscript"/>
        </w:rPr>
        <w:t xml:space="preserve">12</w:t>
      </w:r>
      <w:r>
        <w:t xml:space="preserve">,</w:t>
      </w:r>
      <w:r>
        <w:t xml:space="preserve"> </w:t>
      </w:r>
      <w:r>
        <w:t xml:space="preserve">Johnathan O’B Hourihane</w:t>
      </w:r>
      <w:r>
        <w:rPr>
          <w:vertAlign w:val="superscript"/>
        </w:rPr>
        <w:t xml:space="preserve">13</w:t>
      </w:r>
      <w:r>
        <w:t xml:space="preserve">,</w:t>
      </w:r>
      <w:r>
        <w:t xml:space="preserve"> </w:t>
      </w:r>
      <w:r>
        <w:t xml:space="preserve">Tilo Jakob</w:t>
      </w:r>
      <w:r>
        <w:rPr>
          <w:vertAlign w:val="superscript"/>
        </w:rPr>
        <w:t xml:space="preserve">14,15</w:t>
      </w:r>
      <w:r>
        <w:t xml:space="preserve">,</w:t>
      </w:r>
      <w:r>
        <w:t xml:space="preserve"> </w:t>
      </w:r>
      <w:r>
        <w:t xml:space="preserve">Nicos G. Papadopoulus</w:t>
      </w:r>
      <w:r>
        <w:rPr>
          <w:vertAlign w:val="superscript"/>
        </w:rPr>
        <w:t xml:space="preserve">16,17</w:t>
      </w:r>
      <w:r>
        <w:t xml:space="preserve">,</w:t>
      </w:r>
      <w:r>
        <w:t xml:space="preserve"> </w:t>
      </w:r>
      <w:r>
        <w:t xml:space="preserve">Claudia Pföhler</w:t>
      </w:r>
      <w:r>
        <w:rPr>
          <w:vertAlign w:val="superscript"/>
        </w:rPr>
        <w:t xml:space="preserve">18</w:t>
      </w:r>
      <w:r>
        <w:t xml:space="preserve">,</w:t>
      </w:r>
      <w:r>
        <w:t xml:space="preserve"> </w:t>
      </w:r>
      <w:r>
        <w:t xml:space="preserve">Iwona Poziomkowska-Gęsicka</w:t>
      </w:r>
      <w:r>
        <w:rPr>
          <w:vertAlign w:val="superscript"/>
        </w:rPr>
        <w:t xml:space="preserve">19</w:t>
      </w:r>
      <w:r>
        <w:t xml:space="preserve">,</w:t>
      </w:r>
      <w:r>
        <w:t xml:space="preserve"> </w:t>
      </w:r>
      <w:r>
        <w:t xml:space="preserve">Xavier Van der Brempt</w:t>
      </w:r>
      <w:r>
        <w:rPr>
          <w:vertAlign w:val="superscript"/>
        </w:rPr>
        <w:t xml:space="preserve">20</w:t>
      </w:r>
      <w:r>
        <w:t xml:space="preserve">,</w:t>
      </w:r>
      <w:r>
        <w:t xml:space="preserve"> </w:t>
      </w:r>
      <w:r>
        <w:t xml:space="preserve">Kathrin Scherer Hofmeier</w:t>
      </w:r>
      <w:r>
        <w:rPr>
          <w:vertAlign w:val="superscript"/>
        </w:rPr>
        <w:t xml:space="preserve">21</w:t>
      </w:r>
      <w:r>
        <w:t xml:space="preserve">,</w:t>
      </w:r>
      <w:r>
        <w:t xml:space="preserve"> </w:t>
      </w:r>
      <w:r>
        <w:t xml:space="preserve">Regina Treudler</w:t>
      </w:r>
      <w:r>
        <w:rPr>
          <w:vertAlign w:val="superscript"/>
        </w:rPr>
        <w:t xml:space="preserve">22</w:t>
      </w:r>
      <w:r>
        <w:t xml:space="preserve">,</w:t>
      </w:r>
      <w:r>
        <w:t xml:space="preserve"> </w:t>
      </w:r>
      <w:r>
        <w:t xml:space="preserve">Nicola Wagner</w:t>
      </w:r>
      <w:r>
        <w:rPr>
          <w:vertAlign w:val="superscript"/>
        </w:rPr>
        <w:t xml:space="preserve">23</w:t>
      </w:r>
      <w:r>
        <w:t xml:space="preserve">,</w:t>
      </w:r>
      <w:r>
        <w:t xml:space="preserve"> </w:t>
      </w:r>
      <w:r>
        <w:t xml:space="preserve">Bettina Wedi</w:t>
      </w:r>
      <w:r>
        <w:rPr>
          <w:vertAlign w:val="superscript"/>
        </w:rPr>
        <w:t xml:space="preserve">24</w:t>
      </w:r>
      <w:r>
        <w:t xml:space="preserve">,</w:t>
      </w:r>
      <w:r>
        <w:t xml:space="preserve"> </w:t>
      </w:r>
      <w:r>
        <w:t xml:space="preserve">Margitta Worm</w:t>
      </w:r>
      <w:r>
        <w:rPr>
          <w:vertAlign w:val="superscript"/>
        </w:rPr>
        <w:t xml:space="preserve">1</w:t>
      </w:r>
    </w:p>
    <w:p>
      <w:pPr>
        <w:pStyle w:val="BodyText"/>
      </w:pPr>
      <w:r>
        <w:rPr>
          <w:vertAlign w:val="superscript"/>
        </w:rPr>
        <w:t xml:space="preserve">1</w:t>
      </w:r>
      <w:r>
        <w:t xml:space="preserve"> </w:t>
      </w:r>
      <w:r>
        <w:t xml:space="preserve">Division of Allergy and Immunology, Department of Dermatology, Venerology, and Allergology, Charité – Universitätsmedizin Berlin, corporate member of Freie Universität Berlin, Humboldt-Universität zu Berlin, and Berlin Institute of Health, Germany</w:t>
      </w:r>
    </w:p>
    <w:p>
      <w:pPr>
        <w:pStyle w:val="BodyText"/>
      </w:pPr>
      <w:r>
        <w:rPr>
          <w:vertAlign w:val="superscript"/>
        </w:rPr>
        <w:t xml:space="preserve">2</w:t>
      </w:r>
      <w:r>
        <w:t xml:space="preserve"> </w:t>
      </w:r>
      <w:r>
        <w:t xml:space="preserve">Department of Dermatology and Allergy, Ludwig-Maximilian University, Munich, Germany</w:t>
      </w:r>
    </w:p>
    <w:p>
      <w:pPr>
        <w:pStyle w:val="BodyText"/>
      </w:pPr>
      <w:r>
        <w:rPr>
          <w:vertAlign w:val="superscript"/>
        </w:rPr>
        <w:t xml:space="preserve">3</w:t>
      </w:r>
      <w:r>
        <w:t xml:space="preserve"> </w:t>
      </w:r>
      <w:r>
        <w:t xml:space="preserve">University Allergy Center, University Hospital Carl Gustav Carus, Technical University Dresden, Dresden, German</w:t>
      </w:r>
    </w:p>
    <w:p>
      <w:pPr>
        <w:pStyle w:val="BodyText"/>
      </w:pPr>
      <w:r>
        <w:rPr>
          <w:vertAlign w:val="superscript"/>
        </w:rPr>
        <w:t xml:space="preserve">4</w:t>
      </w:r>
      <w:r>
        <w:t xml:space="preserve"> </w:t>
      </w:r>
      <w:r>
        <w:t xml:space="preserve">Allergy Unit, Department of Internal Medicine, University Hospital Ospedali Riuniti di Ancona, Ancona, Italy</w:t>
      </w:r>
    </w:p>
    <w:p>
      <w:pPr>
        <w:pStyle w:val="BodyText"/>
      </w:pPr>
      <w:r>
        <w:rPr>
          <w:vertAlign w:val="superscript"/>
        </w:rPr>
        <w:t xml:space="preserve">5</w:t>
      </w:r>
      <w:r>
        <w:t xml:space="preserve"> </w:t>
      </w:r>
      <w:r>
        <w:t xml:space="preserve">Department of Clinical and Molecular Sciences, Polytechnic University of Marche, Ancona, Italy</w:t>
      </w:r>
    </w:p>
    <w:p>
      <w:pPr>
        <w:pStyle w:val="BodyText"/>
      </w:pPr>
      <w:r>
        <w:rPr>
          <w:vertAlign w:val="superscript"/>
        </w:rPr>
        <w:t xml:space="preserve">6</w:t>
      </w:r>
      <w:r>
        <w:t xml:space="preserve"> </w:t>
      </w:r>
      <w:r>
        <w:t xml:space="preserve">Allergy Section, Department of Internal Medicine, Hospital Vall d’Hebron, Barcelona, Spain</w:t>
      </w:r>
    </w:p>
    <w:p>
      <w:pPr>
        <w:pStyle w:val="BodyText"/>
      </w:pPr>
      <w:r>
        <w:rPr>
          <w:vertAlign w:val="superscript"/>
        </w:rPr>
        <w:t xml:space="preserve">7</w:t>
      </w:r>
      <w:r>
        <w:t xml:space="preserve"> </w:t>
      </w:r>
      <w:r>
        <w:t xml:space="preserve">ARADyAL Research Network</w:t>
      </w:r>
    </w:p>
    <w:p>
      <w:pPr>
        <w:pStyle w:val="BodyText"/>
      </w:pPr>
      <w:r>
        <w:rPr>
          <w:vertAlign w:val="superscript"/>
        </w:rPr>
        <w:t xml:space="preserve">8</w:t>
      </w:r>
      <w:r>
        <w:t xml:space="preserve"> </w:t>
      </w:r>
      <w:r>
        <w:t xml:space="preserve">Faculty of Public Health, Medical University-Sofia, Sofia, Bulgaria</w:t>
      </w:r>
    </w:p>
    <w:p>
      <w:pPr>
        <w:pStyle w:val="BodyText"/>
      </w:pPr>
      <w:r>
        <w:rPr>
          <w:vertAlign w:val="superscript"/>
        </w:rPr>
        <w:t xml:space="preserve">9</w:t>
      </w:r>
      <w:r>
        <w:t xml:space="preserve"> </w:t>
      </w:r>
      <w:r>
        <w:t xml:space="preserve">Allergy Out-patient Department, Acibadem CityClinic, Tokuda Medical Centre, Sofia, Bulgaria</w:t>
      </w:r>
    </w:p>
    <w:p>
      <w:pPr>
        <w:pStyle w:val="BodyText"/>
      </w:pPr>
      <w:r>
        <w:rPr>
          <w:vertAlign w:val="superscript"/>
        </w:rPr>
        <w:t xml:space="preserve">10</w:t>
      </w:r>
      <w:r>
        <w:t xml:space="preserve"> </w:t>
      </w:r>
      <w:r>
        <w:t xml:space="preserve">Division of Allergy, Clinical Immunology and Rheumatology, Department of Pediatrics, Federal University of São Paulo, São Paulo, Brazil</w:t>
      </w:r>
    </w:p>
    <w:p>
      <w:pPr>
        <w:pStyle w:val="BodyText"/>
      </w:pPr>
      <w:r>
        <w:rPr>
          <w:vertAlign w:val="superscript"/>
        </w:rPr>
        <w:t xml:space="preserve">11</w:t>
      </w:r>
      <w:r>
        <w:t xml:space="preserve"> </w:t>
      </w:r>
      <w:r>
        <w:t xml:space="preserve">Department of Allergy, Hospital Clinico San Carlos, Universidad Complutense, IdISSC, Madrid, Spain</w:t>
      </w:r>
    </w:p>
    <w:p>
      <w:pPr>
        <w:pStyle w:val="BodyText"/>
      </w:pPr>
      <w:r>
        <w:rPr>
          <w:vertAlign w:val="superscript"/>
        </w:rPr>
        <w:t xml:space="preserve">12</w:t>
      </w:r>
      <w:r>
        <w:t xml:space="preserve"> </w:t>
      </w:r>
      <w:r>
        <w:t xml:space="preserve">Department of Dermatology, University Hospital Salzburg, Paracelsus Medical University, Salzburg, Austria</w:t>
      </w:r>
    </w:p>
    <w:p>
      <w:pPr>
        <w:pStyle w:val="BodyText"/>
      </w:pPr>
      <w:r>
        <w:rPr>
          <w:vertAlign w:val="superscript"/>
        </w:rPr>
        <w:t xml:space="preserve">13</w:t>
      </w:r>
      <w:r>
        <w:t xml:space="preserve"> </w:t>
      </w:r>
      <w:r>
        <w:t xml:space="preserve">DM University College Cork and Cork University Hospital, Cork, Ireland</w:t>
      </w:r>
    </w:p>
    <w:p>
      <w:pPr>
        <w:pStyle w:val="BodyText"/>
      </w:pPr>
      <w:r>
        <w:rPr>
          <w:vertAlign w:val="superscript"/>
        </w:rPr>
        <w:t xml:space="preserve">14</w:t>
      </w:r>
      <w:r>
        <w:t xml:space="preserve"> </w:t>
      </w:r>
      <w:r>
        <w:t xml:space="preserve">Department of Dermatology and Allergology, University Medical Center Giessen and Marburg, Justus-Liebig University Gießen, Gießen, Germany</w:t>
      </w:r>
    </w:p>
    <w:p>
      <w:pPr>
        <w:pStyle w:val="BodyText"/>
      </w:pPr>
      <w:r>
        <w:rPr>
          <w:vertAlign w:val="superscript"/>
        </w:rPr>
        <w:t xml:space="preserve">15</w:t>
      </w:r>
      <w:r>
        <w:t xml:space="preserve"> </w:t>
      </w:r>
      <w:r>
        <w:t xml:space="preserve">Allergy Research Group, Medical Center, University of Freiburg, Freiburg, Germany</w:t>
      </w:r>
    </w:p>
    <w:p>
      <w:pPr>
        <w:pStyle w:val="BodyText"/>
      </w:pPr>
      <w:r>
        <w:rPr>
          <w:vertAlign w:val="superscript"/>
        </w:rPr>
        <w:t xml:space="preserve">16</w:t>
      </w:r>
      <w:r>
        <w:t xml:space="preserve"> </w:t>
      </w:r>
      <w:r>
        <w:t xml:space="preserve">Allergy Department, 2nd Pediatric Clinic, National and Kapodistrian University of Athens, Athens, Greece</w:t>
      </w:r>
    </w:p>
    <w:p>
      <w:pPr>
        <w:pStyle w:val="BodyText"/>
      </w:pPr>
      <w:r>
        <w:rPr>
          <w:vertAlign w:val="superscript"/>
        </w:rPr>
        <w:t xml:space="preserve">17</w:t>
      </w:r>
      <w:r>
        <w:t xml:space="preserve"> </w:t>
      </w:r>
      <w:r>
        <w:t xml:space="preserve">Division of Infection, Immunity &amp; Respiratory Medicine, University of Manchester, Manchester, UK</w:t>
      </w:r>
    </w:p>
    <w:p>
      <w:pPr>
        <w:pStyle w:val="BodyText"/>
      </w:pPr>
      <w:r>
        <w:rPr>
          <w:vertAlign w:val="superscript"/>
        </w:rPr>
        <w:t xml:space="preserve">18</w:t>
      </w:r>
      <w:r>
        <w:t xml:space="preserve"> </w:t>
      </w:r>
      <w:r>
        <w:t xml:space="preserve">Department of Dermatology, Saarland University Medical Center, Homburg/Saar, Germany</w:t>
      </w:r>
    </w:p>
    <w:p>
      <w:pPr>
        <w:pStyle w:val="BodyText"/>
      </w:pPr>
      <w:r>
        <w:rPr>
          <w:vertAlign w:val="superscript"/>
        </w:rPr>
        <w:t xml:space="preserve">19</w:t>
      </w:r>
      <w:r>
        <w:t xml:space="preserve"> </w:t>
      </w:r>
      <w:r>
        <w:t xml:space="preserve">Clinical Allergology Department, Pomeranian Medical University in Szczecin, Szczecin, Poland</w:t>
      </w:r>
    </w:p>
    <w:p>
      <w:pPr>
        <w:pStyle w:val="BodyText"/>
      </w:pPr>
      <w:r>
        <w:rPr>
          <w:vertAlign w:val="superscript"/>
        </w:rPr>
        <w:t xml:space="preserve">20</w:t>
      </w:r>
      <w:r>
        <w:t xml:space="preserve"> </w:t>
      </w:r>
      <w:r>
        <w:t xml:space="preserve">Allergy Vigilance Network, Nancy, France</w:t>
      </w:r>
    </w:p>
    <w:p>
      <w:pPr>
        <w:pStyle w:val="BodyText"/>
      </w:pPr>
      <w:r>
        <w:rPr>
          <w:vertAlign w:val="superscript"/>
        </w:rPr>
        <w:t xml:space="preserve">21</w:t>
      </w:r>
      <w:r>
        <w:t xml:space="preserve"> </w:t>
      </w:r>
      <w:r>
        <w:t xml:space="preserve">Division of Allergy, Department of Dermatology, University Hospital Basel, University of Basel, Basel, Switzerland</w:t>
      </w:r>
    </w:p>
    <w:p>
      <w:pPr>
        <w:pStyle w:val="BodyText"/>
      </w:pPr>
      <w:r>
        <w:rPr>
          <w:vertAlign w:val="superscript"/>
        </w:rPr>
        <w:t xml:space="preserve">22</w:t>
      </w:r>
      <w:r>
        <w:t xml:space="preserve"> </w:t>
      </w:r>
      <w:r>
        <w:t xml:space="preserve">Department of Dermatology, Venereology and Allergology, Leipzig Interdisciplinary Allergy Center (LICA)-Comprehensive Allergy Center, University Hospital, Leipzig, Germany</w:t>
      </w:r>
    </w:p>
    <w:p>
      <w:pPr>
        <w:pStyle w:val="BodyText"/>
      </w:pPr>
      <w:r>
        <w:rPr>
          <w:vertAlign w:val="superscript"/>
        </w:rPr>
        <w:t xml:space="preserve">23</w:t>
      </w:r>
      <w:r>
        <w:t xml:space="preserve"> </w:t>
      </w:r>
      <w:r>
        <w:t xml:space="preserve">1Department of Dermatology, University Hospital Erlangen, Friedrich-Alexander-Universität Erlangen-Nürnberg (FAU), Erlangen, Germany</w:t>
      </w:r>
    </w:p>
    <w:p>
      <w:pPr>
        <w:pStyle w:val="BodyText"/>
      </w:pPr>
      <w:r>
        <w:rPr>
          <w:vertAlign w:val="superscript"/>
        </w:rPr>
        <w:t xml:space="preserve">24</w:t>
      </w:r>
      <w:r>
        <w:t xml:space="preserve"> </w:t>
      </w:r>
      <w:r>
        <w:t xml:space="preserve">Department of Dermatology and Allergy, Comprehensive Allergy Center, Hannover Medical School, Hannover, Germany</w:t>
      </w:r>
    </w:p>
    <w:p>
      <w:pPr>
        <w:pStyle w:val="BodyText"/>
      </w:pPr>
      <w:r>
        <w:rPr>
          <w:b/>
        </w:rPr>
        <w:t xml:space="preserve">Corresponding author:</w:t>
      </w:r>
      <w:r>
        <w:rPr>
          <w:b/>
        </w:rPr>
        <w:t xml:space="preserve"> </w:t>
      </w:r>
      <w:r>
        <w:t xml:space="preserve"> </w:t>
      </w:r>
      <w:r>
        <w:t xml:space="preserve">Prof. Dr. med. M. Worm</w:t>
      </w:r>
      <w:r>
        <w:t xml:space="preserve"> </w:t>
      </w:r>
      <w:hyperlink r:id="rId20">
        <w:r>
          <w:rPr>
            <w:rStyle w:val="Hyperlink"/>
          </w:rPr>
          <w:t xml:space="preserve">margitta.worm@charite.de</w:t>
        </w:r>
      </w:hyperlink>
      <w:r>
        <w:t xml:space="preserve"> </w:t>
      </w:r>
      <w:r>
        <w:t xml:space="preserve">Phone: +49 30 450 529 005; Fax: +49 30 450 529 902</w:t>
      </w:r>
    </w:p>
    <w:p>
      <w:pPr>
        <w:pStyle w:val="BodyText"/>
      </w:pPr>
      <w:r>
        <w:rPr>
          <w:b/>
        </w:rPr>
        <w:t xml:space="preserve">Keywords:</w:t>
      </w:r>
      <w:r>
        <w:t xml:space="preserve"> </w:t>
      </w:r>
      <w:r>
        <w:t xml:space="preserve">anaphylaxis, epinephrine (adrenaline), beta-blockers, insect venom allergy, Hymenoptera</w:t>
      </w:r>
    </w:p>
    <w:p>
      <w:pPr>
        <w:pStyle w:val="BodyText"/>
      </w:pPr>
      <w:r>
        <w:rPr>
          <w:b/>
        </w:rPr>
        <w:t xml:space="preserve">Document statistics:</w:t>
      </w:r>
      <w:r>
        <w:t xml:space="preserve"> </w:t>
      </w:r>
      <w:r>
        <w:t xml:space="preserve">2838 words, 5 figures, 0 tables, 29 references</w:t>
      </w:r>
    </w:p>
    <w:p>
      <w:pPr>
        <w:pStyle w:val="BodyText"/>
      </w:pPr>
      <w:r>
        <w:rPr>
          <w:b/>
        </w:rPr>
        <w:t xml:space="preserve">Conflict of interest:</w:t>
      </w:r>
    </w:p>
    <w:p>
      <w:pPr>
        <w:pStyle w:val="BodyText"/>
      </w:pPr>
      <w:r>
        <w:t xml:space="preserve">A. Bauer reports personal fees from ALK, Allergopharma, Allergy Therapeutics, Diater, LETI, Thermofisher, and Stallergens outside the submitted work</w:t>
      </w:r>
      <w:r>
        <w:t xml:space="preserve"> </w:t>
      </w:r>
      <w:r>
        <w:t xml:space="preserve">N. Wagner reports personal fees from ALK outside the submitted work.</w:t>
      </w:r>
      <w:r>
        <w:t xml:space="preserve"> </w:t>
      </w:r>
      <w:r>
        <w:t xml:space="preserve">R. Treudler reports grants and personal fees from Sanofi-Genzyme, ALK-Abello, Takeda, Novartis, grants from Hautnetz Leipzig and Fraunhofer-IZI Leipzig, outside the submitted work.</w:t>
      </w:r>
      <w:r>
        <w:t xml:space="preserve"> </w:t>
      </w:r>
      <w:r>
        <w:t xml:space="preserve">V. Cardona reports personal fees from ALK, Allergopharma, Allergy Therapeutics, Diater, LET, Thermofisher and Stallergens outside the submitted work.</w:t>
      </w:r>
      <w:r>
        <w:t xml:space="preserve"> </w:t>
      </w:r>
      <w:r>
        <w:t xml:space="preserve">M. B. Bilò reports personal fees from ALK outside the submitted work.</w:t>
      </w:r>
      <w:r>
        <w:t xml:space="preserve"> </w:t>
      </w:r>
      <w:r>
        <w:t xml:space="preserve">K. Scherer reports personal fees from Allergopharma, Sanofi-Aventis, and Shire outside submitted work.</w:t>
      </w:r>
      <w:r>
        <w:t xml:space="preserve"> </w:t>
      </w:r>
      <w:r>
        <w:t xml:space="preserve">Franziska Ruëff reports personal fees outside the submitted work from ALK-Abelló, Allergopharma, Bencard, Boehringer Ingelheim, Bristol Myers Squibb, Circassia, Dermira, DST, LEO Pharma, Lilly, Dr. Gerhard Mann chem.-pharm. Fabrik GmbH, Mylan, Novartis, Pfizer, Thermo Fisher Scientific and UCB</w:t>
      </w:r>
      <w:r>
        <w:t xml:space="preserve"> </w:t>
      </w:r>
      <w:r>
        <w:t xml:space="preserve">Claudia Pföhler performed clinical studies for Allergy Therapeutics and received speaker honoraria and</w:t>
      </w:r>
      <w:r>
        <w:t xml:space="preserve"> </w:t>
      </w:r>
      <w:r>
        <w:t xml:space="preserve">travel support from Bencard, Novartis and ALK.</w:t>
      </w:r>
    </w:p>
    <w:p>
      <w:pPr>
        <w:pStyle w:val="BodyText"/>
      </w:pPr>
      <w:r>
        <w:rPr>
          <w:b/>
        </w:rPr>
        <w:t xml:space="preserve">List of abbreviations:</w:t>
      </w:r>
    </w:p>
    <w:p>
      <w:pPr>
        <w:pStyle w:val="Compact"/>
        <w:numPr>
          <w:numId w:val="1001"/>
          <w:ilvl w:val="0"/>
        </w:numPr>
      </w:pPr>
      <w:r>
        <w:t xml:space="preserve">VIA - venom-induced anaphylaxis</w:t>
      </w:r>
    </w:p>
    <w:p>
      <w:pPr>
        <w:pStyle w:val="Compact"/>
        <w:numPr>
          <w:numId w:val="1001"/>
          <w:ilvl w:val="0"/>
        </w:numPr>
      </w:pPr>
      <w:r>
        <w:t xml:space="preserve">BST - baseline Serum Tryptase</w:t>
      </w:r>
    </w:p>
    <w:p>
      <w:pPr>
        <w:pStyle w:val="Compact"/>
        <w:numPr>
          <w:numId w:val="1001"/>
          <w:ilvl w:val="0"/>
        </w:numPr>
      </w:pPr>
      <w:r>
        <w:t xml:space="preserve">EAI - epinephrine autoinjector</w:t>
      </w:r>
    </w:p>
    <w:p>
      <w:pPr>
        <w:pStyle w:val="Compact"/>
        <w:numPr>
          <w:numId w:val="1001"/>
          <w:ilvl w:val="0"/>
        </w:numPr>
      </w:pPr>
      <w:r>
        <w:t xml:space="preserve">MCAS - mast cell activation syndrome</w:t>
      </w:r>
    </w:p>
    <w:p>
      <w:pPr>
        <w:pStyle w:val="Compact"/>
        <w:numPr>
          <w:numId w:val="1001"/>
          <w:ilvl w:val="0"/>
        </w:numPr>
      </w:pPr>
      <w:r>
        <w:t xml:space="preserve">ER - emergency room</w:t>
      </w:r>
    </w:p>
    <w:p>
      <w:pPr>
        <w:pStyle w:val="Heading5"/>
      </w:pPr>
      <w:bookmarkStart w:id="21" w:name="section"/>
      <w:bookmarkEnd w:id="21"/>
    </w:p>
    <w:p>
      <w:pPr>
        <w:pStyle w:val="Heading1"/>
      </w:pPr>
      <w:bookmarkStart w:id="22" w:name="key-points"/>
      <w:r>
        <w:t xml:space="preserve">Key points</w:t>
      </w:r>
      <w:bookmarkEnd w:id="22"/>
    </w:p>
    <w:p>
      <w:pPr>
        <w:pStyle w:val="FirstParagraph"/>
      </w:pPr>
      <w:r>
        <w:rPr>
          <w:b/>
        </w:rPr>
        <w:t xml:space="preserve">Question:</w:t>
      </w:r>
      <w:r>
        <w:t xml:space="preserve"> </w:t>
      </w:r>
      <w:r>
        <w:t xml:space="preserve">What is the phenotype of insect venom anaphylaxis?</w:t>
      </w:r>
    </w:p>
    <w:p>
      <w:pPr>
        <w:pStyle w:val="BodyText"/>
      </w:pPr>
      <w:r>
        <w:rPr>
          <w:b/>
        </w:rPr>
        <w:t xml:space="preserve">Findings:</w:t>
      </w:r>
      <w:r>
        <w:t xml:space="preserve"> </w:t>
      </w:r>
      <w:r>
        <w:t xml:space="preserve">This case-control study showed that venom-induced anaphylaxis significantly more often presented with cardiovascular symptoms. Secondly, severe cases of venom-induced anaphylaxis were significantly more often associated with the lack of skin symptoms upon anaphylaxis and showed a significant interaction with the levels of baseline serum tryptase (in range from 8 - 11 ng/ml).</w:t>
      </w:r>
    </w:p>
    <w:p>
      <w:pPr>
        <w:pStyle w:val="BodyText"/>
      </w:pPr>
      <w:r>
        <w:rPr>
          <w:b/>
        </w:rPr>
        <w:t xml:space="preserve">Meaning:</w:t>
      </w:r>
      <w:r>
        <w:t xml:space="preserve"> </w:t>
      </w:r>
      <w:r>
        <w:t xml:space="preserve">Allegologists should consider intesified prophylaxis (and diagnostic) measures in patients with baseline tryptase levels of above 8 and a history of insect venom anaphylaxis.</w:t>
      </w:r>
    </w:p>
    <w:p>
      <w:pPr>
        <w:pStyle w:val="Heading5"/>
      </w:pPr>
      <w:bookmarkStart w:id="23" w:name="section-1"/>
      <w:bookmarkEnd w:id="23"/>
    </w:p>
    <w:p>
      <w:pPr>
        <w:pStyle w:val="Heading1"/>
      </w:pPr>
      <w:bookmarkStart w:id="24" w:name="abstract"/>
      <w:r>
        <w:t xml:space="preserve">Abstract</w:t>
      </w:r>
      <w:bookmarkEnd w:id="24"/>
    </w:p>
    <w:p>
      <w:pPr>
        <w:pStyle w:val="FirstParagraph"/>
      </w:pPr>
      <w:r>
        <w:rPr>
          <w:b/>
        </w:rPr>
        <w:t xml:space="preserve">Importance:</w:t>
      </w:r>
      <w:r>
        <w:t xml:space="preserve"> </w:t>
      </w:r>
      <w:r>
        <w:t xml:space="preserve">Venom-induced anaphylaxis is a common, potentially life-threatening hypersensitivity reaction associated with specific: 1) symptom profile, 2) cofactors, and 3) management. Identifying the differences in phenotypes of anaphylaxis is crucial for future management guidelines and the development of a personalized medicine approach.</w:t>
      </w:r>
    </w:p>
    <w:p>
      <w:pPr>
        <w:pStyle w:val="BodyText"/>
      </w:pPr>
      <w:r>
        <w:rPr>
          <w:b/>
        </w:rPr>
        <w:t xml:space="preserve">Objective:</w:t>
      </w:r>
      <w:r>
        <w:t xml:space="preserve"> </w:t>
      </w:r>
      <w:r>
        <w:t xml:space="preserve">This study aimed to evaluate the phenotype and risk factors of venom-induced anaphylaxis in comparison to other elicitors of anaphylaxis.</w:t>
      </w:r>
    </w:p>
    <w:p>
      <w:pPr>
        <w:pStyle w:val="BodyText"/>
      </w:pPr>
      <w:r>
        <w:rPr>
          <w:b/>
        </w:rPr>
        <w:t xml:space="preserve">Design:</w:t>
      </w:r>
      <w:r>
        <w:t xml:space="preserve"> </w:t>
      </w:r>
      <w:r>
        <w:t xml:space="preserve">Using data from the European Anaphylaxis Registry (12874 cases) we identified 3612 with venom-induced anaphylaxis and analyzed these in comparison to sex- and age-matched anaphylaxis cases triggered by other elicitors (non-VIA n = 3605).</w:t>
      </w:r>
    </w:p>
    <w:p>
      <w:pPr>
        <w:pStyle w:val="BodyText"/>
      </w:pPr>
      <w:r>
        <w:rPr>
          <w:b/>
        </w:rPr>
        <w:t xml:space="preserve">Setting:</w:t>
      </w:r>
      <w:r>
        <w:t xml:space="preserve"> </w:t>
      </w:r>
      <w:r>
        <w:t xml:space="preserve">Multicenter, international, prospective, case-control study.</w:t>
      </w:r>
    </w:p>
    <w:p>
      <w:pPr>
        <w:pStyle w:val="BodyText"/>
      </w:pPr>
      <w:r>
        <w:rPr>
          <w:b/>
        </w:rPr>
        <w:t xml:space="preserve">Participants:</w:t>
      </w:r>
      <w:r>
        <w:t xml:space="preserve"> </w:t>
      </w:r>
      <w:r>
        <w:t xml:space="preserve">All patients with the diagnosis of moderate to severe anaphylaxis (according to Ring and Messmer grade II-IV) who gave informed consent to provide their clinical data for the Anaphylaxis Registry were included in the study. Subsequently, we matched the group of patients presenting with venom anaphylaxis to sex- and age-matched group of patients who presented with anaphylaxis to other elicitors (i.e., food, drugs).</w:t>
      </w:r>
    </w:p>
    <w:p>
      <w:pPr>
        <w:pStyle w:val="BodyText"/>
      </w:pPr>
      <w:r>
        <w:rPr>
          <w:b/>
        </w:rPr>
        <w:t xml:space="preserve">Main Outcome(s) and Measure(s):</w:t>
      </w:r>
      <w:r>
        <w:t xml:space="preserve"> </w:t>
      </w:r>
      <w:r>
        <w:t xml:space="preserve">This study measured the severity of anaphylaxis on the Ring and Messmer scale. Hypotheses regarding the comparisons between groups were formulated during and after data collection.</w:t>
      </w:r>
    </w:p>
    <w:p>
      <w:pPr>
        <w:pStyle w:val="BodyText"/>
      </w:pPr>
      <w:r>
        <w:rPr>
          <w:b/>
        </w:rPr>
        <w:t xml:space="preserve">Results:</w:t>
      </w:r>
      <w:r>
        <w:t xml:space="preserve"> </w:t>
      </w:r>
      <w:r>
        <w:t xml:space="preserve">Venom-induced anaphylaxis more frequently involved more than three organ systems and was associated with cardiovascular symptoms. The absence of skin symptoms during anaphylaxis correlated with baseline serum tryptase and was associated with an increased risk of a severe reaction. Intramuscular or intravenous epinephrine was administered significantly less often in venom-induced anaphylaxis, in particular in patients without prior history of anaphylaxis. Baseline serum tryptase within the upper normal range (8-11.5 ng-ml) was more frequently associated with severe anaphylaxis.</w:t>
      </w:r>
    </w:p>
    <w:p>
      <w:pPr>
        <w:pStyle w:val="BodyText"/>
      </w:pPr>
      <w:r>
        <w:rPr>
          <w:b/>
        </w:rPr>
        <w:t xml:space="preserve">Conclusions and Relevance:</w:t>
      </w:r>
      <w:r>
        <w:t xml:space="preserve"> </w:t>
      </w:r>
      <w:r>
        <w:t xml:space="preserve">Regarding the fact that venom-induced anaphylaxis frequently affects the cardiovascular system, patients were undertreated with epinephrine. The lack of skin symptoms (i.e., urticaria or flushing) during anaphylaxis and baseline serum tryptase levels within the upper normal limits were associated with severe reactions. Patients with serum tryptase of above 8 ng/ml and a history of venom anaphylaxis may require additional prophylaxis.</w:t>
      </w:r>
    </w:p>
    <w:p>
      <w:pPr>
        <w:pStyle w:val="Heading5"/>
      </w:pPr>
      <w:bookmarkStart w:id="25" w:name="section-2"/>
      <w:bookmarkEnd w:id="25"/>
    </w:p>
    <w:p>
      <w:pPr>
        <w:pStyle w:val="Heading1"/>
      </w:pPr>
      <w:bookmarkStart w:id="26" w:name="introduction"/>
      <w:r>
        <w:t xml:space="preserve">Introduction</w:t>
      </w:r>
      <w:bookmarkEnd w:id="26"/>
    </w:p>
    <w:p>
      <w:pPr>
        <w:pStyle w:val="FirstParagraph"/>
      </w:pPr>
      <w:r>
        <w:t xml:space="preserve">Hypersensitivity to insect venom presents as a systemic reaction (anaphylaxis) in up to 0.3–7.5% of the adult population</w:t>
      </w:r>
      <w:r>
        <w:rPr>
          <w:vertAlign w:val="superscript"/>
        </w:rPr>
        <w:t xml:space="preserve">1</w:t>
      </w:r>
      <w:r>
        <w:t xml:space="preserve">. Venom-induced anaphylaxis (VIA) can be fatal, and patients sometimes require lifelong specific immunotherapy</w:t>
      </w:r>
      <w:r>
        <w:rPr>
          <w:vertAlign w:val="superscript"/>
        </w:rPr>
        <w:t xml:space="preserve">2</w:t>
      </w:r>
      <w:r>
        <w:t xml:space="preserve">. There is a need for more precise identification of biomarkers, and better definition of phenotypes of anaphylaxis</w:t>
      </w:r>
      <w:r>
        <w:rPr>
          <w:vertAlign w:val="superscript"/>
        </w:rPr>
        <w:t xml:space="preserve">3</w:t>
      </w:r>
      <w:r>
        <w:t xml:space="preserve">. Also, in order to facilitate a precision-medicine approach</w:t>
      </w:r>
      <w:r>
        <w:rPr>
          <w:vertAlign w:val="superscript"/>
        </w:rPr>
        <w:t xml:space="preserve">4</w:t>
      </w:r>
      <w:r>
        <w:t xml:space="preserve"> </w:t>
      </w:r>
      <w:r>
        <w:t xml:space="preserve">for the diagnosis of anaphylaxis, a better understanding of its clinical phenotypes is required.</w:t>
      </w:r>
    </w:p>
    <w:p>
      <w:pPr>
        <w:pStyle w:val="BodyText"/>
      </w:pPr>
      <w:r>
        <w:t xml:space="preserve">Anaphylaxis is a clinical diagnosis with a variety of triggering factors and clinical presentations. Symptom profiles and specific cofactors for venom-induced anaphylaxis (VIA) had previously been analyzed in an uncontrolled manner, albeit in relatively small cohorts</w:t>
      </w:r>
      <w:r>
        <w:rPr>
          <w:vertAlign w:val="superscript"/>
        </w:rPr>
        <w:t xml:space="preserve">5–7</w:t>
      </w:r>
      <w:r>
        <w:t xml:space="preserve">.</w:t>
      </w:r>
    </w:p>
    <w:p>
      <w:pPr>
        <w:pStyle w:val="BodyText"/>
      </w:pPr>
      <w:r>
        <w:t xml:space="preserve">Controlled clinical trials in anaphylaxis are difficult to conduct due to the acuteness of this life-threatening condition and its infrequent and random occurrence. Therefore registries, gathering clinical data from patients with a well-documented (recent) history of anaphylaxis are crucial in investigating this entity.</w:t>
      </w:r>
    </w:p>
    <w:p>
      <w:pPr>
        <w:pStyle w:val="BodyText"/>
      </w:pPr>
      <w:r>
        <w:t xml:space="preserve">This study aimed to identify clinical patterns of VIA regarding symptoms, cofactors, and management by a case-control comparison with other types of anaphylaxis (non-VIA) based on the data from the European Anaphylaxis Registry.</w:t>
      </w:r>
    </w:p>
    <w:p>
      <w:pPr>
        <w:pStyle w:val="Heading1"/>
      </w:pPr>
      <w:bookmarkStart w:id="27" w:name="methods"/>
      <w:r>
        <w:t xml:space="preserve">Methods</w:t>
      </w:r>
      <w:bookmarkEnd w:id="27"/>
    </w:p>
    <w:p>
      <w:pPr>
        <w:pStyle w:val="FirstParagraph"/>
      </w:pPr>
      <w:r>
        <w:t xml:space="preserve">We searched the European Anaphylaxis Registry</w:t>
      </w:r>
      <w:r>
        <w:rPr>
          <w:vertAlign w:val="superscript"/>
        </w:rPr>
        <w:t xml:space="preserve">8</w:t>
      </w:r>
      <w:r>
        <w:t xml:space="preserve"> </w:t>
      </w:r>
      <w:r>
        <w:t xml:space="preserve">(status until March 2019) for anaphylaxis cases elicited by insect venom. The flowchart in Fig.</w:t>
      </w:r>
      <w:r>
        <w:t xml:space="preserve"> </w:t>
      </w:r>
      <w:r>
        <w:t xml:space="preserve">1</w:t>
      </w:r>
      <w:r>
        <w:t xml:space="preserve">A represents the detailed case-selection process.</w:t>
      </w:r>
    </w:p>
    <w:p>
      <w:pPr>
        <w:pStyle w:val="BodyText"/>
      </w:pPr>
      <w:r>
        <w:t xml:space="preserve">The diagnosis of anaphylaxis was based on the definition by NIAID/FAAN</w:t>
      </w:r>
      <w:r>
        <w:rPr>
          <w:vertAlign w:val="superscript"/>
        </w:rPr>
        <w:t xml:space="preserve">9</w:t>
      </w:r>
      <w:r>
        <w:t xml:space="preserve"> </w:t>
      </w:r>
      <w:r>
        <w:t xml:space="preserve">and the severity according to the Ring and Messmer Scale</w:t>
      </w:r>
      <w:r>
        <w:rPr>
          <w:vertAlign w:val="superscript"/>
        </w:rPr>
        <w:t xml:space="preserve">10</w:t>
      </w:r>
      <w:r>
        <w:t xml:space="preserve">. Grades III and IV (presenting with significant hypoxia, hypotension, confusion, and loss of consciousness, or incontinence or cardiac arrest) were considered severe. Mastocytosis patients were defined as having a documented diagnosis of mastocytosis prior to the reaction. The Registry is designed for reporting cases of moderate to severe anaphylaxis (Ring and Messmer grades II-IV).</w:t>
      </w:r>
    </w:p>
    <w:p>
      <w:pPr>
        <w:pStyle w:val="BodyText"/>
      </w:pPr>
      <w:r>
        <w:t xml:space="preserve">Due to a large number of documented reactions in the European Anaphylaxis Registry, we were able to match the VIA with non-VIA cases according to sex and age to reduce the comparison bias.</w:t>
      </w:r>
      <w:r>
        <w:t xml:space="preserve"> </w:t>
      </w:r>
      <w:r>
        <w:t xml:space="preserve">When we analyzed a density plot of VIA cases according to age, we determined a bimodal distribution forming two subsets of patients with a cutoff age of 22 (Fig.</w:t>
      </w:r>
      <w:r>
        <w:t xml:space="preserve"> </w:t>
      </w:r>
      <w:r>
        <w:t xml:space="preserve">1</w:t>
      </w:r>
      <w:r>
        <w:t xml:space="preserve">B). Subsequently, we compared the management in both groups and matched the control group according to the severity of a reaction. Propensity score matching has been performed using the</w:t>
      </w:r>
      <w:r>
        <w:t xml:space="preserve"> </w:t>
      </w:r>
      <w:r>
        <w:t xml:space="preserve">“</w:t>
      </w:r>
      <w:r>
        <w:t xml:space="preserve">MatchIt</w:t>
      </w:r>
      <w:r>
        <w:t xml:space="preserve">”</w:t>
      </w:r>
      <w:r>
        <w:t xml:space="preserve"> </w:t>
      </w:r>
      <w:r>
        <w:t xml:space="preserve">package for R</w:t>
      </w:r>
      <w:r>
        <w:rPr>
          <w:vertAlign w:val="superscript"/>
        </w:rPr>
        <w:t xml:space="preserve">11</w:t>
      </w:r>
      <w:r>
        <w:t xml:space="preserve">. The results of the propensity score matching are illustrated in Fig.</w:t>
      </w:r>
      <w:r>
        <w:t xml:space="preserve"> </w:t>
      </w:r>
      <w:r>
        <w:t xml:space="preserve">1</w:t>
      </w:r>
      <w:r>
        <w:t xml:space="preserve">B-D and supplementary Fig</w:t>
      </w:r>
      <w:r>
        <w:t xml:space="preserve"> </w:t>
      </w:r>
      <w:r>
        <w:t xml:space="preserve">7</w:t>
      </w:r>
      <w:r>
        <w:t xml:space="preserve">.</w:t>
      </w:r>
    </w:p>
    <w:p>
      <w:pPr>
        <w:pStyle w:val="BodyText"/>
      </w:pPr>
      <w:r>
        <w:t xml:space="preserve">The final database included 3612 cases of venom-induced anaphylaxis reported from allergy centers in 11 countries and sex- and age-matched control group.</w:t>
      </w:r>
      <w:r>
        <w:t xml:space="preserve"> </w:t>
      </w:r>
      <w:r>
        <w:t xml:space="preserve">We compared the frequency of various symptoms, cofactors — known to increase the risk of severe anaphylaxis,</w:t>
      </w:r>
      <w:r>
        <w:rPr>
          <w:vertAlign w:val="superscript"/>
        </w:rPr>
        <w:t xml:space="preserve">12</w:t>
      </w:r>
      <w:r>
        <w:t xml:space="preserve">, and management in both groups.</w:t>
      </w:r>
    </w:p>
    <w:p>
      <w:pPr>
        <w:pStyle w:val="BodyText"/>
      </w:pPr>
      <w:r>
        <w:t xml:space="preserve">Based on the severity and symptom profile and the previous reports</w:t>
      </w:r>
      <w:r>
        <w:rPr>
          <w:vertAlign w:val="superscript"/>
        </w:rPr>
        <w:t xml:space="preserve">6</w:t>
      </w:r>
      <w:r>
        <w:t xml:space="preserve">, we defined sub-elevated baseline serum tryptase (BST) values as 8 - 11.5 ng/ml (Fig.</w:t>
      </w:r>
      <w:r>
        <w:t xml:space="preserve"> </w:t>
      </w:r>
      <w:r>
        <w:t xml:space="preserve">3</w:t>
      </w:r>
      <w:r>
        <w:t xml:space="preserve">B).</w:t>
      </w:r>
    </w:p>
    <w:p>
      <w:pPr>
        <w:pStyle w:val="BodyText"/>
      </w:pPr>
      <w:r>
        <w:t xml:space="preserve">We used the R Statistical Package</w:t>
      </w:r>
      <w:r>
        <w:rPr>
          <w:vertAlign w:val="superscript"/>
        </w:rPr>
        <w:t xml:space="preserve">13</w:t>
      </w:r>
      <w:r>
        <w:t xml:space="preserve"> </w:t>
      </w:r>
      <w:r>
        <w:t xml:space="preserve">for statistical analysis. A simple comparison of categorical variables was performed using either the Chi</w:t>
      </w:r>
      <w:r>
        <w:rPr>
          <w:vertAlign w:val="superscript"/>
        </w:rPr>
        <w:t xml:space="preserve">2</w:t>
      </w:r>
      <w:r>
        <w:t xml:space="preserve"> </w:t>
      </w:r>
      <w:r>
        <w:t xml:space="preserve">test or Fisher’s exact test (where the number of observations in a bin was less than 10). Continuous variables were analyzed using the Mann-Whitney U test. In case of comparisons with two or more independent variables, we used Factorial ANOVA or Generalized Linear Models. We defined statistical significance as α = 0.05. Data, along with the analysis script, can be accessed online at</w:t>
      </w:r>
      <w:r>
        <w:t xml:space="preserve"> </w:t>
      </w:r>
      <w:hyperlink r:id="rId28">
        <w:r>
          <w:rPr>
            <w:rStyle w:val="Hyperlink"/>
          </w:rPr>
          <w:t xml:space="preserve">https://github.com/wolass/venomanaphylaxiscompendium</w:t>
        </w:r>
      </w:hyperlink>
      <w:r>
        <w:t xml:space="preserve">.</w:t>
      </w:r>
    </w:p>
    <w:p>
      <w:pPr>
        <w:pStyle w:val="BodyText"/>
      </w:pPr>
      <w:r>
        <w:t xml:space="preserve">We developed a Random Forest classifier (using the</w:t>
      </w:r>
      <w:r>
        <w:t xml:space="preserve"> </w:t>
      </w:r>
      <w:r>
        <w:t xml:space="preserve">“</w:t>
      </w:r>
      <w:r>
        <w:t xml:space="preserve">randomForest</w:t>
      </w:r>
      <w:r>
        <w:t xml:space="preserve">”</w:t>
      </w:r>
      <w:r>
        <w:t xml:space="preserve"> </w:t>
      </w:r>
      <w:r>
        <w:t xml:space="preserve">package for R</w:t>
      </w:r>
      <w:r>
        <w:rPr>
          <w:vertAlign w:val="superscript"/>
        </w:rPr>
        <w:t xml:space="preserve">14</w:t>
      </w:r>
      <w:r>
        <w:t xml:space="preserve">) in order to find therapeutic approaches that varied the most between VIA / non-VIA group and presented the results as Gini importance</w:t>
      </w:r>
      <w:r>
        <w:rPr>
          <w:vertAlign w:val="superscript"/>
        </w:rPr>
        <w:t xml:space="preserve">15</w:t>
      </w:r>
      <w:r>
        <w:t xml:space="preserve">. Moreover, association analysis of therapeutic interventions and symptoms was performed. The resulting phi values were scaled and presented in a heatmap with automatic clustering using Ward’s Agglomerative Hierarchical Clustering with Euclidean distances</w:t>
      </w:r>
      <w:r>
        <w:rPr>
          <w:vertAlign w:val="superscript"/>
        </w:rPr>
        <w:t xml:space="preserve">16</w:t>
      </w:r>
      <w:r>
        <w:t xml:space="preserve">.</w:t>
      </w:r>
    </w:p>
    <w:p>
      <w:pPr>
        <w:pStyle w:val="Heading1"/>
      </w:pPr>
      <w:bookmarkStart w:id="29" w:name="results"/>
      <w:r>
        <w:t xml:space="preserve">Results</w:t>
      </w:r>
      <w:bookmarkEnd w:id="29"/>
    </w:p>
    <w:p>
      <w:pPr>
        <w:pStyle w:val="Heading2"/>
      </w:pPr>
      <w:bookmarkStart w:id="30" w:name="via-is-more-frequently-associated-with-cardiovascular-symptoms"/>
      <w:r>
        <w:t xml:space="preserve">VIA is more frequently associated with cardiovascular symptoms</w:t>
      </w:r>
      <w:bookmarkEnd w:id="30"/>
    </w:p>
    <w:p>
      <w:pPr>
        <w:pStyle w:val="FirstParagraph"/>
      </w:pPr>
      <w:r>
        <w:t xml:space="preserve">VIA displayed a specific symptom pattern. Patients, who underwent VIA, more often experienced cardiovascular symptoms (dizziness, hypotension, unconsciousness, reduced alertness) than patients with anaphylaxis due to other elicitors and less often presented with respiratory distress, rhinitis or diarrhea (Fig.</w:t>
      </w:r>
      <w:r>
        <w:t xml:space="preserve"> </w:t>
      </w:r>
      <w:r>
        <w:t xml:space="preserve">2</w:t>
      </w:r>
      <w:r>
        <w:t xml:space="preserve">A).</w:t>
      </w:r>
    </w:p>
    <w:p>
      <w:pPr>
        <w:pStyle w:val="BodyText"/>
      </w:pPr>
      <w:r>
        <w:t xml:space="preserve">Although the pattern of organ involvement during anaphylaxis in both groups showed similarities in gastrointestinal, skin, and respiratory systems, VIA more frequently involved more than three organ systems (2356 (65.4%) vs. 1987 (55.1%),</w:t>
      </w:r>
      <w:r>
        <w:t xml:space="preserve"> </w:t>
      </w:r>
      <w:r>
        <w:t xml:space="preserve">Fig.</w:t>
      </w:r>
      <w:r>
        <w:t xml:space="preserve"> </w:t>
      </w:r>
      <w:r>
        <w:t xml:space="preserve">2</w:t>
      </w:r>
      <w:r>
        <w:t xml:space="preserve">B).</w:t>
      </w:r>
    </w:p>
    <w:p>
      <w:pPr>
        <w:pStyle w:val="BodyText"/>
      </w:pPr>
      <w:r>
        <w:t xml:space="preserve">Younger patients (under 22) presented even more prominent differences in hypotension symptoms and significantly less frequently reported gastrointestinal symptoms (e.g., vomiting) when the reaction was triggered by insect venom (Fig.</w:t>
      </w:r>
      <w:r>
        <w:t xml:space="preserve"> </w:t>
      </w:r>
      <w:r>
        <w:t xml:space="preserve">2</w:t>
      </w:r>
      <w:r>
        <w:t xml:space="preserve">C-E).</w:t>
      </w:r>
    </w:p>
    <w:p>
      <w:pPr>
        <w:pStyle w:val="Heading2"/>
      </w:pPr>
      <w:bookmarkStart w:id="31" w:name="absence-of-skin-symptoms-during-anaphylaxis-is-associated-with-more-severe-episodes-of-via"/>
      <w:r>
        <w:t xml:space="preserve">Absence of skin symptoms during anaphylaxis is associated with more severe episodes of VIA</w:t>
      </w:r>
      <w:bookmarkEnd w:id="31"/>
    </w:p>
    <w:p>
      <w:pPr>
        <w:pStyle w:val="FirstParagraph"/>
      </w:pPr>
      <w:r>
        <w:t xml:space="preserve">We found that 74 (54.4%) of patients with concomitant mastocytosis had anaphylaxis without skin symptoms (i.e., urticaria and flushing), which was significantly more frequent compared to patients without diagnosed mastocytosis (2011; 30.5%, p &lt; 0.001). This finding was most prominently seen in VIA (Fig.</w:t>
      </w:r>
      <w:r>
        <w:t xml:space="preserve"> </w:t>
      </w:r>
      <w:r>
        <w:t xml:space="preserve">3</w:t>
      </w:r>
      <w:r>
        <w:t xml:space="preserve">A).</w:t>
      </w:r>
    </w:p>
    <w:p>
      <w:pPr>
        <w:pStyle w:val="BodyText"/>
      </w:pPr>
      <w:r>
        <w:t xml:space="preserve">Similarly, in non-mastocytosis patients undergoing VIA, skin symptoms (i.e., urticaria or flushing) were less often present than if anaphylaxis was triggered by other elicitors (2356; 68% vs. 2515; 71% respectively, p = 0.007). Moreover, in this specific subgroup of patients (i.e., non-mastocytosis patients lacking skin symptoms) VIA was significantly more frequently severe (587,52.9% in VIA vs. 47.4%, 488; p &lt; 0.001, Fig.</w:t>
      </w:r>
      <w:r>
        <w:t xml:space="preserve"> </w:t>
      </w:r>
      <w:r>
        <w:t xml:space="preserve">3</w:t>
      </w:r>
      <w:r>
        <w:t xml:space="preserve">B).</w:t>
      </w:r>
    </w:p>
    <w:p>
      <w:pPr>
        <w:pStyle w:val="BodyText"/>
      </w:pPr>
      <w:r>
        <w:t xml:space="preserve">By applying factorial logistic regression modeling, we confirmed a significant interaction effect between the presence of skin symptoms and insect venom on the severity of anaphylaxis (p &lt; 0.001). In other words, non-mastocytosis patients presenting without urticaria or flushing tended to have more severe anaphylaxis when triggered by insects. (Fig.</w:t>
      </w:r>
      <w:r>
        <w:t xml:space="preserve"> </w:t>
      </w:r>
      <w:r>
        <w:t xml:space="preserve">3</w:t>
      </w:r>
      <w:r>
        <w:t xml:space="preserve">B, and Tab. S1).</w:t>
      </w:r>
    </w:p>
    <w:p>
      <w:pPr>
        <w:pStyle w:val="Heading2"/>
      </w:pPr>
      <w:bookmarkStart w:id="32" w:name="absence-of-skin-symptoms-correlates-with-bst-levels-and-increases-the-risk-of-severe-anaphylaxis-specifically-in-via"/>
      <w:r>
        <w:t xml:space="preserve">Absence of skin symptoms correlates with BST levels and increases the risk of severe anaphylaxis specifically in VIA</w:t>
      </w:r>
      <w:bookmarkEnd w:id="32"/>
    </w:p>
    <w:p>
      <w:pPr>
        <w:pStyle w:val="FirstParagraph"/>
      </w:pPr>
      <w:r>
        <w:t xml:space="preserve">Next, we investigated the association of skin symptoms with the tryptase levels in non-mastocytosis patients. For this model, we excluded the cases with known mastocytosis and with BST above 11.5 ng/ml, potentially indicating non-diagnosed mast cell activation disorders. Similarly, 1) tryptase levels were higher in VIA patients, 2) correlated with the severity of anaphylaxis, and 3) this effect was significant in VIA (p = 0.01) but not in the non-VIA group (Fig.</w:t>
      </w:r>
      <w:r>
        <w:t xml:space="preserve"> </w:t>
      </w:r>
      <w:r>
        <w:t xml:space="preserve">3</w:t>
      </w:r>
      <w:r>
        <w:t xml:space="preserve">C-D).</w:t>
      </w:r>
    </w:p>
    <w:p>
      <w:pPr>
        <w:pStyle w:val="Heading2"/>
      </w:pPr>
      <w:bookmarkStart w:id="33" w:name="bst-over-8-ngml-and-concomitant-cardiovascular-conditions-increase-the-risk-of-severe-via"/>
      <w:r>
        <w:t xml:space="preserve">BST over 8 ng/ml and concomitant cardiovascular conditions increase the risk of severe VIA</w:t>
      </w:r>
      <w:bookmarkEnd w:id="33"/>
    </w:p>
    <w:p>
      <w:pPr>
        <w:pStyle w:val="FirstParagraph"/>
      </w:pPr>
      <w:r>
        <w:t xml:space="preserve">The cofactor most prominently associated with an increased risk of severe anaphylaxis was mastocytosis (Fig.</w:t>
      </w:r>
      <w:r>
        <w:t xml:space="preserve"> </w:t>
      </w:r>
      <w:r>
        <w:t xml:space="preserve">4</w:t>
      </w:r>
      <w:r>
        <w:t xml:space="preserve">). Concomitant mastocytosis increased the risk for 1) cardiac arrest and 2) loss of consciousness in patients undergoing VIA significantly more than in patients undergoing anaphylaxis due to other elicitors (Fig.</w:t>
      </w:r>
      <w:r>
        <w:t xml:space="preserve"> </w:t>
      </w:r>
      <w:r>
        <w:t xml:space="preserve">4</w:t>
      </w:r>
      <w:r>
        <w:t xml:space="preserve">C and Fig. S</w:t>
      </w:r>
      <w:r>
        <w:t xml:space="preserve">8</w:t>
      </w:r>
      <w:r>
        <w:t xml:space="preserve">A).</w:t>
      </w:r>
    </w:p>
    <w:p>
      <w:pPr>
        <w:pStyle w:val="BodyText"/>
      </w:pPr>
      <w:r>
        <w:t xml:space="preserve">In line with the findings above, BST levels also correlated with the severity of anaphylaxis (on the Ring and Messmer scale) and, most importantly, sub-elevated BST was more prominently associated with increasing the risk of severe anaphylaxis in VIA than in non-VIA (Fig.</w:t>
      </w:r>
      <w:r>
        <w:t xml:space="preserve"> </w:t>
      </w:r>
      <w:r>
        <w:t xml:space="preserve">2</w:t>
      </w:r>
      <w:r>
        <w:t xml:space="preserve">D and Fig.</w:t>
      </w:r>
      <w:r>
        <w:t xml:space="preserve"> </w:t>
      </w:r>
      <w:r>
        <w:t xml:space="preserve">4</w:t>
      </w:r>
      <w:r>
        <w:t xml:space="preserve">B).</w:t>
      </w:r>
    </w:p>
    <w:p>
      <w:pPr>
        <w:pStyle w:val="BodyText"/>
      </w:pPr>
      <w:r>
        <w:t xml:space="preserve">Concomitant cardiovascular diseases were more prevalent in VIA than in non-VIA cases (892 (24.8%) vs. 657 (18.2%)) and were associated with higher risk of severe anaphylaxis when elicited by insects but were not relevant in non-VIA cases (Fig.</w:t>
      </w:r>
      <w:r>
        <w:t xml:space="preserve"> </w:t>
      </w:r>
      <w:r>
        <w:t xml:space="preserve">4</w:t>
      </w:r>
      <w:r>
        <w:t xml:space="preserve">). Interestingly, BST values were increased in patients with concomitant cardiovascular diseases, irrespectively of the reaction severity (Fig. S</w:t>
      </w:r>
      <w:r>
        <w:t xml:space="preserve">9</w:t>
      </w:r>
      <w:r>
        <w:t xml:space="preserve">).</w:t>
      </w:r>
    </w:p>
    <w:p>
      <w:pPr>
        <w:pStyle w:val="Heading2"/>
      </w:pPr>
      <w:bookmarkStart w:id="34" w:name="other-cofactors-of-severe-reactions"/>
      <w:r>
        <w:t xml:space="preserve">Other cofactors of severe reactions</w:t>
      </w:r>
      <w:bookmarkEnd w:id="34"/>
    </w:p>
    <w:p>
      <w:pPr>
        <w:pStyle w:val="FirstParagraph"/>
      </w:pPr>
      <w:r>
        <w:t xml:space="preserve">Severe reactions of VIA were more prevalent in patients above 22 years of age, and in VIA cases vs. non-VIA cases (Fig. S</w:t>
      </w:r>
      <w:r>
        <w:t xml:space="preserve">10</w:t>
      </w:r>
      <w:r>
        <w:t xml:space="preserve">). There were no differences in severity of reactions elicited by yellow-jackets and other</w:t>
      </w:r>
      <w:r>
        <w:t xml:space="preserve"> </w:t>
      </w:r>
      <w:r>
        <w:t xml:space="preserve">insect species (p = 0.4128).</w:t>
      </w:r>
    </w:p>
    <w:p>
      <w:pPr>
        <w:pStyle w:val="BodyText"/>
      </w:pPr>
      <w:r>
        <w:t xml:space="preserve">The effect of using ACE-I (as well as beta-blockers) on the risk of severe anaphylaxis correlated with coexisting cardiovascular diseases. ACE-I use was, however, more often associated with cardiac arrests in all anaphylaxis cases (30 (5.8%) vs. 118 (1.9%), p &lt; 0.001) regardless of the elicitor (Fig.</w:t>
      </w:r>
      <w:r>
        <w:t xml:space="preserve"> </w:t>
      </w:r>
      <w:r>
        <w:t xml:space="preserve">4</w:t>
      </w:r>
      <w:r>
        <w:t xml:space="preserve">C).</w:t>
      </w:r>
      <w:r>
        <w:t xml:space="preserve"> </w:t>
      </w:r>
      <w:r>
        <w:t xml:space="preserve">Beta-blocker use was associated with a higher severity of anaphylaxis and with the onset of cardiovascular symptoms (cardiac arrest, chest pain), but was comparable between both VIA and non-VIAp = 0.14). Surprisingly, arrhythmia was more frequently reported in patients with VIA and concomitant beta-blockers (Fig.</w:t>
      </w:r>
      <w:r>
        <w:t xml:space="preserve"> </w:t>
      </w:r>
      <w:r>
        <w:t xml:space="preserve">4</w:t>
      </w:r>
      <w:r>
        <w:t xml:space="preserve">C).</w:t>
      </w:r>
    </w:p>
    <w:p>
      <w:pPr>
        <w:pStyle w:val="Heading2"/>
      </w:pPr>
      <w:bookmarkStart w:id="35" w:name="one-third-of-via-patients-experience-repeated-reactions"/>
      <w:r>
        <w:t xml:space="preserve">One-third of VIA patients experience repeated reactions</w:t>
      </w:r>
      <w:bookmarkEnd w:id="35"/>
    </w:p>
    <w:p>
      <w:pPr>
        <w:pStyle w:val="FirstParagraph"/>
      </w:pPr>
      <w:r>
        <w:t xml:space="preserve">940 (28.5%) of patients with insect allergy had experienced venom anaphylaxis in the past. If the reaction was elicited by other elicitors (i.e., non-VIA) — previous reactions were more frequently seen (1929; 35.7%, p &lt; 0.001). We observed 227 patients with at least two fully-documented reactions. Out of these 59 (26%) had insect elicited anaphylaxis and in 6 of them (10.2%), the following reaction was more severe than before. In 43 (72.9%) cases, the reaction was similar in severity.</w:t>
      </w:r>
    </w:p>
    <w:p>
      <w:pPr>
        <w:pStyle w:val="Heading2"/>
      </w:pPr>
      <w:bookmarkStart w:id="36" w:name="via-patients-receive-epinephrine-less-often-than-non-via"/>
      <w:r>
        <w:t xml:space="preserve">VIA patients receive epinephrine less often than non-VIA</w:t>
      </w:r>
      <w:bookmarkEnd w:id="36"/>
    </w:p>
    <w:p>
      <w:pPr>
        <w:pStyle w:val="FirstParagraph"/>
      </w:pPr>
      <w:r>
        <w:t xml:space="preserve">We evaluated epinephrine use (administered by any route from patients themselves and medical professionals) in both ambulatory and emergency room settings.</w:t>
      </w:r>
      <w:r>
        <w:br w:type="textWrapping"/>
      </w:r>
      <w:r>
        <w:t xml:space="preserve">Patients who underwent VIA significantly less often received epinephrine treatment than in other anaphylaxis cases (597; 26.9% vs. 738; 34.6%, p &lt; 0.001). After adjusting both groups for similar severity - the difference in epinephrine use was still significant irrespective of the administration route (p &lt; 0.001, Fig</w:t>
      </w:r>
      <w:r>
        <w:t xml:space="preserve"> </w:t>
      </w:r>
      <w:r>
        <w:t xml:space="preserve">5</w:t>
      </w:r>
      <w:r>
        <w:t xml:space="preserve">B).</w:t>
      </w:r>
      <w:r>
        <w:t xml:space="preserve"> </w:t>
      </w:r>
    </w:p>
    <w:p>
      <w:pPr>
        <w:pStyle w:val="BodyText"/>
      </w:pPr>
      <w:r>
        <w:t xml:space="preserve">A positive history of anaphylaxis influenced the therapy of a current episode as well. Epinephrine as a first-line treatment was given less often in VIA cases when compared to other cases</w:t>
      </w:r>
      <w:r>
        <w:t xml:space="preserve"> </w:t>
      </w:r>
      <w:r>
        <w:rPr>
          <w:b/>
        </w:rPr>
        <w:t xml:space="preserve">if patients did not report a previous history of anaphylaxis</w:t>
      </w:r>
      <w:r>
        <w:t xml:space="preserve"> </w:t>
      </w:r>
      <w:r>
        <w:t xml:space="preserve">(p &lt; 0.001), but in patients reporting previous reactions, there was no difference in epinephrine therapy (p = 0.438, Fig.</w:t>
      </w:r>
      <w:r>
        <w:t xml:space="preserve"> </w:t>
      </w:r>
      <w:r>
        <w:t xml:space="preserve">5</w:t>
      </w:r>
      <w:r>
        <w:t xml:space="preserve">B).</w:t>
      </w:r>
      <w:r>
        <w:t xml:space="preserve"> </w:t>
      </w:r>
      <w:r>
        <w:t xml:space="preserve">Similarly, there were no differences in the epinephrine use between VIA and non-VIA when only severe reactions were taken into consideration (p = 0.242). However, when we restricted the analysis to moderate anaphylaxis cases — non-VIA patients received epinephrine more frequently than VIA (p &lt; 0.001). The presence of skin symptoms during these mild reactions also was associated with a lower fraction of epinephrine treated patients (Fig.</w:t>
      </w:r>
      <w:r>
        <w:t xml:space="preserve"> </w:t>
      </w:r>
      <w:r>
        <w:t xml:space="preserve">11</w:t>
      </w:r>
      <w:r>
        <w:t xml:space="preserve">).</w:t>
      </w:r>
    </w:p>
    <w:p>
      <w:pPr>
        <w:pStyle w:val="BodyText"/>
      </w:pPr>
      <w:r>
        <w:t xml:space="preserve">Patients with VIA received corticosteroids and antihistamines significantly more frequently than patients with anaphylaxis to other elicitors. On the other hand, epinephrine, beta-2 mimetics, and oxygen were given more often to patients suffering from non-VIA (Fig.</w:t>
      </w:r>
      <w:r>
        <w:t xml:space="preserve"> </w:t>
      </w:r>
      <w:r>
        <w:t xml:space="preserve">5</w:t>
      </w:r>
      <w:r>
        <w:t xml:space="preserve">A, Fig. S</w:t>
      </w:r>
      <w:r>
        <w:t xml:space="preserve">11</w:t>
      </w:r>
      <w:r>
        <w:t xml:space="preserve">).</w:t>
      </w:r>
    </w:p>
    <w:p>
      <w:pPr>
        <w:pStyle w:val="BodyText"/>
      </w:pPr>
      <w:r>
        <w:t xml:space="preserve">Next, we asked whether specific symptom clusters and treatment profiles could be identified within our cohort (association measured using phi coefficient). We found that patients displaying cardiovascular symptoms (cardiac arrest, hypotension, loss of consciousness) and urticaria were treated differently than patients with respiratory or gastrointestinal symptoms (Fig.</w:t>
      </w:r>
      <w:r>
        <w:t xml:space="preserve"> </w:t>
      </w:r>
      <w:r>
        <w:t xml:space="preserve">5</w:t>
      </w:r>
      <w:r>
        <w:t xml:space="preserve">C). The treatment of the former symptoms consisted of epinephrine autoinjector (EAI) use, i.v. epinephrine in multiple doses, 100% oxygen inhalation, an initial dose of antihistamines, and inhaled β-2 agonists. Corticosteroids, i.v. volume replacement, and i.v. β-2 agonists formed another therapy mode.</w:t>
      </w:r>
    </w:p>
    <w:p>
      <w:pPr>
        <w:pStyle w:val="Heading1"/>
      </w:pPr>
      <w:bookmarkStart w:id="37" w:name="discussion"/>
      <w:r>
        <w:t xml:space="preserve">Discussion</w:t>
      </w:r>
      <w:bookmarkEnd w:id="37"/>
    </w:p>
    <w:p>
      <w:pPr>
        <w:pStyle w:val="FirstParagraph"/>
      </w:pPr>
      <w:r>
        <w:t xml:space="preserve">In this study, we identified distinct symptom-profile and treatment patterns of venom-induced anaphylaxis. The data unraveled phenotypes of VIA, which may support the development of tools incorporating clinical</w:t>
      </w:r>
      <w:r>
        <w:t xml:space="preserve"> </w:t>
      </w:r>
      <w:r>
        <w:t xml:space="preserve">data for predicting the severity of future episodes of anaphylaxis.</w:t>
      </w:r>
    </w:p>
    <w:p>
      <w:pPr>
        <w:pStyle w:val="BodyText"/>
      </w:pPr>
      <w:r>
        <w:t xml:space="preserve">Cofactors can promote the onset and increase the severity of anaphylaxis.</w:t>
      </w:r>
      <w:r>
        <w:t xml:space="preserve"> </w:t>
      </w:r>
      <w:r>
        <w:t xml:space="preserve">Therefore we evaluated a variety of known cofactors regarding their impact to increase the risk of severe VIA. As expected, t</w:t>
      </w:r>
    </w:p>
    <w:p>
      <w:pPr>
        <w:pStyle w:val="BodyText"/>
      </w:pPr>
      <w:r>
        <w:t xml:space="preserve">VIA was more often associated with cardiovascular symptoms than non-VIA.</w:t>
      </w:r>
      <w:r>
        <w:t xml:space="preserve"> </w:t>
      </w:r>
      <w:r>
        <w:t xml:space="preserve">Previous studies suggest an essential link between the cardiovascular system and insect sting hypersensitivity</w:t>
      </w:r>
      <w:r>
        <w:rPr>
          <w:vertAlign w:val="superscript"/>
        </w:rPr>
        <w:t xml:space="preserve">7,12,17</w:t>
      </w:r>
      <w:r>
        <w:t xml:space="preserve">.</w:t>
      </w:r>
      <w:r>
        <w:t xml:space="preserve"> </w:t>
      </w:r>
      <w:r>
        <w:t xml:space="preserve">VIA has been associated with Kounis syndrome (coronary arterial spasm induced by the release of mast cell mediators</w:t>
      </w:r>
      <w:r>
        <w:rPr>
          <w:vertAlign w:val="superscript"/>
        </w:rPr>
        <w:t xml:space="preserve">18,19</w:t>
      </w:r>
      <w:r>
        <w:t xml:space="preserve">) and cardiac arrhythmias usually occurring in patients with preexisting heart disease</w:t>
      </w:r>
      <w:r>
        <w:rPr>
          <w:vertAlign w:val="superscript"/>
        </w:rPr>
        <w:t xml:space="preserve">20</w:t>
      </w:r>
      <w:r>
        <w:t xml:space="preserve">.</w:t>
      </w:r>
    </w:p>
    <w:p>
      <w:pPr>
        <w:pStyle w:val="BodyText"/>
      </w:pPr>
      <w:r>
        <w:t xml:space="preserve">The rate of concomitant cardiovascular diseases was higher in VIA than non-VIA. They are an essential cofactor increasing the risk of a severe reaction</w:t>
      </w:r>
      <w:r>
        <w:t xml:space="preserve"> </w:t>
      </w:r>
      <w:r>
        <w:rPr>
          <w:b/>
        </w:rPr>
        <w:t xml:space="preserve">if Hymenoptera elicited the anaphylaxis</w:t>
      </w:r>
      <w:r>
        <w:t xml:space="preserve">. This association was not significant in anaphylaxis elicited by other elicitors. Notably, cardiac arrest occurred more frequently in patients with elevated BST (&gt; 8 ng/ml), especially in VIA.</w:t>
      </w:r>
      <w:r>
        <w:t xml:space="preserve"> </w:t>
      </w:r>
      <w:r>
        <w:t xml:space="preserve">Nevertheless, the pathomechanism promoting cardiovascular symptoms in VIA requires further investigation.</w:t>
      </w:r>
    </w:p>
    <w:p>
      <w:pPr>
        <w:pStyle w:val="BodyText"/>
      </w:pPr>
      <w:r>
        <w:t xml:space="preserve">As the onset of cardiovascular symptoms like hypotension, collapse, or cardiac arrest lead to a higher grade on the Ring and Messmer scale than skin or gastrointestinal symptoms, VIA (being associated with cardiovascular symptoms) is likely to be associated with more severe anaphylaxis.</w:t>
      </w:r>
    </w:p>
    <w:p>
      <w:pPr>
        <w:pStyle w:val="BodyText"/>
      </w:pPr>
      <w:r>
        <w:t xml:space="preserve">Importantly, the absence of skin symptoms was associated with more severe VIA, which was still present after excluding patients with a known diagnosis of mastocytosis. Subsequently, the correlation of BST levels with the severity of anaphylaxis lead us to identify an interaction between the absence of skin symptoms and VIA using generalized linear regression.</w:t>
      </w:r>
    </w:p>
    <w:p>
      <w:pPr>
        <w:pStyle w:val="BodyText"/>
      </w:pPr>
      <w:r>
        <w:t xml:space="preserve">Our findings indicate that patients with BST above 8 ng/ml are prone to severe anaphylaxis to insect venom. Patients with normal BST in the range of 8-11.4 ng/ml may have indolent systemic mastocytosis or concomitant undiagnosed mast cell activation syndrome (MCAS)</w:t>
      </w:r>
      <w:r>
        <w:rPr>
          <w:vertAlign w:val="superscript"/>
        </w:rPr>
        <w:t xml:space="preserve">21</w:t>
      </w:r>
      <w:r>
        <w:t xml:space="preserve">. Zanotti et al. identified mast cell disorders in 17 out of 22 patients with VIA lacking skin symptoms and concluded that patients with BST above 7.95 ng/ml and VIA should undergo extensive diagnostic procedures</w:t>
      </w:r>
      <w:r>
        <w:rPr>
          <w:vertAlign w:val="superscript"/>
        </w:rPr>
        <w:t xml:space="preserve">22</w:t>
      </w:r>
      <w:r>
        <w:t xml:space="preserve">. We recently identified that elderly patient undergoing anaphylaxis without concomitant skin symptoms tended to have more severe reactions</w:t>
      </w:r>
      <w:r>
        <w:rPr>
          <w:vertAlign w:val="superscript"/>
        </w:rPr>
        <w:t xml:space="preserve">23</w:t>
      </w:r>
    </w:p>
    <w:p>
      <w:pPr>
        <w:pStyle w:val="BodyText"/>
      </w:pPr>
      <w:r>
        <w:t xml:space="preserve">Based on these and previous findings</w:t>
      </w:r>
      <w:r>
        <w:rPr>
          <w:vertAlign w:val="superscript"/>
        </w:rPr>
        <w:t xml:space="preserve">6,22,24</w:t>
      </w:r>
      <w:r>
        <w:t xml:space="preserve"> </w:t>
      </w:r>
      <w:r>
        <w:t xml:space="preserve">we propose to perform a peripheral blood KIT D816V mutation test in cases of BST of above 8 ng/ml and with a history of anaphylaxis presenting without urticaria or flushing.</w:t>
      </w:r>
    </w:p>
    <w:p>
      <w:pPr>
        <w:pStyle w:val="BodyText"/>
      </w:pPr>
      <w:r>
        <w:t xml:space="preserve">Adult patients experienced VIA more frequently. Young patients mainly suffer from food-induced anaphylaxis</w:t>
      </w:r>
      <w:r>
        <w:rPr>
          <w:vertAlign w:val="superscript"/>
        </w:rPr>
        <w:t xml:space="preserve">8</w:t>
      </w:r>
      <w:r>
        <w:t xml:space="preserve">.</w:t>
      </w:r>
      <w:r>
        <w:t xml:space="preserve"> </w:t>
      </w:r>
      <w:r>
        <w:t xml:space="preserve">Emergency room (ER) admission data indicate that the frequency of insect stings hypersensitivity reactions in children is comparable to food hypersensitivity reactions (12-15% of cases of hypersensitivity reactions admitted to the ER), but pediatric anaphylaxis is triggered significantly more often by food elicitors (56% of food hypersensitivity cases vs. 5.3% of sting cases seen in the ER)</w:t>
      </w:r>
      <w:r>
        <w:rPr>
          <w:vertAlign w:val="superscript"/>
        </w:rPr>
        <w:t xml:space="preserve">25</w:t>
      </w:r>
      <w:r>
        <w:t xml:space="preserve">. Senior patients, on the other hand, suffer from drug-related hypersensitivity more often than insect sting hypersensitivity</w:t>
      </w:r>
      <w:r>
        <w:rPr>
          <w:vertAlign w:val="superscript"/>
        </w:rPr>
        <w:t xml:space="preserve">23</w:t>
      </w:r>
      <w:r>
        <w:t xml:space="preserve">.</w:t>
      </w:r>
      <w:r>
        <w:t xml:space="preserve"> </w:t>
      </w:r>
      <w:r>
        <w:t xml:space="preserve"> </w:t>
      </w:r>
      <w:r>
        <w:t xml:space="preserve">Similarly, we observed less VIA in patients with concomitant atopic diseases (Fig.</w:t>
      </w:r>
      <w:r>
        <w:t xml:space="preserve"> </w:t>
      </w:r>
      <w:r>
        <w:t xml:space="preserve">8</w:t>
      </w:r>
      <w:r>
        <w:t xml:space="preserve">) , as these patients more often present with food anaphylaxis</w:t>
      </w:r>
      <w:r>
        <w:rPr>
          <w:vertAlign w:val="superscript"/>
        </w:rPr>
        <w:t xml:space="preserve">26</w:t>
      </w:r>
      <w:r>
        <w:t xml:space="preserve">.</w:t>
      </w:r>
    </w:p>
    <w:p>
      <w:pPr>
        <w:pStyle w:val="BodyText"/>
      </w:pPr>
      <w:r>
        <w:t xml:space="preserve">The role of cardiovascular medication cannot be isolated from the effect of concomitant cardiovascular conditions; therefore, we cannot state whether ACE-I and beta-blockers increase the severity of anaphylaxis. However, we did observe that there were no significant differences between VIA and non-VIA cases regarding the symptoms and severity of an episode with concomitant use of ACE-I or beta-blockers.</w:t>
      </w:r>
    </w:p>
    <w:p>
      <w:pPr>
        <w:pStyle w:val="BodyText"/>
      </w:pPr>
      <w:r>
        <w:t xml:space="preserve">Cases of VIA had been treated with epinephrine less often than the age- sex- and severity-matched cases of non-VIA. Moreover, the administration of epinephrine did not depend on the trigger if the patient experienced anaphylaxis previously, but was significantly less often used if the patients experienced their first episode of VIA (in comparison to non-VIA). The difference between groups was prominent for milder cases of anaphylaxis. The reason for this observation is unclear. One explanation could be that emergency team more often attributed the VIA symptoms to anxiety, whereas in non-VIA, they were more often suspecting anaphylaxis. To our knowledge, this is the only data on the comparative epinephrine usage in a case-controlled group of VIA vs. non-VIA.</w:t>
      </w:r>
    </w:p>
    <w:p>
      <w:pPr>
        <w:pStyle w:val="BodyText"/>
      </w:pPr>
      <w:r>
        <w:t xml:space="preserve">Nevertheless, international guidelines of anaphylaxis state that epinephrine (i.m.) is the first-line agent in all diagnosed cases of anaphylaxis</w:t>
      </w:r>
      <w:r>
        <w:rPr>
          <w:vertAlign w:val="superscript"/>
        </w:rPr>
        <w:t xml:space="preserve">27</w:t>
      </w:r>
      <w:r>
        <w:t xml:space="preserve">. Clinicians should not undermine the less severe VIA cases and treat them with epinephrine accordingly.</w:t>
      </w:r>
    </w:p>
    <w:p>
      <w:pPr>
        <w:pStyle w:val="BodyText"/>
      </w:pPr>
      <w:r>
        <w:t xml:space="preserve">Although there are no absolute contraindications for using epinephrine in anaphylaxis, one potential scenario where clinicians tend to be reluctant to using epinephrine is a hypersensitivity reaction presenting with high blood pressure and tachycardia, which may be present at the initial phase of VIA, due to a psychologic reflex. In theory, these less severe cases of VIA may display some form of stress-related blood pressure increase. As we lack data to confirm or discard this theory, future analysis of this question is of great clinical value.</w:t>
      </w:r>
    </w:p>
    <w:p>
      <w:pPr>
        <w:pStyle w:val="BodyText"/>
      </w:pPr>
      <w:r>
        <w:t xml:space="preserve">Based on our findings, insects are the most probable elicitor of anaphylaxis in Europe during summer-season, with VIA cases extending from early spring to the end of autumn. Detailed information on the seasonality of insect-elicited hypersensitivity reactions is scarce</w:t>
      </w:r>
      <w:r>
        <w:rPr>
          <w:vertAlign w:val="superscript"/>
        </w:rPr>
        <w:t xml:space="preserve">28</w:t>
      </w:r>
      <w:r>
        <w:t xml:space="preserve">. The activity of</w:t>
      </w:r>
      <w:r>
        <w:t xml:space="preserve"> </w:t>
      </w:r>
      <w:r>
        <w:rPr>
          <w:i/>
        </w:rPr>
        <w:t xml:space="preserve">Vespula germanica</w:t>
      </w:r>
      <w:r>
        <w:t xml:space="preserve"> </w:t>
      </w:r>
      <w:r>
        <w:t xml:space="preserve">depends on the climate, and in invaded regions (e.i. Australia), it can even extend throughout the year</w:t>
      </w:r>
      <w:r>
        <w:rPr>
          <w:vertAlign w:val="superscript"/>
        </w:rPr>
        <w:t xml:space="preserve">29</w:t>
      </w:r>
      <w:r>
        <w:t xml:space="preserve">. The changing climate in Europe may influence the activity of Hymenoptera in this region in the upcoming years. However, in the period from 2007 - 2019, the perennial ratio of VIA to non-VIA cases has remained unchanged (data not shown).</w:t>
      </w:r>
    </w:p>
    <w:p>
      <w:pPr>
        <w:pStyle w:val="Heading2"/>
      </w:pPr>
      <w:bookmarkStart w:id="38" w:name="limitations"/>
      <w:r>
        <w:t xml:space="preserve">Limitations</w:t>
      </w:r>
      <w:bookmarkEnd w:id="38"/>
    </w:p>
    <w:p>
      <w:pPr>
        <w:pStyle w:val="FirstParagraph"/>
      </w:pPr>
      <w:r>
        <w:t xml:space="preserve">Due to the design of the European Anaphylaxis Registry, our analysis was restricted only to cases of anaphylaxis. Milder hypersensitivity reactions, as well as healthy controls, are not included in the database. Although The European Anaphylaxis Registry is ideal for investigating anaphylaxis phenotypes - it might give an incomplete perception of the populational distribution of hypersensitivity reactions and restricts us to only comparing various forms of anaphylaxis.</w:t>
      </w:r>
    </w:p>
    <w:p>
      <w:pPr>
        <w:pStyle w:val="BodyText"/>
      </w:pPr>
      <w:r>
        <w:t xml:space="preserve">Nevertheless, because the European Anaphylaxis Registry has until now gathered over 12,000 cases of anaphylaxis - it was possible to perform a case-controlled analysis on a relatively large number of cases and investigate many aspects of VIA. It is worth underlining the important function of international registries, especially in diseases where targeted studies are not possible.</w:t>
      </w:r>
    </w:p>
    <w:p>
      <w:pPr>
        <w:pStyle w:val="Heading1"/>
      </w:pPr>
      <w:bookmarkStart w:id="39" w:name="conclusion"/>
      <w:r>
        <w:t xml:space="preserve">Conclusion</w:t>
      </w:r>
      <w:bookmarkEnd w:id="39"/>
    </w:p>
    <w:p>
      <w:pPr>
        <w:pStyle w:val="FirstParagraph"/>
      </w:pPr>
      <w:r>
        <w:t xml:space="preserve">Based on our results, VIA is a distinctive phenotype of anaphylaxis, with a specific symptom profile and risk factors. VIA cases should undergo therapy according to the international management guidelines, and epinephrine should be given more often in VIA.</w:t>
      </w:r>
    </w:p>
    <w:p>
      <w:pPr>
        <w:pStyle w:val="BodyText"/>
      </w:pPr>
      <w:r>
        <w:t xml:space="preserve">When evaluating the risk of future severe episodes - patients with BST above 8 ng/ml should undergo extensive diagnostic tests to exclude indolent systemic mastocytosis or MCAS and should be provided with two EAIs for acute self-management.</w:t>
      </w:r>
    </w:p>
    <w:p>
      <w:pPr>
        <w:pStyle w:val="Heading1"/>
      </w:pPr>
      <w:bookmarkStart w:id="40" w:name="acknowledgments"/>
      <w:r>
        <w:t xml:space="preserve">Acknowledgments</w:t>
      </w:r>
      <w:bookmarkEnd w:id="40"/>
    </w:p>
    <w:p>
      <w:pPr>
        <w:pStyle w:val="FirstParagraph"/>
      </w:pPr>
      <w:r>
        <w:t xml:space="preserve">We thank all patients, parents, and their children for their support in providing data on the occurrence of anaphylaxis for this study. We thank the study personnel for patients counseling and data entry, and we thank the members of The European Anaphylaxis Registry in detail:</w:t>
      </w:r>
    </w:p>
    <w:p>
      <w:pPr>
        <w:pStyle w:val="BodyText"/>
      </w:pPr>
      <w:r>
        <w:t xml:space="preserve">W. Aberer (Graz, Austria), R. Asero (Milan, Italy), S. Aurich (Leipzig, Germany), K. Beyer (Berlin, Germany), T. Bieber (Bonn, Germany), R. Brehler (Münster, Germany), W. Brosi (Würzburg, Germany), R. Bruns (Greifswald, Germany), A. Brandes (Frankfurt/Oder, Germany), T. Buck und J. Büsselberg (Hanover-Misburg, Germany), M. Bücheler (Bonn, Germany), S. Büsing (Osnabrück, Germany), N. Cabañes Higuero(Toledo, Spain), E. Cichocka-Jarosz (Krakow, Poland), H. Dickel (Bochum, Germany), N. Douladiris, (Athens, Greece), C. Ebner (Vienna, Austria), F. Eitelberger (Wels, Austria), P. Eng (Aarau und Lucerne, Switzerland), J. Fischer (Tübingen, Germany), A. Fiocchi (Rome, Italy), T. Fuchs (Göttingen, Germany), B. Garcia (Pamplona, Spain), M. Gerstlauer (Augsburg, Germany), M. Geißler (Ribnitz-Damgarten, Germany), J. Grünhagen, M. Wittenberg (Berlin, Germany), T. Hawranek und R. Lang (Salzburg, Austria), G. Hansen (Hanover, Germany), E. Hamelmann (Bielefeld, Germany), S. Hämmerling (Heidelberg, Germany), A. Henschel (Berlin, Germany), D. Hernandez (Valencia, Spain), F. Hermann, S. Zeidler (St. Augustin, Deutschland), F. Horak (Vienna, Austria), S. Hompes (Hamburg, Germany), N. Hunzelmann und I. Huseynow (Cologne, Germany), U. Jappe (Borstel, Germany), C. Kemen (Hamburg, Germany), T. Kinaciyan (Vienna, Austria), L. Klimek, O. Pfaar (Wiesbaden, Germany), J. Klinge (Fürth, Germany), A. Kleinheinz (Buxtehude, Germany), U. Klettke, U. Staden (Berlin, Germany), M. Knop, E. Oppel (Munich, Germany), F. Knöpfel (Norderney, Germany), M. Kowalski (Lodz, Poland), A. Köhli (Zurich, Switzerland), C. Körner-Rettberg (Bochum, Germany), B. Kreft (Halle, Germany), N. Krecké (Homburg, Germany), L. Lange (Bonn, Germany), S. Lehmann (Aachen, Germany, I. Manolaraki (Athen, Greece), I. Maris (Cork, Ireland), V. Mahler, (Erlangen, Germany), E. Manoussakis, (Athens, Greece), H. Merk (Aachen, Germany), S. Meller (Düsseldorf, Germany), J. Meister (Aue, Germany), P. Minale (Genua, Italy), D. Mitsias, (Athens, Greece), A. Montoro (Madrid, Spain), A. Möser (Jena, Germany), T. Mustakov (Sofia, Bulgaria), A. Muraro (Padua, Italy), S. Müller (Freiburg, Germany), K. Nemat (Dresden, Germany), S. Nestoris (Lippe-Lemgo, Germany), J. Niederwimmer und B. Zahel (Linz, Austria), A. Nordwig (Dresden, Germany), F. Nunes (Sao Paulo, Brazil), H. Ott (Hanover, Germany), S. Pistauer (Sylt/Westerland, Germany), S. Plank-Habibi (Alzenau, Germany), A. Plaza Martin (Barcelona, Spain), M. Polz (Rüsselsheim, Germany), F. Prenzel (Leipzig, Germany), U. Rabe (Treuenbritzen, Germany), N. Reider (Innsbruck, Germany), T. Reese (Rheine, Germany), H. Rebmann (Tübingen, Germany), A. Reissig (Gera, Germany), J-M. Renaudin, (Nancy, France), E. Rietschel (Cologne, Germany), F. Riffelmann (Schmallenberg, Germany), B. Rogala (Silesia, Poland), R. Saternus, (Homburg, Germany), P. Schmid-Grendelmeier (Zurich, Switzerland), S. Schweitzer-Krantz (Düsseldorf, Germany), B. Schilling (Passau, Germany), K. Schäkel (Heidelberg, Germany), J. Seidenberg (Oldenburg, Deutschland), K. Solarewicz-Madajek (Wroclaw, Poland), T. Spindler (Davos, Switzerland), G. Stichtenoth (Lübeck, Germany), C. Stadlin (Zurich, Switzerland), H. Straube (Darmstadt, Germany), S. Stieglitz (Wuppertal, Germany), Z. Szepfalusi (Vienna, Austria), S. Thies (Schwedt, Germany), S. Tscheiller, (Nancy, France), P. Utz (Wangen im Allgäu, Germany), E. Varga (Graz, Austria), A. Vega Castro (Guadalajara, Spain), C. Virchow (Rostock, Germany), S. Volkmuth (Velbert, Germany), C. Vogelberg (Dresden, Germany), J. Witte (Hamburg, Germany), P. Xepapadaki, (Athens, Greece), I. Yildiz (Neumünster, Germany), N. Zimmermann (Potsdam, Germany).</w:t>
      </w:r>
    </w:p>
    <w:p>
      <w:pPr>
        <w:pStyle w:val="Heading5"/>
      </w:pPr>
      <w:bookmarkStart w:id="41" w:name="section-3"/>
      <w:bookmarkEnd w:id="41"/>
    </w:p>
    <w:p>
      <w:pPr>
        <w:pStyle w:val="Heading1"/>
      </w:pPr>
      <w:bookmarkStart w:id="42" w:name="references"/>
      <w:r>
        <w:t xml:space="preserve">References</w:t>
      </w:r>
      <w:bookmarkEnd w:id="42"/>
    </w:p>
    <w:bookmarkStart w:id="96" w:name="refs"/>
    <w:bookmarkStart w:id="44" w:name="ref-Bil2008"/>
    <w:p>
      <w:pPr>
        <w:pStyle w:val="FirstParagraph"/>
      </w:pPr>
      <w:r>
        <w:t xml:space="preserve">1. Bilò BM, Bonifazi F. Epidemiology of insect-venom anaphylaxis.</w:t>
      </w:r>
      <w:r>
        <w:t xml:space="preserve"> </w:t>
      </w:r>
      <w:r>
        <w:rPr>
          <w:i/>
        </w:rPr>
        <w:t xml:space="preserve">Current Opinion in Allergy and Clinical Immunology</w:t>
      </w:r>
      <w:r>
        <w:t xml:space="preserve">. 2008;8(4):330-337. doi:</w:t>
      </w:r>
      <w:hyperlink r:id="rId43">
        <w:r>
          <w:rPr>
            <w:rStyle w:val="Hyperlink"/>
          </w:rPr>
          <w:t xml:space="preserve">10.1097/aci.0b013e32830638c5</w:t>
        </w:r>
      </w:hyperlink>
    </w:p>
    <w:bookmarkEnd w:id="44"/>
    <w:bookmarkStart w:id="46" w:name="ref-Sturm2017"/>
    <w:p>
      <w:pPr>
        <w:pStyle w:val="BodyText"/>
      </w:pPr>
      <w:r>
        <w:t xml:space="preserve">2. Sturm GJ, Varga E-M, Roberts G, et al. EAACI guidelines on allergen immunotherapy: Hymenoptera venom allergy.</w:t>
      </w:r>
      <w:r>
        <w:t xml:space="preserve"> </w:t>
      </w:r>
      <w:r>
        <w:rPr>
          <w:i/>
        </w:rPr>
        <w:t xml:space="preserve">Allergy</w:t>
      </w:r>
      <w:r>
        <w:t xml:space="preserve">. 2017;73(4):744-764. doi:</w:t>
      </w:r>
      <w:hyperlink r:id="rId45">
        <w:r>
          <w:rPr>
            <w:rStyle w:val="Hyperlink"/>
          </w:rPr>
          <w:t xml:space="preserve">10.1111/all.13262</w:t>
        </w:r>
      </w:hyperlink>
    </w:p>
    <w:bookmarkEnd w:id="46"/>
    <w:bookmarkStart w:id="48" w:name="ref-JimenezRodriguez2018"/>
    <w:p>
      <w:pPr>
        <w:pStyle w:val="BodyText"/>
      </w:pPr>
      <w:r>
        <w:t xml:space="preserve">3. Jimenez-Rodriguez T, Garcia-Neuer M, Alenazy LA, Castells M. Anaphylaxis in the 21st century: Phenotypes, endotypes, and biomarkers.</w:t>
      </w:r>
      <w:r>
        <w:t xml:space="preserve"> </w:t>
      </w:r>
      <w:r>
        <w:rPr>
          <w:i/>
        </w:rPr>
        <w:t xml:space="preserve">Journal of Asthma and Allergy</w:t>
      </w:r>
      <w:r>
        <w:t xml:space="preserve">. 2018;Volume 11:121-142. doi:</w:t>
      </w:r>
      <w:hyperlink r:id="rId47">
        <w:r>
          <w:rPr>
            <w:rStyle w:val="Hyperlink"/>
          </w:rPr>
          <w:t xml:space="preserve">10.2147/jaa.s159411</w:t>
        </w:r>
      </w:hyperlink>
    </w:p>
    <w:bookmarkEnd w:id="48"/>
    <w:bookmarkStart w:id="50" w:name="ref-Muraro2017"/>
    <w:p>
      <w:pPr>
        <w:pStyle w:val="BodyText"/>
      </w:pPr>
      <w:r>
        <w:t xml:space="preserve">4. Muraro A, Lemanske RF, Castells M, et al. Precision medicine in allergic disease-food allergy, drug allergy, and anaphylaxis-PRACTALL document of the european academy of allergy and clinical immunology and the american academy of allergy, asthma and immunology.</w:t>
      </w:r>
      <w:r>
        <w:t xml:space="preserve"> </w:t>
      </w:r>
      <w:r>
        <w:rPr>
          <w:i/>
        </w:rPr>
        <w:t xml:space="preserve">Allergy</w:t>
      </w:r>
      <w:r>
        <w:t xml:space="preserve">. 2017;72(7):1006-1021. doi:</w:t>
      </w:r>
      <w:hyperlink r:id="rId49">
        <w:r>
          <w:rPr>
            <w:rStyle w:val="Hyperlink"/>
          </w:rPr>
          <w:t xml:space="preserve">10.1111/all.13132</w:t>
        </w:r>
      </w:hyperlink>
    </w:p>
    <w:bookmarkEnd w:id="50"/>
    <w:bookmarkStart w:id="52" w:name="ref-LANTNER"/>
    <w:p>
      <w:pPr>
        <w:pStyle w:val="BodyText"/>
      </w:pPr>
      <w:r>
        <w:t xml:space="preserve">5. Lantner R, Reisman RE. Clinical and immunologic features and subsequent course of patients with severe insect-sting anaphylaxis.</w:t>
      </w:r>
      <w:r>
        <w:t xml:space="preserve"> </w:t>
      </w:r>
      <w:r>
        <w:rPr>
          <w:i/>
        </w:rPr>
        <w:t xml:space="preserve">Journal of Allergy and Clinical Immunology</w:t>
      </w:r>
      <w:r>
        <w:t xml:space="preserve">. 1989;84(6, Part 1):900-906. doi:</w:t>
      </w:r>
      <w:hyperlink r:id="rId51">
        <w:r>
          <w:rPr>
            <w:rStyle w:val="Hyperlink"/>
          </w:rPr>
          <w:t xml:space="preserve">https://doi.org/10.1016/0091-6749(89)90387-4</w:t>
        </w:r>
      </w:hyperlink>
    </w:p>
    <w:bookmarkEnd w:id="52"/>
    <w:bookmarkStart w:id="54" w:name="ref-Ruff2009"/>
    <w:p>
      <w:pPr>
        <w:pStyle w:val="BodyText"/>
      </w:pPr>
      <w:r>
        <w:t xml:space="preserve">6. Ruëff F, Przybilla B, Biló MB, et al. Predictors of severe systemic anaphylactic reactions in patients with hymenoptera venom allergy: Importance of baseline serum tryptasea study of the european academy of allergology and clinical immunology interest group on insect venom hypersensitivity.</w:t>
      </w:r>
      <w:r>
        <w:t xml:space="preserve"> </w:t>
      </w:r>
      <w:r>
        <w:rPr>
          <w:i/>
        </w:rPr>
        <w:t xml:space="preserve">Journal of Allergy and Clinical Immunology</w:t>
      </w:r>
      <w:r>
        <w:t xml:space="preserve">. 2009;124(5):1047-1054. doi:</w:t>
      </w:r>
      <w:hyperlink r:id="rId53">
        <w:r>
          <w:rPr>
            <w:rStyle w:val="Hyperlink"/>
          </w:rPr>
          <w:t xml:space="preserve">10.1016/j.jaci.2009.08.027</w:t>
        </w:r>
      </w:hyperlink>
    </w:p>
    <w:bookmarkEnd w:id="54"/>
    <w:bookmarkStart w:id="55" w:name="ref-nittner2015insect"/>
    <w:p>
      <w:pPr>
        <w:pStyle w:val="BodyText"/>
      </w:pPr>
      <w:r>
        <w:t xml:space="preserve">7. Nittner-Marszalska M, Cichocka-Jarosz E. Insect sting allergy in adults: Key messages for clinicians.</w:t>
      </w:r>
      <w:r>
        <w:t xml:space="preserve"> </w:t>
      </w:r>
      <w:r>
        <w:rPr>
          <w:i/>
        </w:rPr>
        <w:t xml:space="preserve">Pol Arch Med Wewn</w:t>
      </w:r>
      <w:r>
        <w:t xml:space="preserve">. 2015;125(12):929-937.</w:t>
      </w:r>
    </w:p>
    <w:bookmarkEnd w:id="55"/>
    <w:bookmarkStart w:id="57" w:name="ref-Grabenhenrich2016"/>
    <w:p>
      <w:pPr>
        <w:pStyle w:val="BodyText"/>
      </w:pPr>
      <w:r>
        <w:t xml:space="preserve">8. Grabenhenrich LB, Dölle S, Moneret-Vautrin A, et al. Anaphylaxis in children and adolescents: The european anaphylaxis registry.</w:t>
      </w:r>
      <w:r>
        <w:t xml:space="preserve"> </w:t>
      </w:r>
      <w:r>
        <w:rPr>
          <w:i/>
        </w:rPr>
        <w:t xml:space="preserve">Journal of Allergy and Clinical Immunology</w:t>
      </w:r>
      <w:r>
        <w:t xml:space="preserve">. 2016;137(4):1128-1137.e1. doi:</w:t>
      </w:r>
      <w:hyperlink r:id="rId56">
        <w:r>
          <w:rPr>
            <w:rStyle w:val="Hyperlink"/>
          </w:rPr>
          <w:t xml:space="preserve">10.1016/j.jaci.2015.11.015</w:t>
        </w:r>
      </w:hyperlink>
    </w:p>
    <w:bookmarkEnd w:id="57"/>
    <w:bookmarkStart w:id="59" w:name="ref-Sampson2006"/>
    <w:p>
      <w:pPr>
        <w:pStyle w:val="BodyText"/>
      </w:pPr>
      <w:r>
        <w:t xml:space="preserve">9. Sampson HA, Muñoz-Furlong A, Campbell RL, et al. Second symposium on the definition and management of anaphylaxis: Summary report - Second National Institute of Allergy and Infectious Disease/Food Allergy and Anaphylaxis Network Symposium.</w:t>
      </w:r>
      <w:r>
        <w:t xml:space="preserve"> </w:t>
      </w:r>
      <w:r>
        <w:rPr>
          <w:i/>
        </w:rPr>
        <w:t xml:space="preserve">Annals of Emergency Medicine</w:t>
      </w:r>
      <w:r>
        <w:t xml:space="preserve">. 2006;47(4):373-380. doi:</w:t>
      </w:r>
      <w:hyperlink r:id="rId58">
        <w:r>
          <w:rPr>
            <w:rStyle w:val="Hyperlink"/>
          </w:rPr>
          <w:t xml:space="preserve">10.1016/j.annemergmed.2006.01.018</w:t>
        </w:r>
      </w:hyperlink>
    </w:p>
    <w:bookmarkEnd w:id="59"/>
    <w:bookmarkStart w:id="60" w:name="ref-Ring1977"/>
    <w:p>
      <w:pPr>
        <w:pStyle w:val="BodyText"/>
      </w:pPr>
      <w:r>
        <w:t xml:space="preserve">10. Ring J, Messmer K. Incidence and severity of anaphylactoid reactions to colloid volume substitutes.</w:t>
      </w:r>
      <w:r>
        <w:t xml:space="preserve"> </w:t>
      </w:r>
      <w:r>
        <w:rPr>
          <w:i/>
        </w:rPr>
        <w:t xml:space="preserve">Lancet (London, England)</w:t>
      </w:r>
      <w:r>
        <w:t xml:space="preserve">. 1977;1(8009):466-469.</w:t>
      </w:r>
    </w:p>
    <w:bookmarkEnd w:id="60"/>
    <w:bookmarkStart w:id="62" w:name="ref-matchit"/>
    <w:p>
      <w:pPr>
        <w:pStyle w:val="BodyText"/>
      </w:pPr>
      <w:r>
        <w:t xml:space="preserve">11. Ho DE, Imai K, King G, Stuart EA. MatchIt: Nonparametric preprocessing for parametric causal inference.</w:t>
      </w:r>
      <w:r>
        <w:t xml:space="preserve"> </w:t>
      </w:r>
      <w:r>
        <w:rPr>
          <w:i/>
        </w:rPr>
        <w:t xml:space="preserve">Journal of Statistical Software</w:t>
      </w:r>
      <w:r>
        <w:t xml:space="preserve">. 2011;42(8):1-28.</w:t>
      </w:r>
      <w:r>
        <w:t xml:space="preserve"> </w:t>
      </w:r>
      <w:hyperlink r:id="rId61">
        <w:r>
          <w:rPr>
            <w:rStyle w:val="Hyperlink"/>
          </w:rPr>
          <w:t xml:space="preserve">http://www.jstatsoft.org/v42/i08/</w:t>
        </w:r>
      </w:hyperlink>
      <w:r>
        <w:t xml:space="preserve">.</w:t>
      </w:r>
    </w:p>
    <w:bookmarkEnd w:id="62"/>
    <w:bookmarkStart w:id="64" w:name="ref-Worm2018"/>
    <w:p>
      <w:pPr>
        <w:pStyle w:val="BodyText"/>
      </w:pPr>
      <w:r>
        <w:t xml:space="preserve">12. Worm M, Francuzik W, Renaudin J-M, et al. Factors increasing the risk for a severe reaction in anaphylaxis: An analysis of data from the european anaphylaxis registry.</w:t>
      </w:r>
      <w:r>
        <w:t xml:space="preserve"> </w:t>
      </w:r>
      <w:r>
        <w:rPr>
          <w:i/>
        </w:rPr>
        <w:t xml:space="preserve">Allergy</w:t>
      </w:r>
      <w:r>
        <w:t xml:space="preserve">. January 2018. doi:</w:t>
      </w:r>
      <w:hyperlink r:id="rId63">
        <w:r>
          <w:rPr>
            <w:rStyle w:val="Hyperlink"/>
          </w:rPr>
          <w:t xml:space="preserve">10.1111/all.13380</w:t>
        </w:r>
      </w:hyperlink>
    </w:p>
    <w:bookmarkEnd w:id="64"/>
    <w:bookmarkStart w:id="65" w:name="ref-R"/>
    <w:p>
      <w:pPr>
        <w:pStyle w:val="BodyText"/>
      </w:pPr>
      <w:r>
        <w:t xml:space="preserve">13. R Core Team.</w:t>
      </w:r>
      <w:r>
        <w:t xml:space="preserve"> </w:t>
      </w:r>
      <w:r>
        <w:rPr>
          <w:i/>
        </w:rPr>
        <w:t xml:space="preserve">R: A Language and Environment for Statistical Computing</w:t>
      </w:r>
      <w:r>
        <w:t xml:space="preserve">. Vienna, Austria: R Foundation for Statistical Computing; 2017.</w:t>
      </w:r>
    </w:p>
    <w:bookmarkEnd w:id="65"/>
    <w:bookmarkStart w:id="67" w:name="ref-rf"/>
    <w:p>
      <w:pPr>
        <w:pStyle w:val="BodyText"/>
      </w:pPr>
      <w:r>
        <w:t xml:space="preserve">14. Liaw A, Wiener M. Classification and regression by randomForest.</w:t>
      </w:r>
      <w:r>
        <w:t xml:space="preserve"> </w:t>
      </w:r>
      <w:r>
        <w:rPr>
          <w:i/>
        </w:rPr>
        <w:t xml:space="preserve">R News</w:t>
      </w:r>
      <w:r>
        <w:t xml:space="preserve">. 2002;2(3):18-22.</w:t>
      </w:r>
      <w:r>
        <w:t xml:space="preserve"> </w:t>
      </w:r>
      <w:hyperlink r:id="rId66">
        <w:r>
          <w:rPr>
            <w:rStyle w:val="Hyperlink"/>
          </w:rPr>
          <w:t xml:space="preserve">https://CRAN.R-project.org/doc/Rnews/</w:t>
        </w:r>
      </w:hyperlink>
      <w:r>
        <w:t xml:space="preserve">.</w:t>
      </w:r>
    </w:p>
    <w:bookmarkEnd w:id="67"/>
    <w:bookmarkStart w:id="69" w:name="ref-Strobl2007"/>
    <w:p>
      <w:pPr>
        <w:pStyle w:val="BodyText"/>
      </w:pPr>
      <w:r>
        <w:t xml:space="preserve">15. Strobl C, Boulesteix A-L, Zeileis A, Hothorn T. Bias in random forest variable importance measures: Illustrations, sources and a solution.</w:t>
      </w:r>
      <w:r>
        <w:t xml:space="preserve"> </w:t>
      </w:r>
      <w:r>
        <w:rPr>
          <w:i/>
        </w:rPr>
        <w:t xml:space="preserve">BMC Bioinformatics</w:t>
      </w:r>
      <w:r>
        <w:t xml:space="preserve">. 2007;8(1). doi:</w:t>
      </w:r>
      <w:hyperlink r:id="rId68">
        <w:r>
          <w:rPr>
            <w:rStyle w:val="Hyperlink"/>
          </w:rPr>
          <w:t xml:space="preserve">10.1186/1471-2105-8-25</w:t>
        </w:r>
      </w:hyperlink>
    </w:p>
    <w:bookmarkEnd w:id="69"/>
    <w:bookmarkStart w:id="71" w:name="ref-heatmaply"/>
    <w:p>
      <w:pPr>
        <w:pStyle w:val="BodyText"/>
      </w:pPr>
      <w:r>
        <w:t xml:space="preserve">16. Galili, Tal, O’Callaghan, et al. Heatmaply: An r package for creating interactive cluster heatmaps for online publishing.</w:t>
      </w:r>
      <w:r>
        <w:t xml:space="preserve"> </w:t>
      </w:r>
      <w:r>
        <w:rPr>
          <w:i/>
        </w:rPr>
        <w:t xml:space="preserve">Bioinformatics</w:t>
      </w:r>
      <w:r>
        <w:t xml:space="preserve">. 2017. doi:</w:t>
      </w:r>
      <w:hyperlink r:id="rId70">
        <w:r>
          <w:rPr>
            <w:rStyle w:val="Hyperlink"/>
          </w:rPr>
          <w:t xml:space="preserve">10.1093/bioinformatics/btx657</w:t>
        </w:r>
      </w:hyperlink>
    </w:p>
    <w:bookmarkEnd w:id="71"/>
    <w:bookmarkStart w:id="73" w:name="ref-Bonadonna2010"/>
    <w:p>
      <w:pPr>
        <w:pStyle w:val="BodyText"/>
      </w:pPr>
      <w:r>
        <w:t xml:space="preserve">17. Bonadonna P, Zanotti R, Müller U. Mastocytosis and insect venom allergy.</w:t>
      </w:r>
      <w:r>
        <w:t xml:space="preserve"> </w:t>
      </w:r>
      <w:r>
        <w:rPr>
          <w:i/>
        </w:rPr>
        <w:t xml:space="preserve">Current Opinion in Allergy and Clinical Immunology</w:t>
      </w:r>
      <w:r>
        <w:t xml:space="preserve">. 2010;10(4):347-353. doi:</w:t>
      </w:r>
      <w:hyperlink r:id="rId72">
        <w:r>
          <w:rPr>
            <w:rStyle w:val="Hyperlink"/>
          </w:rPr>
          <w:t xml:space="preserve">10.1097/aci.0b013e32833b280c</w:t>
        </w:r>
      </w:hyperlink>
    </w:p>
    <w:bookmarkEnd w:id="73"/>
    <w:bookmarkStart w:id="75" w:name="ref-CDT1609"/>
    <w:p>
      <w:pPr>
        <w:pStyle w:val="BodyText"/>
      </w:pPr>
      <w:r>
        <w:t xml:space="preserve">18. Gangadharan V, Bhatheja S, Balbissi KA. Kounis syndrome - an atopic monster for the heart.</w:t>
      </w:r>
      <w:r>
        <w:t xml:space="preserve"> </w:t>
      </w:r>
      <w:r>
        <w:rPr>
          <w:i/>
        </w:rPr>
        <w:t xml:space="preserve">Cardiovascular Diagnosis and Therapy</w:t>
      </w:r>
      <w:r>
        <w:t xml:space="preserve">. 2013;3(1).</w:t>
      </w:r>
      <w:r>
        <w:t xml:space="preserve"> </w:t>
      </w:r>
      <w:hyperlink r:id="rId74">
        <w:r>
          <w:rPr>
            <w:rStyle w:val="Hyperlink"/>
          </w:rPr>
          <w:t xml:space="preserve">http://cdt.amegroups.com/article/view/1609</w:t>
        </w:r>
      </w:hyperlink>
      <w:r>
        <w:t xml:space="preserve">.</w:t>
      </w:r>
    </w:p>
    <w:bookmarkEnd w:id="75"/>
    <w:bookmarkStart w:id="76" w:name="ref-sinkiewicz2008allergic"/>
    <w:p>
      <w:pPr>
        <w:pStyle w:val="BodyText"/>
      </w:pPr>
      <w:r>
        <w:t xml:space="preserve">19. Sinkiewicz W, Sobański P, Bartuzi Z. Allergic myocardial infarction.</w:t>
      </w:r>
      <w:r>
        <w:t xml:space="preserve"> </w:t>
      </w:r>
      <w:r>
        <w:rPr>
          <w:i/>
        </w:rPr>
        <w:t xml:space="preserve">Cardiology Journal</w:t>
      </w:r>
      <w:r>
        <w:t xml:space="preserve">. 2008;15(3):220-225.</w:t>
      </w:r>
    </w:p>
    <w:bookmarkEnd w:id="76"/>
    <w:bookmarkStart w:id="78" w:name="ref-Sharma2016"/>
    <w:p>
      <w:pPr>
        <w:pStyle w:val="BodyText"/>
      </w:pPr>
      <w:r>
        <w:t xml:space="preserve">20. Sharma A, Sharma T, Bhatnagar M. An unusual case of sustained ventricular tachycardia following a wasp bite.</w:t>
      </w:r>
      <w:r>
        <w:t xml:space="preserve"> </w:t>
      </w:r>
      <w:r>
        <w:rPr>
          <w:i/>
        </w:rPr>
        <w:t xml:space="preserve">Journal of Family Medicine and Primary Care</w:t>
      </w:r>
      <w:r>
        <w:t xml:space="preserve">. 2016;5(4):879. doi:</w:t>
      </w:r>
      <w:hyperlink r:id="rId77">
        <w:r>
          <w:rPr>
            <w:rStyle w:val="Hyperlink"/>
          </w:rPr>
          <w:t xml:space="preserve">10.4103/2249-4863.201165</w:t>
        </w:r>
      </w:hyperlink>
    </w:p>
    <w:bookmarkEnd w:id="78"/>
    <w:bookmarkStart w:id="80" w:name="ref-Valent2019"/>
    <w:p>
      <w:pPr>
        <w:pStyle w:val="BodyText"/>
      </w:pPr>
      <w:r>
        <w:t xml:space="preserve">21. Valent P, Bonadonna P, Hartmann K, et al. Why the 20%+ 2 tryptase formula is a diagnostic gold standard for severe systemic mast cell activation and mast cell activation syndrome.</w:t>
      </w:r>
      <w:r>
        <w:t xml:space="preserve"> </w:t>
      </w:r>
      <w:r>
        <w:rPr>
          <w:i/>
        </w:rPr>
        <w:t xml:space="preserve">International Archives of Allergy and Immunology</w:t>
      </w:r>
      <w:r>
        <w:t xml:space="preserve">. 2019;180(1):44-51. doi:</w:t>
      </w:r>
      <w:hyperlink r:id="rId79">
        <w:r>
          <w:rPr>
            <w:rStyle w:val="Hyperlink"/>
          </w:rPr>
          <w:t xml:space="preserve">10.1159/000501079</w:t>
        </w:r>
      </w:hyperlink>
    </w:p>
    <w:bookmarkEnd w:id="80"/>
    <w:bookmarkStart w:id="82" w:name="ref-Zanotti2015"/>
    <w:p>
      <w:pPr>
        <w:pStyle w:val="BodyText"/>
      </w:pPr>
      <w:r>
        <w:t xml:space="preserve">22. Zanotti R, Lombardo C, Passalacqua G, et al. Clonal mast cell disorders in patients with severe hymenoptera venom allergy and normal serum tryptase levels.</w:t>
      </w:r>
      <w:r>
        <w:t xml:space="preserve"> </w:t>
      </w:r>
      <w:r>
        <w:rPr>
          <w:i/>
        </w:rPr>
        <w:t xml:space="preserve">Journal of Allergy and Clinical Immunology</w:t>
      </w:r>
      <w:r>
        <w:t xml:space="preserve">. 2015;136(1):135-139. doi:</w:t>
      </w:r>
      <w:hyperlink r:id="rId81">
        <w:r>
          <w:rPr>
            <w:rStyle w:val="Hyperlink"/>
          </w:rPr>
          <w:t xml:space="preserve">10.1016/j.jaci.2014.11.035</w:t>
        </w:r>
      </w:hyperlink>
    </w:p>
    <w:bookmarkEnd w:id="82"/>
    <w:bookmarkStart w:id="84" w:name="ref-Aurich2019"/>
    <w:p>
      <w:pPr>
        <w:pStyle w:val="BodyText"/>
      </w:pPr>
      <w:r>
        <w:t xml:space="preserve">23. Aurich S, Dölle-Bierke S, Francuzik W, et al. Anaphylaxis in elderly patientsData from the european anaphylaxis registry.</w:t>
      </w:r>
      <w:r>
        <w:t xml:space="preserve"> </w:t>
      </w:r>
      <w:r>
        <w:rPr>
          <w:i/>
        </w:rPr>
        <w:t xml:space="preserve">Frontiers in Immunology</w:t>
      </w:r>
      <w:r>
        <w:t xml:space="preserve">. 2019;10. doi:</w:t>
      </w:r>
      <w:hyperlink r:id="rId83">
        <w:r>
          <w:rPr>
            <w:rStyle w:val="Hyperlink"/>
          </w:rPr>
          <w:t xml:space="preserve">10.3389/fimmu.2019.00750</w:t>
        </w:r>
      </w:hyperlink>
    </w:p>
    <w:bookmarkEnd w:id="84"/>
    <w:bookmarkStart w:id="86" w:name="ref-JaraAcevedo2015"/>
    <w:p>
      <w:pPr>
        <w:pStyle w:val="BodyText"/>
      </w:pPr>
      <w:r>
        <w:t xml:space="preserve">24. Jara-Acevedo M, Teodosio C, Sanchez-Muñoz L, et al. Detection of the KIT d816v mutation in peripheral blood of systemic mastocytosis: Diagnostic implications.</w:t>
      </w:r>
      <w:r>
        <w:t xml:space="preserve"> </w:t>
      </w:r>
      <w:r>
        <w:rPr>
          <w:i/>
        </w:rPr>
        <w:t xml:space="preserve">Modern Pathology</w:t>
      </w:r>
      <w:r>
        <w:t xml:space="preserve">. 2015;28(8):1138-1149. doi:</w:t>
      </w:r>
      <w:hyperlink r:id="rId85">
        <w:r>
          <w:rPr>
            <w:rStyle w:val="Hyperlink"/>
          </w:rPr>
          <w:t xml:space="preserve">10.1038/modpathol.2015.72</w:t>
        </w:r>
      </w:hyperlink>
    </w:p>
    <w:bookmarkEnd w:id="86"/>
    <w:bookmarkStart w:id="88" w:name="ref-Braganza2005"/>
    <w:p>
      <w:pPr>
        <w:pStyle w:val="BodyText"/>
      </w:pPr>
      <w:r>
        <w:t xml:space="preserve">25. Braganza SC. Paediatric emergency department anaphylaxis: Different patterns from adults.</w:t>
      </w:r>
      <w:r>
        <w:t xml:space="preserve"> </w:t>
      </w:r>
      <w:r>
        <w:rPr>
          <w:i/>
        </w:rPr>
        <w:t xml:space="preserve">Archives of Disease in Childhood</w:t>
      </w:r>
      <w:r>
        <w:t xml:space="preserve">. 2005;91(2):159-163. doi:</w:t>
      </w:r>
      <w:hyperlink r:id="rId87">
        <w:r>
          <w:rPr>
            <w:rStyle w:val="Hyperlink"/>
          </w:rPr>
          <w:t xml:space="preserve">10.1136/adc.2004.069914</w:t>
        </w:r>
      </w:hyperlink>
    </w:p>
    <w:bookmarkEnd w:id="88"/>
    <w:bookmarkStart w:id="90" w:name="ref-Tham2019"/>
    <w:p>
      <w:pPr>
        <w:pStyle w:val="BodyText"/>
      </w:pPr>
      <w:r>
        <w:t xml:space="preserve">26. Tham EH, Leung DY. Mechanisms by which atopic dermatitis predisposes to food allergy and the atopic march.</w:t>
      </w:r>
      <w:r>
        <w:t xml:space="preserve"> </w:t>
      </w:r>
      <w:r>
        <w:rPr>
          <w:i/>
        </w:rPr>
        <w:t xml:space="preserve">Allergy, Asthma &amp; Immunology Research</w:t>
      </w:r>
      <w:r>
        <w:t xml:space="preserve">. 2019;11(1):4. doi:</w:t>
      </w:r>
      <w:hyperlink r:id="rId89">
        <w:r>
          <w:rPr>
            <w:rStyle w:val="Hyperlink"/>
          </w:rPr>
          <w:t xml:space="preserve">10.4168/aair.2019.11.1.4</w:t>
        </w:r>
      </w:hyperlink>
    </w:p>
    <w:bookmarkEnd w:id="90"/>
    <w:bookmarkStart w:id="92" w:name="ref-Muraro2014"/>
    <w:p>
      <w:pPr>
        <w:pStyle w:val="BodyText"/>
      </w:pPr>
      <w:r>
        <w:t xml:space="preserve">27. Muraro A, Roberts G, Worm M, et al. Anaphylaxis: Guidelines from the european academy of allergy and clinical immunology.</w:t>
      </w:r>
      <w:r>
        <w:t xml:space="preserve"> </w:t>
      </w:r>
      <w:r>
        <w:rPr>
          <w:i/>
        </w:rPr>
        <w:t xml:space="preserve">Allergy</w:t>
      </w:r>
      <w:r>
        <w:t xml:space="preserve">. 2014;69(8):1026-1045. doi:</w:t>
      </w:r>
      <w:hyperlink r:id="rId91">
        <w:r>
          <w:rPr>
            <w:rStyle w:val="Hyperlink"/>
          </w:rPr>
          <w:t xml:space="preserve">10.1111/all.12437</w:t>
        </w:r>
      </w:hyperlink>
    </w:p>
    <w:bookmarkEnd w:id="92"/>
    <w:bookmarkStart w:id="93" w:name="ref-old"/>
    <w:p>
      <w:pPr>
        <w:pStyle w:val="BodyText"/>
      </w:pPr>
      <w:r>
        <w:t xml:space="preserve">28. Bischof RO. Seasonal incidence of insect stings: Autumn ’yellow jacket delirium’.</w:t>
      </w:r>
      <w:r>
        <w:t xml:space="preserve"> </w:t>
      </w:r>
      <w:r>
        <w:rPr>
          <w:i/>
        </w:rPr>
        <w:t xml:space="preserve">Journal of Family Practice</w:t>
      </w:r>
      <w:r>
        <w:t xml:space="preserve">. 1996:271.</w:t>
      </w:r>
    </w:p>
    <w:bookmarkEnd w:id="93"/>
    <w:bookmarkStart w:id="95" w:name="ref-Spradbery_1992"/>
    <w:p>
      <w:pPr>
        <w:pStyle w:val="BodyText"/>
      </w:pPr>
      <w:r>
        <w:t xml:space="preserve">29. Spradbery J, Maywald G. The distribution of the european or german wasp, vespula-germanica (f) (hymenoptera, vespidae), in australia - past, present and future.</w:t>
      </w:r>
      <w:r>
        <w:t xml:space="preserve"> </w:t>
      </w:r>
      <w:r>
        <w:rPr>
          <w:i/>
        </w:rPr>
        <w:t xml:space="preserve">Australian Journal of Zoology</w:t>
      </w:r>
      <w:r>
        <w:t xml:space="preserve">. 1992;40(5):495. doi:</w:t>
      </w:r>
      <w:hyperlink r:id="rId94">
        <w:r>
          <w:rPr>
            <w:rStyle w:val="Hyperlink"/>
          </w:rPr>
          <w:t xml:space="preserve">10.1071/zo9920495</w:t>
        </w:r>
      </w:hyperlink>
    </w:p>
    <w:bookmarkEnd w:id="95"/>
    <w:bookmarkEnd w:id="96"/>
    <w:p>
      <w:pPr>
        <w:pStyle w:val="Heading5"/>
      </w:pPr>
      <w:bookmarkStart w:id="97" w:name="section-4"/>
      <w:bookmarkEnd w:id="97"/>
    </w:p>
    <w:p>
      <w:pPr>
        <w:pStyle w:val="Heading1"/>
      </w:pPr>
      <w:bookmarkStart w:id="98" w:name="figure-legends"/>
      <w:r>
        <w:t xml:space="preserve">Figure legends</w:t>
      </w:r>
      <w:bookmarkEnd w:id="98"/>
    </w:p>
    <w:p>
      <w:pPr>
        <w:pStyle w:val="CaptionedFigure"/>
      </w:pPr>
      <w:r>
        <w:drawing>
          <wp:inline>
            <wp:extent cx="5943600" cy="3820885"/>
            <wp:effectExtent b="0" l="0" r="0" t="0"/>
            <wp:docPr descr="Figure 1: A) Flow-diagram illustrating the rationale for case inclusion and exclusion from the final analysis. B, C, D: Age, sex, and severity distribution was matched in cases in both groups to allow for comparable results between VIA and non-VIA cases. Two age-subsets of patients could be recognized based on the density plot of age (B)." title="" id="1" name="Picture"/>
            <a:graphic>
              <a:graphicData uri="http://schemas.openxmlformats.org/drawingml/2006/picture">
                <pic:pic>
                  <pic:nvPicPr>
                    <pic:cNvPr descr="../figures/flow-1.png" id="0" name="Picture"/>
                    <pic:cNvPicPr>
                      <a:picLocks noChangeArrowheads="1" noChangeAspect="1"/>
                    </pic:cNvPicPr>
                  </pic:nvPicPr>
                  <pic:blipFill>
                    <a:blip r:embed="rId99"/>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r>
        <w:t xml:space="preserve">Figure 1: A) Flow-diagram illustrating the rationale for case inclusion and exclusion from the final analysis. B, C, D: Age, sex, and severity distribution was matched in cases in both groups to allow for comparable results between VIA and non-VIA cases. Two age-subsets of patients could be recognized based on the density plot of age (B).</w:t>
      </w:r>
    </w:p>
    <w:p>
      <w:pPr>
        <w:pStyle w:val="Heading5"/>
      </w:pPr>
      <w:bookmarkStart w:id="100" w:name="section-5"/>
      <w:bookmarkEnd w:id="100"/>
    </w:p>
    <w:p>
      <w:pPr>
        <w:pStyle w:val="CaptionedFigure"/>
      </w:pPr>
      <w:r>
        <w:drawing>
          <wp:inline>
            <wp:extent cx="5943600" cy="4333875"/>
            <wp:effectExtent b="0" l="0" r="0" t="0"/>
            <wp:docPr descr="Figure 2: Symptoms of venom-induced anaphylaxis (VIA) compared to other elicitors. A: Proportional presentation of specific reaction symptoms in VIA and non-VIA according to cardiovascular (cardio.), gastroenterologic (gastro.), and respiratory (resp.) organ systems. B: High-level overview of involved organ systems and selected cofactors in the form of a radar plot. C: difference in symptoms of VIA among patients under 22 and over 22 years of age. * denotes significant differences between groups." title="" id="1" name="Picture"/>
            <a:graphic>
              <a:graphicData uri="http://schemas.openxmlformats.org/drawingml/2006/picture">
                <pic:pic>
                  <pic:nvPicPr>
                    <pic:cNvPr descr="../figures/figsymptoms-1.png" id="0" name="Picture"/>
                    <pic:cNvPicPr>
                      <a:picLocks noChangeArrowheads="1" noChangeAspect="1"/>
                    </pic:cNvPicPr>
                  </pic:nvPicPr>
                  <pic:blipFill>
                    <a:blip r:embed="rId101"/>
                    <a:stretch>
                      <a:fillRect/>
                    </a:stretch>
                  </pic:blipFill>
                  <pic:spPr bwMode="auto">
                    <a:xfrm>
                      <a:off x="0" y="0"/>
                      <a:ext cx="5943600" cy="4333875"/>
                    </a:xfrm>
                    <a:prstGeom prst="rect">
                      <a:avLst/>
                    </a:prstGeom>
                    <a:noFill/>
                    <a:ln w="9525">
                      <a:noFill/>
                      <a:headEnd/>
                      <a:tailEnd/>
                    </a:ln>
                  </pic:spPr>
                </pic:pic>
              </a:graphicData>
            </a:graphic>
          </wp:inline>
        </w:drawing>
      </w:r>
    </w:p>
    <w:p>
      <w:pPr>
        <w:pStyle w:val="ImageCaption"/>
      </w:pPr>
      <w:r>
        <w:t xml:space="preserve">Figure 2: Symptoms of venom-induced anaphylaxis (VIA) compared to other elicitors. A: Proportional presentation of specific reaction symptoms in VIA and non-VIA according to cardiovascular (cardio.), gastroenterologic (gastro.), and respiratory (resp.) organ systems. B: High-level overview of involved organ systems and selected cofactors in the form of a radar plot. C: difference in symptoms of VIA among patients under 22 and over 22 years of age. * denotes significant differences between groups.</w:t>
      </w:r>
    </w:p>
    <w:p>
      <w:pPr>
        <w:pStyle w:val="Heading5"/>
      </w:pPr>
      <w:bookmarkStart w:id="102" w:name="section-6"/>
      <w:bookmarkEnd w:id="102"/>
    </w:p>
    <w:p>
      <w:pPr>
        <w:pStyle w:val="CaptionedFigure"/>
      </w:pPr>
      <w:r>
        <w:drawing>
          <wp:inline>
            <wp:extent cx="5943600" cy="3845858"/>
            <wp:effectExtent b="0" l="0" r="0" t="0"/>
            <wp:docPr descr="Figure 3: Lack of skin symptoms (i.e., urticaria and flushing) during anaphylaxis is associated with more severe VIA. A: lack of skin symptoms and mastocytosis in VIA and non-VIA cases. B: Lack of skin symptoms, according to the severity in both anaphylaxis groups. C: Relation of reaction severity according to the elicitor and the absence of skin symptoms concerning categorized BST values. D: Continous values of BST according to the severity in both non-VIA and VIA with subgrouping to skin symptoms." title="" id="1" name="Picture"/>
            <a:graphic>
              <a:graphicData uri="http://schemas.openxmlformats.org/drawingml/2006/picture">
                <pic:pic>
                  <pic:nvPicPr>
                    <pic:cNvPr descr="../figures/figskinsymptoms-1.png" id="0" name="Picture"/>
                    <pic:cNvPicPr>
                      <a:picLocks noChangeArrowheads="1" noChangeAspect="1"/>
                    </pic:cNvPicPr>
                  </pic:nvPicPr>
                  <pic:blipFill>
                    <a:blip r:embed="rId103"/>
                    <a:stretch>
                      <a:fillRect/>
                    </a:stretch>
                  </pic:blipFill>
                  <pic:spPr bwMode="auto">
                    <a:xfrm>
                      <a:off x="0" y="0"/>
                      <a:ext cx="5943600" cy="3845858"/>
                    </a:xfrm>
                    <a:prstGeom prst="rect">
                      <a:avLst/>
                    </a:prstGeom>
                    <a:noFill/>
                    <a:ln w="9525">
                      <a:noFill/>
                      <a:headEnd/>
                      <a:tailEnd/>
                    </a:ln>
                  </pic:spPr>
                </pic:pic>
              </a:graphicData>
            </a:graphic>
          </wp:inline>
        </w:drawing>
      </w:r>
    </w:p>
    <w:p>
      <w:pPr>
        <w:pStyle w:val="ImageCaption"/>
      </w:pPr>
      <w:r>
        <w:t xml:space="preserve">Figure 3: Lack of skin symptoms (i.e., urticaria and flushing) during anaphylaxis is associated with more severe VIA. A: lack of skin symptoms and mastocytosis in VIA and non-VIA cases. B: Lack of skin symptoms, according to the severity in both anaphylaxis groups. C: Relation of reaction severity according to the elicitor and the absence of skin symptoms concerning categorized BST values. D: Continous values of BST according to the severity in both non-VIA and VIA with subgrouping to skin symptoms.</w:t>
      </w:r>
    </w:p>
    <w:p>
      <w:pPr>
        <w:pStyle w:val="Heading5"/>
      </w:pPr>
      <w:bookmarkStart w:id="104" w:name="section-7"/>
      <w:bookmarkEnd w:id="104"/>
    </w:p>
    <w:p>
      <w:pPr>
        <w:pStyle w:val="CaptionedFigure"/>
      </w:pPr>
      <w:r>
        <w:drawing>
          <wp:inline>
            <wp:extent cx="5943600" cy="8112591"/>
            <wp:effectExtent b="0" l="0" r="0" t="0"/>
            <wp:docPr descr="Figure 4: Cofactors of insect venom anaphylaxis. A: Odds ratios of eliciting severe anaphylaxis. B: Proportion of cases elicited by insects or other elicitors (upper panels) according to tryptase levels and cardiovascular symptoms." title="" id="1" name="Picture"/>
            <a:graphic>
              <a:graphicData uri="http://schemas.openxmlformats.org/drawingml/2006/picture">
                <pic:pic>
                  <pic:nvPicPr>
                    <pic:cNvPr descr="../figures/figcofactors-1.png" id="0" name="Picture"/>
                    <pic:cNvPicPr>
                      <a:picLocks noChangeArrowheads="1" noChangeAspect="1"/>
                    </pic:cNvPicPr>
                  </pic:nvPicPr>
                  <pic:blipFill>
                    <a:blip r:embed="rId105"/>
                    <a:stretch>
                      <a:fillRect/>
                    </a:stretch>
                  </pic:blipFill>
                  <pic:spPr bwMode="auto">
                    <a:xfrm>
                      <a:off x="0" y="0"/>
                      <a:ext cx="5943600" cy="8112591"/>
                    </a:xfrm>
                    <a:prstGeom prst="rect">
                      <a:avLst/>
                    </a:prstGeom>
                    <a:noFill/>
                    <a:ln w="9525">
                      <a:noFill/>
                      <a:headEnd/>
                      <a:tailEnd/>
                    </a:ln>
                  </pic:spPr>
                </pic:pic>
              </a:graphicData>
            </a:graphic>
          </wp:inline>
        </w:drawing>
      </w:r>
    </w:p>
    <w:p>
      <w:pPr>
        <w:pStyle w:val="ImageCaption"/>
      </w:pPr>
      <w:r>
        <w:t xml:space="preserve">Figure 4: Cofactors of insect venom anaphylaxis. A: Odds ratios of eliciting severe anaphylaxis. B: Proportion of cases elicited by insects or other elicitors (upper panels) according to tryptase levels and cardiovascular symptoms.</w:t>
      </w:r>
    </w:p>
    <w:p>
      <w:pPr>
        <w:pStyle w:val="Heading5"/>
      </w:pPr>
      <w:bookmarkStart w:id="106" w:name="section-8"/>
      <w:bookmarkEnd w:id="106"/>
    </w:p>
    <w:p>
      <w:pPr>
        <w:pStyle w:val="CaptionedFigure"/>
      </w:pPr>
      <w:r>
        <w:drawing>
          <wp:inline>
            <wp:extent cx="5943600" cy="7641771"/>
            <wp:effectExtent b="0" l="0" r="0" t="0"/>
            <wp:docPr descr="Figure 5: Therapy in patients with VIA compared to other elicitors, cases matched according to sex, age, and severity of a reaction. A: Proportional use of therapy measures in both anaphylaxis groups. B: C: Heatmap visualizing the association of symptoms and corresponding treatment - presented as a scaled correlation coefficient (phi). * - p-value &lt; 0.05 after false discovery rate correction." title="" id="1" name="Picture"/>
            <a:graphic>
              <a:graphicData uri="http://schemas.openxmlformats.org/drawingml/2006/picture">
                <pic:pic>
                  <pic:nvPicPr>
                    <pic:cNvPr descr="../figures/adrenalineuse-1.png" id="0" name="Picture"/>
                    <pic:cNvPicPr>
                      <a:picLocks noChangeArrowheads="1" noChangeAspect="1"/>
                    </pic:cNvPicPr>
                  </pic:nvPicPr>
                  <pic:blipFill>
                    <a:blip r:embed="rId107"/>
                    <a:stretch>
                      <a:fillRect/>
                    </a:stretch>
                  </pic:blipFill>
                  <pic:spPr bwMode="auto">
                    <a:xfrm>
                      <a:off x="0" y="0"/>
                      <a:ext cx="5943600" cy="7641771"/>
                    </a:xfrm>
                    <a:prstGeom prst="rect">
                      <a:avLst/>
                    </a:prstGeom>
                    <a:noFill/>
                    <a:ln w="9525">
                      <a:noFill/>
                      <a:headEnd/>
                      <a:tailEnd/>
                    </a:ln>
                  </pic:spPr>
                </pic:pic>
              </a:graphicData>
            </a:graphic>
          </wp:inline>
        </w:drawing>
      </w:r>
    </w:p>
    <w:p>
      <w:pPr>
        <w:pStyle w:val="ImageCaption"/>
      </w:pPr>
      <w:r>
        <w:t xml:space="preserve">Figure 5: Therapy in patients with VIA compared to other elicitors, cases matched according to sex, age, and severity of a reaction. A: Proportional use of therapy measures in both anaphylaxis groups. B: C: Heatmap visualizing the association of symptoms and corresponding treatment - presented as a scaled correlation coefficient (phi). * - p-value &lt; 0.05 after false discovery rate correction.</w:t>
      </w:r>
    </w:p>
    <w:p>
      <w:pPr>
        <w:pStyle w:val="Heading5"/>
      </w:pPr>
      <w:bookmarkStart w:id="108" w:name="section-9"/>
      <w:bookmarkEnd w:id="108"/>
    </w:p>
    <w:p>
      <w:pPr>
        <w:pStyle w:val="Heading1"/>
      </w:pPr>
      <w:bookmarkStart w:id="109" w:name="supplementary-figures-online-only-material"/>
      <w:r>
        <w:t xml:space="preserve">Supplementary Figures (online-only material)</w:t>
      </w:r>
      <w:bookmarkEnd w:id="109"/>
    </w:p>
    <w:p>
      <w:pPr>
        <w:pStyle w:val="FirstParagraph"/>
      </w:pPr>
      <w:r>
        <w:rPr>
          <w:b/>
        </w:rPr>
        <w:t xml:space="preserve">Insect venom anaphylaxis is a seasonal disease.</w:t>
      </w:r>
      <w:r>
        <w:rPr>
          <w:b/>
        </w:rPr>
        <w:t xml:space="preserve"> </w:t>
      </w:r>
    </w:p>
    <w:p>
      <w:pPr>
        <w:pStyle w:val="BodyText"/>
      </w:pPr>
      <w:r>
        <w:t xml:space="preserve">VIA in contrast to other elicitors showed a significant seasonal fluctuation and was most frequently reported from May to October. The proportion of VIA to anaphylaxis cases elicited by other elicitors during the summer seasons reached 60% and was below 1% of cases during winter. Nevertheless, 116 cases of VIA (bee –</w:t>
      </w:r>
      <w:r>
        <w:t xml:space="preserve"> </w:t>
      </w:r>
      <w:r>
        <w:rPr>
          <w:i/>
        </w:rPr>
        <w:t xml:space="preserve">Apis mellifera</w:t>
      </w:r>
      <w:r>
        <w:t xml:space="preserve"> </w:t>
      </w:r>
      <w:r>
        <w:t xml:space="preserve">in spring; yellow jacket –</w:t>
      </w:r>
      <w:r>
        <w:t xml:space="preserve"> </w:t>
      </w:r>
      <w:r>
        <w:rPr>
          <w:i/>
        </w:rPr>
        <w:t xml:space="preserve">Vespula spp.</w:t>
      </w:r>
      <w:r>
        <w:t xml:space="preserve"> </w:t>
      </w:r>
      <w:r>
        <w:t xml:space="preserve">in autumn) were triggered in March, April, and November. Yellow-jacket was the most prominent VIA-causing insect followed by bees. The VIA-causing insects differed in European countries with hornets (</w:t>
      </w:r>
      <w:r>
        <w:rPr>
          <w:i/>
        </w:rPr>
        <w:t xml:space="preserve">Vespa crabro</w:t>
      </w:r>
      <w:r>
        <w:t xml:space="preserve">) being more prominent in southern Europe.</w:t>
      </w:r>
    </w:p>
    <w:p>
      <w:pPr>
        <w:pStyle w:val="CaptionedFigure"/>
      </w:pPr>
      <w:r>
        <w:drawing>
          <wp:inline>
            <wp:extent cx="5943600" cy="3396342"/>
            <wp:effectExtent b="0" l="0" r="0" t="0"/>
            <wp:docPr descr="Figure 6: A: Proportion of anaphylaxis cases elicited by specific insects according to the month in which the reaction occurred. Less common insect species grouped as ‘other’. B: The density distribution of VIA cases to cases elicited by other elicitors considering the patient’s age. C: Geographical differences in the most common elicitors of VIA. Countries which reported less than 10 VIA cases were not illustrated in this figure." title="" id="1" name="Picture"/>
            <a:graphic>
              <a:graphicData uri="http://schemas.openxmlformats.org/drawingml/2006/picture">
                <pic:pic>
                  <pic:nvPicPr>
                    <pic:cNvPr descr="../figures/insectstime-1.png" id="0" name="Picture"/>
                    <pic:cNvPicPr>
                      <a:picLocks noChangeArrowheads="1" noChangeAspect="1"/>
                    </pic:cNvPicPr>
                  </pic:nvPicPr>
                  <pic:blipFill>
                    <a:blip r:embed="rId110"/>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6: A: Proportion of anaphylaxis cases elicited by specific insects according to the month in which the reaction occurred. Less common insect species grouped as</w:t>
      </w:r>
      <w:r>
        <w:t xml:space="preserve"> </w:t>
      </w:r>
      <w:r>
        <w:t xml:space="preserve">‘</w:t>
      </w:r>
      <w:r>
        <w:t xml:space="preserve">other</w:t>
      </w:r>
      <w:r>
        <w:t xml:space="preserve">’</w:t>
      </w:r>
      <w:r>
        <w:t xml:space="preserve">. B: The density distribution of VIA cases to cases elicited by other elicitors considering the patient’s age. C: Geographical differences in the most common elicitors of VIA. Countries which reported less than 10 VIA cases were not illustrated in this figure.</w:t>
      </w:r>
    </w:p>
    <w:p>
      <w:pPr>
        <w:pStyle w:val="Heading5"/>
      </w:pPr>
      <w:bookmarkStart w:id="111" w:name="section-10"/>
      <w:bookmarkEnd w:id="111"/>
    </w:p>
    <w:p>
      <w:pPr>
        <w:pStyle w:val="CaptionedFigure"/>
      </w:pPr>
      <w:r>
        <w:drawing>
          <wp:inline>
            <wp:extent cx="4620126" cy="3696101"/>
            <wp:effectExtent b="0" l="0" r="0" t="0"/>
            <wp:docPr descr="Figure 7: Results of matching the cohort according to sex and age in order to perform a case-controlled study. A: The original distribution of VIA and non-VIA cases according to age group and sex. B: The distribution of VIA and non-VIA after age and sex matching with the use of MatchIt package for R." title="" id="1" name="Picture"/>
            <a:graphic>
              <a:graphicData uri="http://schemas.openxmlformats.org/drawingml/2006/picture">
                <pic:pic>
                  <pic:nvPicPr>
                    <pic:cNvPr descr="../figures/matchingresult-1.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Results of matching the cohort according to sex and age in order to perform a case-controlled study. A: The original distribution of VIA and non-VIA cases according to age group and sex. B: The distribution of VIA and non-VIA after age and sex matching with the use of MatchIt package for R.</w:t>
      </w:r>
    </w:p>
    <w:p>
      <w:pPr>
        <w:pStyle w:val="Heading5"/>
      </w:pPr>
      <w:bookmarkStart w:id="113" w:name="section-11"/>
      <w:bookmarkEnd w:id="113"/>
    </w:p>
    <w:p>
      <w:pPr>
        <w:pStyle w:val="CaptionedFigure"/>
      </w:pPr>
      <w:r>
        <w:drawing>
          <wp:inline>
            <wp:extent cx="5943600" cy="4245428"/>
            <wp:effectExtent b="0" l="0" r="0" t="0"/>
            <wp:docPr descr="Figure 8: Symptoms of anaphylaxis. A: The association between cardiac arrest and concomitant mastocytosis in VIA and non-VIA. B: Hypotension frequency in two age groups of anaphylaxis. C: Crammer’s V as the measure of association between groups anaphylaxis (VIA vs. non-VIA). Higher values indicate stronger association with IVA." title="" id="1" name="Picture"/>
            <a:graphic>
              <a:graphicData uri="http://schemas.openxmlformats.org/drawingml/2006/picture">
                <pic:pic>
                  <pic:nvPicPr>
                    <pic:cNvPr descr="../figures/supplement-1.png" id="0" name="Picture"/>
                    <pic:cNvPicPr>
                      <a:picLocks noChangeArrowheads="1" noChangeAspect="1"/>
                    </pic:cNvPicPr>
                  </pic:nvPicPr>
                  <pic:blipFill>
                    <a:blip r:embed="rId114"/>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8: Symptoms of anaphylaxis. A: The association between cardiac arrest and concomitant mastocytosis in VIA and non-VIA. B: Hypotension frequency in two age groups of anaphylaxis. C: Crammer’s V as the measure of association between groups anaphylaxis (VIA vs. non-VIA). Higher values indicate stronger association with IVA.</w:t>
      </w:r>
    </w:p>
    <w:p>
      <w:pPr>
        <w:pStyle w:val="CaptionedFigure"/>
      </w:pPr>
      <w:r>
        <w:drawing>
          <wp:inline>
            <wp:extent cx="4620126" cy="3696101"/>
            <wp:effectExtent b="0" l="0" r="0" t="0"/>
            <wp:docPr descr="Figure 9: Tryptase levels in patients with concomitant cardiovascular diseases." title="" id="1" name="Picture"/>
            <a:graphic>
              <a:graphicData uri="http://schemas.openxmlformats.org/drawingml/2006/picture">
                <pic:pic>
                  <pic:nvPicPr>
                    <pic:cNvPr descr="../figures/trypcardiocur-1.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 Tryptase levels in patients with concomitant cardiovascular diseases.</w:t>
      </w:r>
    </w:p>
    <w:p>
      <w:pPr>
        <w:pStyle w:val="CaptionedFigure"/>
      </w:pPr>
      <w:r>
        <w:drawing>
          <wp:inline>
            <wp:extent cx="4620126" cy="3696101"/>
            <wp:effectExtent b="0" l="0" r="0" t="0"/>
            <wp:docPr descr="Figure 10: Severity of anaphylaxis in subgroups. The severity of patients with VIA in two age groups (left), according to elicitor type (center) and according to the responsible insect species (right)" title="" id="1" name="Picture"/>
            <a:graphic>
              <a:graphicData uri="http://schemas.openxmlformats.org/drawingml/2006/picture">
                <pic:pic>
                  <pic:nvPicPr>
                    <pic:cNvPr descr="../figures/sev-1.png" id="0"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10: Severity of anaphylaxis in subgroups. The severity of patients with VIA in two age groups (left), according to elicitor type (center) and according to the responsible insect species (right)</w:t>
      </w:r>
    </w:p>
    <w:p>
      <w:pPr>
        <w:pStyle w:val="CaptionedFigure"/>
      </w:pPr>
      <w:r>
        <w:drawing>
          <wp:inline>
            <wp:extent cx="5943600" cy="2932525"/>
            <wp:effectExtent b="0" l="0" r="0" t="0"/>
            <wp:docPr descr="Figure 11: Therapy of anaphylaxis. A: Patients who presented with skin symptoms and VIA less often received epinephrine than if skin symptoms were absent during the reaction. B: Variable importance in the unsupervised classification between VIA and non-VIA using Random Forest classifier." title="" id="1" name="Picture"/>
            <a:graphic>
              <a:graphicData uri="http://schemas.openxmlformats.org/drawingml/2006/picture">
                <pic:pic>
                  <pic:nvPicPr>
                    <pic:cNvPr descr="../figures/rfplot-1.png" id="0" name="Picture"/>
                    <pic:cNvPicPr>
                      <a:picLocks noChangeArrowheads="1" noChangeAspect="1"/>
                    </pic:cNvPicPr>
                  </pic:nvPicPr>
                  <pic:blipFill>
                    <a:blip r:embed="rId117"/>
                    <a:stretch>
                      <a:fillRect/>
                    </a:stretch>
                  </pic:blipFill>
                  <pic:spPr bwMode="auto">
                    <a:xfrm>
                      <a:off x="0" y="0"/>
                      <a:ext cx="5943600" cy="2932525"/>
                    </a:xfrm>
                    <a:prstGeom prst="rect">
                      <a:avLst/>
                    </a:prstGeom>
                    <a:noFill/>
                    <a:ln w="9525">
                      <a:noFill/>
                      <a:headEnd/>
                      <a:tailEnd/>
                    </a:ln>
                  </pic:spPr>
                </pic:pic>
              </a:graphicData>
            </a:graphic>
          </wp:inline>
        </w:drawing>
      </w:r>
    </w:p>
    <w:p>
      <w:pPr>
        <w:pStyle w:val="ImageCaption"/>
      </w:pPr>
      <w:r>
        <w:t xml:space="preserve">Figure 11: Therapy of anaphylaxis. A: Patients who presented with skin symptoms and VIA less often received epinephrine than if skin symptoms were absent during the reaction. B: Variable importance in the unsupervised classification between VIA and non-VIA using Random Forest classifier.</w:t>
      </w:r>
    </w:p>
    <w:p>
      <w:pPr>
        <w:pStyle w:val="Heading5"/>
      </w:pPr>
      <w:bookmarkStart w:id="118" w:name="section-12"/>
      <w:bookmarkEnd w:id="118"/>
    </w:p>
    <w:p>
      <w:pPr>
        <w:pStyle w:val="Compact"/>
      </w:pPr>
      <w:r>
        <w:t xml:space="preserve">Dependent variable:</w:t>
      </w:r>
    </w:p>
    <w:p>
      <w:pPr>
        <w:pStyle w:val="Compact"/>
      </w:pPr>
      <w:r>
        <w:t xml:space="preserve">d_severity_rmr</w:t>
      </w:r>
    </w:p>
    <w:p>
      <w:pPr>
        <w:pStyle w:val="Compact"/>
      </w:pPr>
      <w:r>
        <w:t xml:space="preserve">groupingother</w:t>
      </w:r>
    </w:p>
    <w:p>
      <w:pPr>
        <w:pStyle w:val="Compact"/>
      </w:pPr>
      <w:r>
        <w:t xml:space="preserve">-0.190</w:t>
      </w:r>
      <w:r>
        <w:t xml:space="preserve">**</w:t>
      </w:r>
    </w:p>
    <w:p>
      <w:pPr>
        <w:pStyle w:val="Compact"/>
      </w:pPr>
      <w:r>
        <w:t xml:space="preserve">(0.087)</w:t>
      </w:r>
    </w:p>
    <w:p>
      <w:pPr>
        <w:pStyle w:val="Compact"/>
      </w:pPr>
      <w:r>
        <w:t xml:space="preserve">d_111_urti_flushyes</w:t>
      </w:r>
    </w:p>
    <w:p>
      <w:pPr>
        <w:pStyle w:val="Compact"/>
      </w:pPr>
      <w:r>
        <w:t xml:space="preserve">-0.627</w:t>
      </w:r>
      <w:r>
        <w:t xml:space="preserve">***</w:t>
      </w:r>
    </w:p>
    <w:p>
      <w:pPr>
        <w:pStyle w:val="Compact"/>
      </w:pPr>
      <w:r>
        <w:t xml:space="preserve">(0.074)</w:t>
      </w:r>
    </w:p>
    <w:p>
      <w:pPr>
        <w:pStyle w:val="Compact"/>
      </w:pPr>
      <w:r>
        <w:t xml:space="preserve">groupingother:d_111_urti_flushyes</w:t>
      </w:r>
    </w:p>
    <w:p>
      <w:pPr>
        <w:pStyle w:val="Compact"/>
      </w:pPr>
      <w:r>
        <w:t xml:space="preserve">0.531</w:t>
      </w:r>
      <w:r>
        <w:t xml:space="preserve">***</w:t>
      </w:r>
    </w:p>
    <w:p>
      <w:pPr>
        <w:pStyle w:val="Compact"/>
      </w:pPr>
      <w:r>
        <w:t xml:space="preserve">(0.105)</w:t>
      </w:r>
    </w:p>
    <w:p>
      <w:pPr>
        <w:pStyle w:val="Compact"/>
      </w:pPr>
      <w:r>
        <w:t xml:space="preserve">Constant</w:t>
      </w:r>
    </w:p>
    <w:p>
      <w:pPr>
        <w:pStyle w:val="Compact"/>
      </w:pPr>
      <w:r>
        <w:t xml:space="preserve">0.123</w:t>
      </w:r>
      <w:r>
        <w:t xml:space="preserve">**</w:t>
      </w:r>
    </w:p>
    <w:p>
      <w:pPr>
        <w:pStyle w:val="Compact"/>
      </w:pPr>
      <w:r>
        <w:t xml:space="preserve">(0.060)</w:t>
      </w:r>
    </w:p>
    <w:p>
      <w:pPr>
        <w:pStyle w:val="Compact"/>
      </w:pPr>
      <w:r>
        <w:t xml:space="preserve">Observations</w:t>
      </w:r>
    </w:p>
    <w:p>
      <w:pPr>
        <w:pStyle w:val="Compact"/>
      </w:pPr>
      <w:r>
        <w:t xml:space="preserve">6,888</w:t>
      </w:r>
    </w:p>
    <w:p>
      <w:pPr>
        <w:pStyle w:val="Compact"/>
      </w:pPr>
      <w:r>
        <w:t xml:space="preserve">Log Likelihood</w:t>
      </w:r>
    </w:p>
    <w:p>
      <w:pPr>
        <w:pStyle w:val="Compact"/>
      </w:pPr>
      <w:r>
        <w:t xml:space="preserve">-4,691.591</w:t>
      </w:r>
    </w:p>
    <w:p>
      <w:pPr>
        <w:pStyle w:val="Compact"/>
      </w:pPr>
      <w:r>
        <w:t xml:space="preserve">Akaike Inf. Crit.</w:t>
      </w:r>
    </w:p>
    <w:p>
      <w:pPr>
        <w:pStyle w:val="Compact"/>
      </w:pPr>
      <w:r>
        <w:t xml:space="preserve">9,391.182</w:t>
      </w:r>
    </w:p>
    <w:p>
      <w:pPr>
        <w:pStyle w:val="Compact"/>
      </w:pPr>
      <w:r>
        <w:t xml:space="preserve">Note:</w:t>
      </w:r>
    </w:p>
    <w:p>
      <w:pPr>
        <w:pStyle w:val="Compact"/>
      </w:pPr>
      <w:r>
        <w:rPr>
          <w:i/>
        </w:rPr>
        <w:t xml:space="preserve">p&lt;0.1;</w:t>
      </w:r>
      <w:r>
        <w:rPr>
          <w:i/>
        </w:rPr>
        <w:t xml:space="preserve"> </w:t>
      </w:r>
      <w:r>
        <w:rPr>
          <w:b/>
          <w:i/>
        </w:rPr>
        <w:t xml:space="preserve">p&lt;0.05;</w:t>
      </w:r>
      <w:r>
        <w:rPr>
          <w:b/>
          <w:i/>
        </w:rPr>
        <w:t xml:space="preserve"> </w:t>
      </w:r>
      <w:r>
        <w:t xml:space="preserve">p&lt;0.01</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7" Target="media/rId107.png" /><Relationship Type="http://schemas.openxmlformats.org/officeDocument/2006/relationships/image" Id="rId105" Target="media/rId105.png" /><Relationship Type="http://schemas.openxmlformats.org/officeDocument/2006/relationships/image" Id="rId103" Target="media/rId103.png" /><Relationship Type="http://schemas.openxmlformats.org/officeDocument/2006/relationships/image" Id="rId101" Target="media/rId101.png" /><Relationship Type="http://schemas.openxmlformats.org/officeDocument/2006/relationships/image" Id="rId99" Target="media/rId99.png" /><Relationship Type="http://schemas.openxmlformats.org/officeDocument/2006/relationships/image" Id="rId110" Target="media/rId110.png" /><Relationship Type="http://schemas.openxmlformats.org/officeDocument/2006/relationships/image" Id="rId112" Target="media/rId112.png" /><Relationship Type="http://schemas.openxmlformats.org/officeDocument/2006/relationships/image" Id="rId117" Target="media/rId117.png" /><Relationship Type="http://schemas.openxmlformats.org/officeDocument/2006/relationships/image" Id="rId116" Target="media/rId116.png" /><Relationship Type="http://schemas.openxmlformats.org/officeDocument/2006/relationships/image" Id="rId114" Target="media/rId114.png" /><Relationship Type="http://schemas.openxmlformats.org/officeDocument/2006/relationships/image" Id="rId115" Target="media/rId115.png" /><Relationship Type="http://schemas.openxmlformats.org/officeDocument/2006/relationships/hyperlink" Id="rId74" Target="http://cdt.amegroups.com/article/view/1609" TargetMode="External" /><Relationship Type="http://schemas.openxmlformats.org/officeDocument/2006/relationships/hyperlink" Id="rId61" Target="http://www.jstatsoft.org/v42/i08/" TargetMode="External" /><Relationship Type="http://schemas.openxmlformats.org/officeDocument/2006/relationships/hyperlink" Id="rId66" Target="https://CRAN.R-project.org/doc/Rnews/" TargetMode="External" /><Relationship Type="http://schemas.openxmlformats.org/officeDocument/2006/relationships/hyperlink" Id="rId58" Target="https://doi.org/10.1016/j.annemergmed.2006.01.018" TargetMode="External" /><Relationship Type="http://schemas.openxmlformats.org/officeDocument/2006/relationships/hyperlink" Id="rId53" Target="https://doi.org/10.1016/j.jaci.2009.08.027" TargetMode="External" /><Relationship Type="http://schemas.openxmlformats.org/officeDocument/2006/relationships/hyperlink" Id="rId81" Target="https://doi.org/10.1016/j.jaci.2014.11.035" TargetMode="External" /><Relationship Type="http://schemas.openxmlformats.org/officeDocument/2006/relationships/hyperlink" Id="rId56" Target="https://doi.org/10.1016/j.jaci.2015.11.015" TargetMode="External" /><Relationship Type="http://schemas.openxmlformats.org/officeDocument/2006/relationships/hyperlink" Id="rId85" Target="https://doi.org/10.1038/modpathol.2015.72" TargetMode="External" /><Relationship Type="http://schemas.openxmlformats.org/officeDocument/2006/relationships/hyperlink" Id="rId94" Target="https://doi.org/10.1071/zo9920495" TargetMode="External" /><Relationship Type="http://schemas.openxmlformats.org/officeDocument/2006/relationships/hyperlink" Id="rId70" Target="https://doi.org/10.1093/bioinformatics/btx657" TargetMode="External" /><Relationship Type="http://schemas.openxmlformats.org/officeDocument/2006/relationships/hyperlink" Id="rId43" Target="https://doi.org/10.1097/aci.0b013e32830638c5" TargetMode="External" /><Relationship Type="http://schemas.openxmlformats.org/officeDocument/2006/relationships/hyperlink" Id="rId72" Target="https://doi.org/10.1097/aci.0b013e32833b280c" TargetMode="External" /><Relationship Type="http://schemas.openxmlformats.org/officeDocument/2006/relationships/hyperlink" Id="rId91" Target="https://doi.org/10.1111/all.12437" TargetMode="External" /><Relationship Type="http://schemas.openxmlformats.org/officeDocument/2006/relationships/hyperlink" Id="rId49" Target="https://doi.org/10.1111/all.13132" TargetMode="External" /><Relationship Type="http://schemas.openxmlformats.org/officeDocument/2006/relationships/hyperlink" Id="rId45" Target="https://doi.org/10.1111/all.13262" TargetMode="External" /><Relationship Type="http://schemas.openxmlformats.org/officeDocument/2006/relationships/hyperlink" Id="rId63" Target="https://doi.org/10.1111/all.13380" TargetMode="External" /><Relationship Type="http://schemas.openxmlformats.org/officeDocument/2006/relationships/hyperlink" Id="rId87" Target="https://doi.org/10.1136/adc.2004.069914" TargetMode="External" /><Relationship Type="http://schemas.openxmlformats.org/officeDocument/2006/relationships/hyperlink" Id="rId79" Target="https://doi.org/10.1159/000501079" TargetMode="External" /><Relationship Type="http://schemas.openxmlformats.org/officeDocument/2006/relationships/hyperlink" Id="rId68" Target="https://doi.org/10.1186/1471-2105-8-25" TargetMode="External" /><Relationship Type="http://schemas.openxmlformats.org/officeDocument/2006/relationships/hyperlink" Id="rId47" Target="https://doi.org/10.2147/jaa.s159411" TargetMode="External" /><Relationship Type="http://schemas.openxmlformats.org/officeDocument/2006/relationships/hyperlink" Id="rId83" Target="https://doi.org/10.3389/fimmu.2019.00750" TargetMode="External" /><Relationship Type="http://schemas.openxmlformats.org/officeDocument/2006/relationships/hyperlink" Id="rId77" Target="https://doi.org/10.4103/2249-4863.201165" TargetMode="External" /><Relationship Type="http://schemas.openxmlformats.org/officeDocument/2006/relationships/hyperlink" Id="rId89" Target="https://doi.org/10.4168/aair.2019.11.1.4" TargetMode="External" /><Relationship Type="http://schemas.openxmlformats.org/officeDocument/2006/relationships/hyperlink" Id="rId51" Target="https://doi.org/https://doi.org/10.1016/0091-6749(89)90387-4" TargetMode="External" /><Relationship Type="http://schemas.openxmlformats.org/officeDocument/2006/relationships/hyperlink" Id="rId28" Target="https://github.com/wolass/venomanaphylaxiscompendium" TargetMode="External" /><Relationship Type="http://schemas.openxmlformats.org/officeDocument/2006/relationships/hyperlink" Id="rId20"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74" Target="http://cdt.amegroups.com/article/view/1609" TargetMode="External" /><Relationship Type="http://schemas.openxmlformats.org/officeDocument/2006/relationships/hyperlink" Id="rId61" Target="http://www.jstatsoft.org/v42/i08/" TargetMode="External" /><Relationship Type="http://schemas.openxmlformats.org/officeDocument/2006/relationships/hyperlink" Id="rId66" Target="https://CRAN.R-project.org/doc/Rnews/" TargetMode="External" /><Relationship Type="http://schemas.openxmlformats.org/officeDocument/2006/relationships/hyperlink" Id="rId58" Target="https://doi.org/10.1016/j.annemergmed.2006.01.018" TargetMode="External" /><Relationship Type="http://schemas.openxmlformats.org/officeDocument/2006/relationships/hyperlink" Id="rId53" Target="https://doi.org/10.1016/j.jaci.2009.08.027" TargetMode="External" /><Relationship Type="http://schemas.openxmlformats.org/officeDocument/2006/relationships/hyperlink" Id="rId81" Target="https://doi.org/10.1016/j.jaci.2014.11.035" TargetMode="External" /><Relationship Type="http://schemas.openxmlformats.org/officeDocument/2006/relationships/hyperlink" Id="rId56" Target="https://doi.org/10.1016/j.jaci.2015.11.015" TargetMode="External" /><Relationship Type="http://schemas.openxmlformats.org/officeDocument/2006/relationships/hyperlink" Id="rId85" Target="https://doi.org/10.1038/modpathol.2015.72" TargetMode="External" /><Relationship Type="http://schemas.openxmlformats.org/officeDocument/2006/relationships/hyperlink" Id="rId94" Target="https://doi.org/10.1071/zo9920495" TargetMode="External" /><Relationship Type="http://schemas.openxmlformats.org/officeDocument/2006/relationships/hyperlink" Id="rId70" Target="https://doi.org/10.1093/bioinformatics/btx657" TargetMode="External" /><Relationship Type="http://schemas.openxmlformats.org/officeDocument/2006/relationships/hyperlink" Id="rId43" Target="https://doi.org/10.1097/aci.0b013e32830638c5" TargetMode="External" /><Relationship Type="http://schemas.openxmlformats.org/officeDocument/2006/relationships/hyperlink" Id="rId72" Target="https://doi.org/10.1097/aci.0b013e32833b280c" TargetMode="External" /><Relationship Type="http://schemas.openxmlformats.org/officeDocument/2006/relationships/hyperlink" Id="rId91" Target="https://doi.org/10.1111/all.12437" TargetMode="External" /><Relationship Type="http://schemas.openxmlformats.org/officeDocument/2006/relationships/hyperlink" Id="rId49" Target="https://doi.org/10.1111/all.13132" TargetMode="External" /><Relationship Type="http://schemas.openxmlformats.org/officeDocument/2006/relationships/hyperlink" Id="rId45" Target="https://doi.org/10.1111/all.13262" TargetMode="External" /><Relationship Type="http://schemas.openxmlformats.org/officeDocument/2006/relationships/hyperlink" Id="rId63" Target="https://doi.org/10.1111/all.13380" TargetMode="External" /><Relationship Type="http://schemas.openxmlformats.org/officeDocument/2006/relationships/hyperlink" Id="rId87" Target="https://doi.org/10.1136/adc.2004.069914" TargetMode="External" /><Relationship Type="http://schemas.openxmlformats.org/officeDocument/2006/relationships/hyperlink" Id="rId79" Target="https://doi.org/10.1159/000501079" TargetMode="External" /><Relationship Type="http://schemas.openxmlformats.org/officeDocument/2006/relationships/hyperlink" Id="rId68" Target="https://doi.org/10.1186/1471-2105-8-25" TargetMode="External" /><Relationship Type="http://schemas.openxmlformats.org/officeDocument/2006/relationships/hyperlink" Id="rId47" Target="https://doi.org/10.2147/jaa.s159411" TargetMode="External" /><Relationship Type="http://schemas.openxmlformats.org/officeDocument/2006/relationships/hyperlink" Id="rId83" Target="https://doi.org/10.3389/fimmu.2019.00750" TargetMode="External" /><Relationship Type="http://schemas.openxmlformats.org/officeDocument/2006/relationships/hyperlink" Id="rId77" Target="https://doi.org/10.4103/2249-4863.201165" TargetMode="External" /><Relationship Type="http://schemas.openxmlformats.org/officeDocument/2006/relationships/hyperlink" Id="rId89" Target="https://doi.org/10.4168/aair.2019.11.1.4" TargetMode="External" /><Relationship Type="http://schemas.openxmlformats.org/officeDocument/2006/relationships/hyperlink" Id="rId51" Target="https://doi.org/https://doi.org/10.1016/0091-6749(89)90387-4" TargetMode="External" /><Relationship Type="http://schemas.openxmlformats.org/officeDocument/2006/relationships/hyperlink" Id="rId28" Target="https://github.com/wolass/venomanaphylaxiscompendium" TargetMode="External" /><Relationship Type="http://schemas.openxmlformats.org/officeDocument/2006/relationships/hyperlink" Id="rId20"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Phenotype and risk factors of venom-induced anaphylaxis: a case - control study of the European Anaphylaxis Registry</dc:title>
  <dc:creator/>
  <cp:keywords/>
  <dcterms:created xsi:type="dcterms:W3CDTF">2019-12-19T16:14:47Z</dcterms:created>
  <dcterms:modified xsi:type="dcterms:W3CDTF">2019-12-19T16:14:47Z</dcterms:modified>
</cp:coreProperties>
</file>