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97.png" ContentType="image/png"/>
  <Override PartName="/word/media/rId95.png" ContentType="image/png"/>
  <Override PartName="/word/media/rId93.png" ContentType="image/png"/>
  <Override PartName="/word/media/rId91.png" ContentType="image/png"/>
  <Override PartName="/word/media/rId102.png" ContentType="image/png"/>
  <Override PartName="/word/media/rId104.png" ContentType="image/png"/>
  <Override PartName="/word/media/rId109.png" ContentType="image/png"/>
  <Override PartName="/word/media/rId108.png" ContentType="image/png"/>
  <Override PartName="/word/media/rId106.png" ContentType="image/pn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w:t>
      </w:r>
      <w:r>
        <w:t xml:space="preserve"> </w:t>
      </w:r>
      <w:r>
        <w:t xml:space="preserve">induced</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Date"/>
      </w:pPr>
      <w:r>
        <w:t xml:space="preserve">11</w:t>
      </w:r>
      <w:r>
        <w:t xml:space="preserve"> </w:t>
      </w:r>
      <w:r>
        <w:t xml:space="preserve">Dezember,</w:t>
      </w:r>
      <w:r>
        <w:t xml:space="preserve"> </w:t>
      </w:r>
      <w:r>
        <w:t xml:space="preserve">2019</w:t>
      </w:r>
    </w:p>
    <w:p>
      <w:pPr>
        <w:pStyle w:val="FirstParagraph"/>
      </w:pPr>
      <w:r>
        <w:t xml:space="preserve">Wojciech Francuzik</w:t>
      </w:r>
      <w:r>
        <w:rPr>
          <w:vertAlign w:val="superscript"/>
        </w:rPr>
        <w:t xml:space="preserve">1</w:t>
      </w:r>
      <w:r>
        <w:t xml:space="preserve">,</w:t>
      </w:r>
      <w:r>
        <w:t xml:space="preserve"> </w:t>
      </w:r>
      <w:r>
        <w:t xml:space="preserve">Franziska Ruëff</w:t>
      </w:r>
      <w:r>
        <w:rPr>
          <w:vertAlign w:val="superscript"/>
        </w:rPr>
        <w:t xml:space="preserve">2</w:t>
      </w:r>
      <w:r>
        <w:t xml:space="preserve">,</w:t>
      </w:r>
      <w:r>
        <w:t xml:space="preserve"> </w:t>
      </w:r>
      <w:r>
        <w:t xml:space="preserve">Andrea Bauer</w:t>
      </w:r>
      <w:r>
        <w:rPr>
          <w:vertAlign w:val="superscript"/>
        </w:rPr>
        <w:t xml:space="preserve">3</w:t>
      </w:r>
      <w:r>
        <w:t xml:space="preserve">,.</w:t>
      </w:r>
      <w:r>
        <w:t xml:space="preserve"> </w:t>
      </w:r>
      <w:r>
        <w:t xml:space="preserve">Maria Beatrice Bilò</w:t>
      </w:r>
      <w:r>
        <w:t xml:space="preserve"> </w:t>
      </w:r>
      <w:r>
        <w:rPr>
          <w:vertAlign w:val="superscript"/>
        </w:rPr>
        <w:t xml:space="preserve">4,5</w:t>
      </w:r>
      <w:r>
        <w:t xml:space="preserve">,</w:t>
      </w:r>
      <w:r>
        <w:t xml:space="preserve"> </w:t>
      </w:r>
      <w:r>
        <w:t xml:space="preserve">Victoria Cardona</w:t>
      </w:r>
      <w:r>
        <w:rPr>
          <w:vertAlign w:val="superscript"/>
        </w:rPr>
        <w:t xml:space="preserve">6</w:t>
      </w:r>
      <w:r>
        <w:t xml:space="preserve">,</w:t>
      </w:r>
      <w:r>
        <w:t xml:space="preserve"> </w:t>
      </w:r>
      <w:r>
        <w:t xml:space="preserve">George Christoff</w:t>
      </w:r>
      <w:r>
        <w:rPr>
          <w:vertAlign w:val="superscript"/>
        </w:rPr>
        <w:t xml:space="preserve">7</w:t>
      </w:r>
      <w:r>
        <w:t xml:space="preserve">,</w:t>
      </w:r>
      <w:r>
        <w:t xml:space="preserve"> </w:t>
      </w:r>
      <w:r>
        <w:t xml:space="preserve">Sabine Dölle-Bierke</w:t>
      </w:r>
      <w:r>
        <w:rPr>
          <w:vertAlign w:val="superscript"/>
        </w:rPr>
        <w:t xml:space="preserve">8</w:t>
      </w:r>
      <w:r>
        <w:t xml:space="preserve">,</w:t>
      </w:r>
      <w:r>
        <w:t xml:space="preserve"> </w:t>
      </w:r>
      <w:r>
        <w:t xml:space="preserve">Luis Ensina</w:t>
      </w:r>
      <w:r>
        <w:rPr>
          <w:vertAlign w:val="superscript"/>
        </w:rPr>
        <w:t xml:space="preserve">9</w:t>
      </w:r>
      <w:r>
        <w:t xml:space="preserve">,</w:t>
      </w:r>
      <w:r>
        <w:t xml:space="preserve"> </w:t>
      </w:r>
      <w:r>
        <w:t xml:space="preserve">Montserat Fernandes-Rivas</w:t>
      </w:r>
      <w:r>
        <w:rPr>
          <w:vertAlign w:val="superscript"/>
        </w:rPr>
        <w:t xml:space="preserve">7,11</w:t>
      </w:r>
      <w:r>
        <w:t xml:space="preserve">,</w:t>
      </w:r>
      <w:r>
        <w:t xml:space="preserve"> </w:t>
      </w:r>
      <w:r>
        <w:t xml:space="preserve">Thomas Hawranek</w:t>
      </w:r>
      <w:r>
        <w:rPr>
          <w:vertAlign w:val="superscript"/>
        </w:rPr>
        <w:t xml:space="preserve">12</w:t>
      </w:r>
      <w:r>
        <w:t xml:space="preserve">,</w:t>
      </w:r>
      <w:r>
        <w:t xml:space="preserve"> </w:t>
      </w:r>
      <w:r>
        <w:t xml:space="preserve">Johnathan O’B Hourihane</w:t>
      </w:r>
      <w:r>
        <w:rPr>
          <w:vertAlign w:val="superscript"/>
        </w:rPr>
        <w:t xml:space="preserve">13</w:t>
      </w:r>
      <w:r>
        <w:t xml:space="preserve">,</w:t>
      </w:r>
      <w:r>
        <w:t xml:space="preserve"> </w:t>
      </w:r>
      <w:r>
        <w:t xml:space="preserve">Tilo Jakob</w:t>
      </w:r>
      <w:r>
        <w:rPr>
          <w:vertAlign w:val="superscript"/>
        </w:rPr>
        <w:t xml:space="preserve">14,15</w:t>
      </w:r>
      <w:r>
        <w:t xml:space="preserve">,</w:t>
      </w:r>
      <w:r>
        <w:t xml:space="preserve"> </w:t>
      </w:r>
      <w:r>
        <w:t xml:space="preserve">Nicos G. Papadopoulus</w:t>
      </w:r>
      <w:r>
        <w:rPr>
          <w:vertAlign w:val="superscript"/>
        </w:rPr>
        <w:t xml:space="preserve">16,17</w:t>
      </w:r>
      <w:r>
        <w:t xml:space="preserve">,</w:t>
      </w:r>
      <w:r>
        <w:t xml:space="preserve"> </w:t>
      </w:r>
      <w:r>
        <w:t xml:space="preserve">Claudia Pföhler</w:t>
      </w:r>
      <w:r>
        <w:rPr>
          <w:vertAlign w:val="superscript"/>
        </w:rPr>
        <w:t xml:space="preserve">18</w:t>
      </w:r>
      <w:r>
        <w:t xml:space="preserve">,</w:t>
      </w:r>
      <w:r>
        <w:t xml:space="preserve"> </w:t>
      </w:r>
      <w:r>
        <w:t xml:space="preserve">Iwona Poziomkowska-Gęsicka</w:t>
      </w:r>
      <w:r>
        <w:rPr>
          <w:vertAlign w:val="superscript"/>
        </w:rPr>
        <w:t xml:space="preserve">19</w:t>
      </w:r>
      <w:r>
        <w:t xml:space="preserve">,</w:t>
      </w:r>
      <w:r>
        <w:t xml:space="preserve"> </w:t>
      </w:r>
      <w:r>
        <w:t xml:space="preserve">Xavier Van der Brempt</w:t>
      </w:r>
      <w:r>
        <w:rPr>
          <w:vertAlign w:val="superscript"/>
        </w:rPr>
        <w:t xml:space="preserve">20</w:t>
      </w:r>
      <w:r>
        <w:t xml:space="preserve">,</w:t>
      </w:r>
      <w:r>
        <w:t xml:space="preserve"> </w:t>
      </w:r>
      <w:r>
        <w:t xml:space="preserve">Kathrin Scherer Hofmeier</w:t>
      </w:r>
      <w:r>
        <w:rPr>
          <w:vertAlign w:val="superscript"/>
        </w:rPr>
        <w:t xml:space="preserve">21</w:t>
      </w:r>
      <w:r>
        <w:t xml:space="preserve">,</w:t>
      </w:r>
      <w:r>
        <w:t xml:space="preserve"> </w:t>
      </w:r>
      <w:r>
        <w:t xml:space="preserve">Regina Treudler</w:t>
      </w:r>
      <w:r>
        <w:rPr>
          <w:vertAlign w:val="superscript"/>
        </w:rPr>
        <w:t xml:space="preserve">22</w:t>
      </w:r>
      <w:r>
        <w:t xml:space="preserve">,</w:t>
      </w:r>
      <w:r>
        <w:t xml:space="preserve"> </w:t>
      </w:r>
      <w:r>
        <w:t xml:space="preserve">Nicola Wagner</w:t>
      </w:r>
      <w:r>
        <w:rPr>
          <w:vertAlign w:val="superscript"/>
        </w:rPr>
        <w:t xml:space="preserve">23</w:t>
      </w:r>
      <w:r>
        <w:t xml:space="preserve">,</w:t>
      </w:r>
      <w:r>
        <w:t xml:space="preserve"> </w:t>
      </w:r>
      <w:r>
        <w:t xml:space="preserve">Bettina Wedi</w:t>
      </w:r>
      <w:r>
        <w:rPr>
          <w:vertAlign w:val="superscript"/>
        </w:rPr>
        <w:t xml:space="preserve">24</w:t>
      </w:r>
      <w:r>
        <w:t xml:space="preserve">,</w:t>
      </w:r>
      <w:r>
        <w:t xml:space="preserve"> </w:t>
      </w:r>
      <w:r>
        <w:t xml:space="preserve">Margitta Worm</w:t>
      </w:r>
      <w:r>
        <w:rPr>
          <w:vertAlign w:val="superscript"/>
        </w:rPr>
        <w:t xml:space="preserve">1</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w:t>
      </w:r>
    </w:p>
    <w:p>
      <w:pPr>
        <w:pStyle w:val="BodyText"/>
      </w:pPr>
      <w:r>
        <w:rPr>
          <w:b/>
        </w:rPr>
        <w:t xml:space="preserve">List of abbreviations:</w:t>
      </w:r>
      <w:r>
        <w:t xml:space="preserve"> </w:t>
      </w:r>
      <w:r>
        <w:t xml:space="preserve">- VIA - Venom induced anaphylaxis</w:t>
      </w:r>
      <w:r>
        <w:t xml:space="preserve"> </w:t>
      </w:r>
      <w:r>
        <w:t xml:space="preserve">- BST - Baseline Serum Tryptase</w:t>
      </w:r>
    </w:p>
    <w:p>
      <w:pPr>
        <w:pStyle w:val="Heading1"/>
      </w:pPr>
      <w:bookmarkStart w:id="21" w:name="abstract"/>
      <w:r>
        <w:t xml:space="preserve">Abstract</w:t>
      </w:r>
      <w:bookmarkEnd w:id="21"/>
    </w:p>
    <w:p>
      <w:pPr>
        <w:pStyle w:val="FirstParagraph"/>
      </w:pPr>
      <w:r>
        <w:rPr>
          <w:b/>
        </w:rPr>
        <w:t xml:space="preserve">Introduction:</w:t>
      </w:r>
      <w:r>
        <w:t xml:space="preserve"> </w:t>
      </w:r>
      <w:r>
        <w:t xml:space="preserve">Venom induced anaphylaxis (VIA) is a common, potentially life-threatening hypersensitivity reaction associated with specific: 1) symptom profile, 2) cofactors, and 3) management. Identifying the differences in phenotypes of anaphylaxis is crucial for future management guidelines and the development of a personalized medicine approach.</w:t>
      </w:r>
    </w:p>
    <w:p>
      <w:pPr>
        <w:pStyle w:val="BodyText"/>
      </w:pPr>
      <w:r>
        <w:rPr>
          <w:b/>
        </w:rPr>
        <w:t xml:space="preserve">Aim:</w:t>
      </w:r>
      <w:r>
        <w:t xml:space="preserve"> </w:t>
      </w:r>
      <w:r>
        <w:t xml:space="preserve">This study aimed to evaluate the phenotype and risk factors of venom induced anaphylaxis in comparison to other elicitors of anaphylaxis.</w:t>
      </w:r>
    </w:p>
    <w:p>
      <w:pPr>
        <w:pStyle w:val="BodyText"/>
      </w:pPr>
      <w:r>
        <w:rPr>
          <w:b/>
        </w:rPr>
        <w:t xml:space="preserve">Methods:</w:t>
      </w:r>
      <w:r>
        <w:t xml:space="preserve"> </w:t>
      </w:r>
      <w:r>
        <w:t xml:space="preserve">Using data from the European Anaphylaxis Registry (12874 cases) we identified 3612 with VIA and analyzed these in comparison to sex-and-age-matched anaphylaxis cases triggered by other elicitors (non-VIA n = 3604).</w:t>
      </w:r>
    </w:p>
    <w:p>
      <w:pPr>
        <w:pStyle w:val="BodyText"/>
      </w:pPr>
      <w:r>
        <w:rPr>
          <w:b/>
        </w:rPr>
        <w:t xml:space="preserve">Results:</w:t>
      </w:r>
      <w:r>
        <w:t xml:space="preserve"> </w:t>
      </w:r>
      <w:r>
        <w:t xml:space="preserve">Venom induced anaphylaxis (VIA) more frequently involved more than three organ systems and was associated with cardiovascular symptoms. The absence of skin symptoms during anaphylaxis correlated with baseline serum tryptase (BST) and was associated with an increased risk of a severe reaction. Intramuscular or intravenous adrenaline was administered significantly less often in VIA, in particular in patients without prior history of anaphylaxis. Baseline serum tryptase within upper normal range (8-11.5 ng-ml) was more frequently associated with severe anaphylaxis.</w:t>
      </w:r>
    </w:p>
    <w:p>
      <w:pPr>
        <w:pStyle w:val="BodyText"/>
      </w:pPr>
      <w:r>
        <w:rPr>
          <w:b/>
        </w:rPr>
        <w:t xml:space="preserve">Conclusions:</w:t>
      </w:r>
      <w:r>
        <w:t xml:space="preserve"> </w:t>
      </w:r>
      <w:r>
        <w:t xml:space="preserve">Regarding the fact that VIA frequently affects the cardiovascular system, VIA patients were undertreated with adrenaline. The lack of skin symptoms (i.e. urticaria or flushing) during anaphylaxis and BST levels within upper normal limits were associated with severe reactions.</w:t>
      </w:r>
    </w:p>
    <w:p>
      <w:pPr>
        <w:pStyle w:val="Heading1"/>
      </w:pPr>
      <w:bookmarkStart w:id="22" w:name="introduction"/>
      <w:r>
        <w:t xml:space="preserve">Introduction</w:t>
      </w:r>
      <w:bookmarkEnd w:id="22"/>
    </w:p>
    <w:p>
      <w:pPr>
        <w:pStyle w:val="FirstParagraph"/>
      </w:pPr>
      <w:r>
        <w:t xml:space="preserve">Hypersensitivity to insect venom presents as a systemic reaction (anaphylaxis) in up to 0.3–7.5% of the adult population</w:t>
      </w:r>
      <w:r>
        <w:t xml:space="preserve"> </w:t>
      </w:r>
      <w:r>
        <w:t xml:space="preserve">[1]</w:t>
      </w:r>
      <w:r>
        <w:t xml:space="preserve">. Venom induced anaphylaxis (VIA) can be fatal, and patients sometimes require lifelong specific immunotherapy</w:t>
      </w:r>
      <w:r>
        <w:t xml:space="preserve"> </w:t>
      </w:r>
      <w:r>
        <w:t xml:space="preserve">[2]</w:t>
      </w:r>
      <w:r>
        <w:t xml:space="preserve">. There is a need for a more precise identification of biomarkers, and better definition of phenotypes of anaphylaxis</w:t>
      </w:r>
      <w:r>
        <w:t xml:space="preserve"> </w:t>
      </w:r>
      <w:r>
        <w:t xml:space="preserve">[3]</w:t>
      </w:r>
      <w:r>
        <w:t xml:space="preserve">. Also, in order to facilitate a precision-medicine approach</w:t>
      </w:r>
      <w:r>
        <w:t xml:space="preserve"> </w:t>
      </w:r>
      <w: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 factors and clinical presentations. Symptom profiles and specific cofactors for venom-induced anaphylaxis (VIA) had previously been analyzed in an uncontrolled manner albeit relatively small cohorts</w:t>
      </w:r>
      <w:r>
        <w:t xml:space="preserve"> </w:t>
      </w:r>
      <w:r>
        <w:t xml:space="preserve">[5–7]</w:t>
      </w:r>
      <w:r>
        <w:t xml:space="preserve">.</w:t>
      </w:r>
    </w:p>
    <w:p>
      <w:pPr>
        <w:pStyle w:val="BodyText"/>
      </w:pPr>
      <w:r>
        <w:t xml:space="preserve">Controlled clinical trials in anaphylaxis are hardly possible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3" w:name="methods"/>
      <w:r>
        <w:t xml:space="preserve">Methods</w:t>
      </w:r>
      <w:bookmarkEnd w:id="23"/>
    </w:p>
    <w:p>
      <w:pPr>
        <w:pStyle w:val="FirstParagraph"/>
      </w:pPr>
      <w:r>
        <w:t xml:space="preserve">We searched the European Anaphylaxis Registry</w:t>
      </w:r>
      <w:r>
        <w:t xml:space="preserve"> </w:t>
      </w:r>
      <w:r>
        <w:t xml:space="preserve">[8]</w:t>
      </w:r>
      <w:r>
        <w:t xml:space="preserve"> </w:t>
      </w:r>
      <w:r>
        <w:t xml:space="preserve">(status from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t xml:space="preserve"> </w:t>
      </w:r>
      <w:r>
        <w:t xml:space="preserve">[9]</w:t>
      </w:r>
      <w:r>
        <w:t xml:space="preserve"> </w:t>
      </w:r>
      <w:r>
        <w:t xml:space="preserve">and the severity according to the Ring and Messmer Scale</w:t>
      </w:r>
      <w:r>
        <w:t xml:space="preserve"> </w:t>
      </w:r>
      <w:r>
        <w:t xml:space="preserve">[10]</w:t>
      </w:r>
      <w:r>
        <w:t xml:space="preserve">. Grades III and IV (presenting with significant hypoxia, hypotension, confusion, and loss of consciousness, or incontinence or cardiac arrest) were considered severe. Mastocytosis patients were defined as having a documented diagnosis of mastocytosis prior to the reaction. The Registry is designed for reporting cases of moderate to severe anaphylaxis (Ring and Messmer grades II - IV).</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[11]</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[12]</w:t>
      </w:r>
      <w:r>
        <w:t xml:space="preserve">, and management in both groups.</w:t>
      </w:r>
    </w:p>
    <w:p>
      <w:pPr>
        <w:pStyle w:val="BodyText"/>
      </w:pPr>
      <w:r>
        <w:t xml:space="preserve">Based on the severity and symptom profile, and previous reports</w:t>
      </w:r>
      <w:r>
        <w:t xml:space="preserve"> </w:t>
      </w:r>
      <w:r>
        <w:t xml:space="preserve">[6]</w:t>
      </w:r>
      <w:r>
        <w:t xml:space="preserve"> </w:t>
      </w:r>
      <w:r>
        <w:t xml:space="preserve">we defined sub-elevated baseline serum tryptase (BST) values as 8 - 11.5 ng/ml (Fig.</w:t>
      </w:r>
      <w:r>
        <w:t xml:space="preserve"> </w:t>
      </w:r>
      <w:r>
        <w:t xml:space="preserve">4</w:t>
      </w:r>
      <w:r>
        <w:t xml:space="preserve">B).</w:t>
      </w:r>
    </w:p>
    <w:p>
      <w:pPr>
        <w:pStyle w:val="BodyText"/>
      </w:pPr>
      <w:r>
        <w:t xml:space="preserve">We used the R Statistical Package</w:t>
      </w:r>
      <w:r>
        <w:t xml:space="preserve"> </w:t>
      </w:r>
      <w:r>
        <w:t xml:space="preserve">[13]</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observations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4">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[14]</w:t>
      </w:r>
      <w:r>
        <w:t xml:space="preserve">) in order to find therapeutic approaches that varied the most between VIA / non-VIA group and presented the results as Gini importance</w:t>
      </w:r>
      <w:r>
        <w:t xml:space="preserve"> </w:t>
      </w:r>
      <w:r>
        <w:t xml:space="preserve">[15]</w:t>
      </w:r>
      <w:r>
        <w:t xml:space="preserve">. Moreover, an association analysis of therapeutic interventions and symptoms was performed. The resulting phi values were scaled and presented in a heatmap with automatic clustering using Ward’s Agglomerative Hierarchical Clustering with Euclidean distances</w:t>
      </w:r>
      <w:r>
        <w:t xml:space="preserve"> </w:t>
      </w:r>
      <w:r>
        <w:t xml:space="preserve">[16]</w:t>
      </w:r>
      <w:r>
        <w:t xml:space="preserve">.</w:t>
      </w:r>
    </w:p>
    <w:p>
      <w:pPr>
        <w:pStyle w:val="Heading1"/>
      </w:pPr>
      <w:bookmarkStart w:id="25" w:name="results"/>
      <w:r>
        <w:t xml:space="preserve">Results</w:t>
      </w:r>
      <w:bookmarkEnd w:id="25"/>
    </w:p>
    <w:p>
      <w:pPr>
        <w:pStyle w:val="Heading2"/>
      </w:pPr>
      <w:bookmarkStart w:id="26" w:name="via-is-more-frequently-associated-with-cardiovascular-symptoms"/>
      <w:r>
        <w:t xml:space="preserve">VIA is more frequently associated with cardiovascular symptoms</w:t>
      </w:r>
      <w:bookmarkEnd w:id="26"/>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(65.4% vs. 55.2%,</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27" w:name="absence-of-skin-symptoms-during-anaphylaxis-is-associated-with-more-severe-episodes-of-via"/>
      <w:r>
        <w:t xml:space="preserve">Absence of skin symptoms during anaphylaxis is associated with more severe episodes of VIA</w:t>
      </w:r>
      <w:bookmarkEnd w:id="27"/>
    </w:p>
    <w:p>
      <w:pPr>
        <w:pStyle w:val="FirstParagraph"/>
      </w:pPr>
      <w:r>
        <w:t xml:space="preserve">We found that 54% of patients with concomitant mastocytosis had anaphylaxis without skin symptoms (i.e. urticaria and flushing) which was significantly more frequent compared to patients without diagnosed mastocytosis (30.8%,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(68% vs 70.3% respectively, p = 0.041). Moreover, in this specific subgroup of patients (i.e. non-mastocytosis patients lacking skin symptoms) VIA was significantly more frequently severe (52.9% in VIA vs. 46.5%,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28" w:name="absence-of-skin-symptoms-correlates-with-bst-levels-and-increases-the-risk-of-severe-anaphylaxis-specifically-in-via"/>
      <w:r>
        <w:t xml:space="preserve">Absence of skin symptoms correlates with BST levels and increases the risk of severe anaphylaxis specifically in VIA</w:t>
      </w:r>
      <w:bookmarkEnd w:id="28"/>
    </w:p>
    <w:p>
      <w:pPr>
        <w:pStyle w:val="FirstParagraph"/>
      </w:pPr>
      <w:r>
        <w:t xml:space="preserve">Next, 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0.005) but not in the non-VIA group (Fig.</w:t>
      </w:r>
      <w:r>
        <w:t xml:space="preserve"> </w:t>
      </w:r>
      <w:r>
        <w:t xml:space="preserve">3</w:t>
      </w:r>
      <w:r>
        <w:t xml:space="preserve">C-D).</w:t>
      </w:r>
    </w:p>
    <w:p>
      <w:pPr>
        <w:pStyle w:val="Heading2"/>
      </w:pPr>
      <w:bookmarkStart w:id="29" w:name="bst-over-8-ngml-and-concomitant-cardiovascular-conditions-increase-the-risk-of-severe-via"/>
      <w:r>
        <w:t xml:space="preserve">BST over 8 ng/ml and concomitant cardiovascular conditions increase the risk of severe VIA</w:t>
      </w:r>
      <w:bookmarkEnd w:id="29"/>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Fig. S</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(24.8% vs. 18.4%) and were associated with a higher risk of severe anaphylaxis when elicited by insects but were not 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0" w:name="other-cofactors-of-severe-reactions"/>
      <w:r>
        <w:t xml:space="preserve">Other cofactors of severe reactions</w:t>
      </w:r>
      <w:bookmarkEnd w:id="30"/>
    </w:p>
    <w:p>
      <w:pPr>
        <w:pStyle w:val="FirstParagraph"/>
      </w:pPr>
      <w:r>
        <w:t xml:space="preserve">Severe reactions of VIA were more prevalent in patients above 22 years of age, and in VIA cases vs. non-VIA cases (Fig. S</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the coexisting cardiovascular diseases. ACE-I use was, however, more often associated with cardiac arrests in all anaphylaxis cases (5.8% vs.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0.225). Surprisingly, arrhythmia was more frequently reported in patients with VIA and concomitant beta-blockers (Fig.</w:t>
      </w:r>
      <w:r>
        <w:t xml:space="preserve"> </w:t>
      </w:r>
      <w:r>
        <w:t xml:space="preserve">4</w:t>
      </w:r>
      <w:r>
        <w:t xml:space="preserve">C).</w:t>
      </w:r>
    </w:p>
    <w:p>
      <w:pPr>
        <w:pStyle w:val="Heading2"/>
      </w:pPr>
      <w:bookmarkStart w:id="31" w:name="one-third-of-via-patients-experience-repeated-reactions"/>
      <w:r>
        <w:t xml:space="preserve">One-third of VIA patients experience repeated reactions</w:t>
      </w:r>
      <w:bookmarkEnd w:id="31"/>
    </w:p>
    <w:p>
      <w:pPr>
        <w:pStyle w:val="FirstParagraph"/>
      </w:pPr>
      <w:r>
        <w:t xml:space="preserve">28.5% of patients with insect allergy had experienced venom anaphylaxis in the past. If the reaction was elicited by other elicitors (i.e. non-VIA) — previous reactions were more frequently seen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2" w:name="via-patients-receive-adrenaline-less-often-than-non-via"/>
      <w:r>
        <w:t xml:space="preserve">VIA patients receive adrenaline less often than non-VIA</w:t>
      </w:r>
      <w:bookmarkEnd w:id="32"/>
    </w:p>
    <w:p>
      <w:pPr>
        <w:pStyle w:val="FirstParagraph"/>
      </w:pPr>
      <w:r>
        <w:t xml:space="preserve">We evaluated adrenaline use (administered by any route from patients themselves and medical professionals) in both ambulatory and emergency room settings.</w:t>
      </w:r>
      <w:r>
        <w:br w:type="textWrapping"/>
      </w:r>
      <w:r>
        <w:t xml:space="preserve">Patients who underwent VIA significantly less often received adrenaline treatment than in other anaphylaxis cases (26.9% vs 34.6%, p &lt; 0.001). After adjusting both groups for similar severity - the difference in adrenaline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Adrenaline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adrenaline therapy (p = 0.438, Fig.</w:t>
      </w:r>
      <w:r>
        <w:t xml:space="preserve"> </w:t>
      </w:r>
      <w:r>
        <w:t xml:space="preserve">5</w:t>
      </w:r>
      <w:r>
        <w:t xml:space="preserve">B).</w:t>
      </w:r>
      <w:r>
        <w:t xml:space="preserve"> </w:t>
      </w:r>
      <w:r>
        <w:t xml:space="preserve">Similarly, there were no differences in the adrenaline use between VIA and non-VIA when only severe reactions were taken into consideration (p = 0.242). However, when we restricted the analysis to moderate anaphylaxis cases — non-VIA patients received adrenaline more frequently than VIA (p &lt; 0.001). Presence of skin symptoms during these mild reactions also was associated with lower fraction of adrenaline treated patients (Fig.</w:t>
      </w:r>
      <w:r>
        <w:t xml:space="preserve"> </w:t>
      </w:r>
      <w:r>
        <w:t xml:space="preserve">11</w:t>
      </w:r>
      <w:r>
        <w:t xml:space="preserve">).</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to patients suffering from non-VIA (Fig.</w:t>
      </w:r>
      <w:r>
        <w:t xml:space="preserve"> </w:t>
      </w:r>
      <w:r>
        <w:t xml:space="preserve">5</w:t>
      </w:r>
      <w:r>
        <w:t xml:space="preserve">A, Fig. S</w:t>
      </w:r>
      <w:r>
        <w:t xml:space="preserve">11</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adrenaline autoinjector (AAI) use, i.v. adrenaline in multiple doses, 100% oxygen inhalation, an initial dose of antihistamines, and inhaled β-2 agonists. Corticosteroids, i.v. volume replacement, and i.v. β-2 agonists formed another therapy mode.</w:t>
      </w:r>
    </w:p>
    <w:p>
      <w:pPr>
        <w:pStyle w:val="Heading1"/>
      </w:pPr>
      <w:bookmarkStart w:id="33" w:name="discussion"/>
      <w:r>
        <w:t xml:space="preserve">Discussion</w:t>
      </w:r>
      <w:bookmarkEnd w:id="33"/>
    </w:p>
    <w:p>
      <w:pPr>
        <w:pStyle w:val="FirstParagraph"/>
      </w:pPr>
      <w:r>
        <w:t xml:space="preserve">The important function of the register especially in anaphylaxis where targetes studies are not possible.</w:t>
      </w:r>
    </w:p>
    <w:p>
      <w:pPr>
        <w:pStyle w:val="BodyText"/>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Cofactors acn promote the onset and increase severity of anaphylaxis.</w:t>
      </w:r>
      <w:r>
        <w:t xml:space="preserve"> </w:t>
      </w:r>
      <w:r>
        <w:t xml:space="preserve">Therefore we evaluated a variety of known cofactors regarding their impact to increase the risk of severe VIA. As expected, t</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t xml:space="preserve"> </w:t>
      </w:r>
      <w:r>
        <w:t xml:space="preserve">[7,12,17]</w:t>
      </w:r>
      <w:r>
        <w:t xml:space="preserve">.</w:t>
      </w:r>
      <w:r>
        <w:t xml:space="preserve"> </w:t>
      </w:r>
      <w:r>
        <w:t xml:space="preserve">VIA has been associated with Kounis syndrome (coronary arterial spasm induced by the release of mast cell mediators</w:t>
      </w:r>
      <w:r>
        <w:t xml:space="preserve"> </w:t>
      </w:r>
      <w:r>
        <w:t xml:space="preserve">[18,19]</w:t>
      </w:r>
      <w:r>
        <w:t xml:space="preserve">) and cardiac arrhythmias usually occurring in patients with preexisting heart disease</w:t>
      </w:r>
      <w:r>
        <w:t xml:space="preserve"> </w:t>
      </w:r>
      <w:r>
        <w:t xml:space="preserve">[20]</w:t>
      </w:r>
      <w:r>
        <w:t xml:space="preserve">.</w:t>
      </w:r>
    </w:p>
    <w:p>
      <w:pPr>
        <w:pStyle w:val="BodyText"/>
      </w:pPr>
      <w:r>
        <w:t xml:space="preserve">The rate of concomitant cardiovascular diseases was higher in VIA than non-VIA. They are an essential cofactor increasing the risk of a severe reaction</w:t>
      </w:r>
      <w:r>
        <w:t xml:space="preserve"> </w:t>
      </w:r>
      <w:r>
        <w:rPr>
          <w:b/>
        </w:rPr>
        <w:t xml:space="preserve">if hymenoptera elicited the anaphylaxis</w:t>
      </w:r>
      <w:r>
        <w:t xml:space="preserve">.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the onset of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Subsequently, the correlation of BST levels with severity of anaphylaxis lead us to identify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[21]</w:t>
      </w:r>
      <w:r>
        <w:t xml:space="preserve">. Zanotti et al. identified mast cell disorders in 17 out of 22 patients with VIA lacking skin symptoms and concluded that patients with BST of 7.95 ng/ml and VIA should undergo extensive diagnostic procedures</w:t>
      </w:r>
      <w:r>
        <w:t xml:space="preserve"> </w:t>
      </w:r>
      <w:r>
        <w:t xml:space="preserve">[22]</w:t>
      </w:r>
      <w:r>
        <w:t xml:space="preserve">. We recently identified that elderly patient undergoing anaphylaxis without concomitant skin symptoms tended to have more severe reactions</w:t>
      </w:r>
      <w:r>
        <w:t xml:space="preserve"> </w:t>
      </w:r>
      <w:r>
        <w:t xml:space="preserve">[23]</w:t>
      </w:r>
    </w:p>
    <w:p>
      <w:pPr>
        <w:pStyle w:val="BodyText"/>
      </w:pPr>
      <w:r>
        <w:t xml:space="preserve">Based on these and previous findings</w:t>
      </w:r>
      <w:r>
        <w:t xml:space="preserve"> </w:t>
      </w:r>
      <w:r>
        <w:t xml:space="preserve">[6,22,24]</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Adult patients experienced VIA more frequently. Young patients mainly suffer from food-induced anaphylaxis</w:t>
      </w:r>
      <w:r>
        <w:t xml:space="preserve"> </w:t>
      </w:r>
      <w:r>
        <w:t xml:space="preserve">[8]</w:t>
      </w:r>
      <w:r>
        <w:t xml:space="preserve">.</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[25]</w:t>
      </w:r>
      <w:r>
        <w:t xml:space="preserve">. Senior patients, on the other hand, suffer from drug-related hypersensitivity more often than insect sting hypersensitivity</w:t>
      </w:r>
      <w:r>
        <w:t xml:space="preserve"> </w:t>
      </w:r>
      <w:r>
        <w:t xml:space="preserve">[23]</w:t>
      </w:r>
      <w:r>
        <w:t xml:space="preserve">.</w:t>
      </w:r>
      <w:r>
        <w:t xml:space="preserve"> </w:t>
      </w:r>
      <w:r>
        <w:t xml:space="preserve"> </w:t>
      </w:r>
      <w:r>
        <w:t xml:space="preserve">Similarly, we observed less VIA in patients with concomitant atopic diseases (Fig. ) , as these patients more often present with food anaphylaxis</w:t>
      </w:r>
      <w:r>
        <w:t xml:space="preserve"> </w:t>
      </w:r>
      <w:r>
        <w:t xml:space="preserve">[26]</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the administration of adrenaline did not depend on the trigger if the patient experienced anaphylaxis previously, but was significantly less often used if the patient experienced their first episode of VIA (in comparison to non-VIA). The difference between groups was prominent for milder cases of anaphylaxis. The reason for this observation is unclear. One explanation could be that emergency team more often attributed the IVA symptoms to anxiety, whereas in non-IVA, they were more often suspecting anaphylaxis.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[27]</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a hypersensitivity reaction presenting with high blood pressure and tachycardia, which may be present at the initial phase of VIA, due to a psychologic reflex. In theory, these less severe cases of VIA may display some form of stress-related blood pressure increase. As we lack data to confirm or discard this theory future analysis of this question is of great clinical value.</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t xml:space="preserve"> </w:t>
      </w:r>
      <w:r>
        <w:t xml:space="preserve">[28]</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[29]</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4" w:name="limitations"/>
      <w:r>
        <w:t xml:space="preserve">Limitations</w:t>
      </w:r>
      <w:bookmarkEnd w:id="34"/>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w:t>
      </w:r>
    </w:p>
    <w:p>
      <w:pPr>
        <w:pStyle w:val="Heading1"/>
      </w:pPr>
      <w:bookmarkStart w:id="35" w:name="conclusion"/>
      <w:r>
        <w:t xml:space="preserve">Conclusion</w:t>
      </w:r>
      <w:bookmarkEnd w:id="35"/>
    </w:p>
    <w:p>
      <w:pPr>
        <w:pStyle w:val="FirstParagraph"/>
      </w:pPr>
      <w:r>
        <w:t xml:space="preserve">Based on our results, VIA is a distinctive phenotype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self-management.</w:t>
      </w:r>
    </w:p>
    <w:p>
      <w:pPr>
        <w:pStyle w:val="Heading1"/>
      </w:pPr>
      <w:bookmarkStart w:id="36" w:name="acknowledgements"/>
      <w:r>
        <w:t xml:space="preserve">Acknowledgements</w:t>
      </w:r>
      <w:bookmarkEnd w:id="36"/>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r>
        <w:t xml:space="preserve"> </w:t>
      </w:r>
      <w:r>
        <w:t xml:space="preserve">Dr. S. Aurich (Leipzig),</w:t>
      </w:r>
      <w:r>
        <w:t xml:space="preserve"> </w:t>
      </w:r>
      <w:r>
        <w:t xml:space="preserve">V. Mahler,</w:t>
      </w:r>
      <w:r>
        <w:t xml:space="preserve"> </w:t>
      </w:r>
      <w:r>
        <w:t xml:space="preserve">Macarena Gonzales Knop (LMU Munich),</w:t>
      </w:r>
      <w:r>
        <w:t xml:space="preserve"> </w:t>
      </w:r>
      <w:r>
        <w:t xml:space="preserve">I Manolaraki,</w:t>
      </w:r>
      <w:r>
        <w:t xml:space="preserve"> </w:t>
      </w:r>
      <w:r>
        <w:t xml:space="preserve">D. Mitsias,</w:t>
      </w:r>
      <w:r>
        <w:t xml:space="preserve"> </w:t>
      </w:r>
      <w:r>
        <w:t xml:space="preserve">E. Manoussakis,</w:t>
      </w:r>
      <w:r>
        <w:t xml:space="preserve"> </w:t>
      </w:r>
      <w:r>
        <w:t xml:space="preserve">N. Douladiris,</w:t>
      </w:r>
      <w:r>
        <w:t xml:space="preserve"> </w:t>
      </w:r>
      <w:r>
        <w:t xml:space="preserve">P. Xepapadaki (Athens, Greece),</w:t>
      </w:r>
      <w:r>
        <w:t xml:space="preserve"> </w:t>
      </w:r>
      <w:r>
        <w:t xml:space="preserve">Dr. R. Saternus, N. Krecké (Homburg, Germany)</w:t>
      </w:r>
      <w:r>
        <w:t xml:space="preserve"> </w:t>
      </w:r>
      <w:r>
        <w:t xml:space="preserve">J. Grünhagen, M. Wittenberg (Berlin, Germany), K. Beyer (Berlin, Germany), A. Möser (Jena, Germany), T. Fuchs (Göttingen, Germany), M. Knop, E. Oppel (Munich, Germany), H. Dickel (Bochum, Germany), H. Merk (Aachen, Germany), E. Rietschel (Cologne, Germany), S. Aurich (Leipzig, Germany), L. Klimek, O. Pfaar (Wiesbaden, Germany), N. Reider (Innsbruck, Germany), W. Aberer (Graz, Austria), A. Köhli (Zurich, Switzerland), F. Riffelmann (Schmallenberg, Germany), B. Kreft (Halle, Germany), K. Nemat (Dresden, Germany), T. Kinaciyan (Vienna, Austria), R. Brehler (Münster, Germany), J. Witte (Hamburg, Germany), N. Hunzelmann und I. Huseynow (Cologne, Germany), T. Bieber (Bonn, Germany), U. Rabe (Treuenbritzen, Germany), P. Schmid-Grendelmeier (Zurich, Switzerland), W. Brosi (Würzburg, Germany), S. Nestoris (Lippe-Lemgo, Germany), T. Hawranek und R. Lang (Salzburg, Austria), R. Bruns (Greifswald, Germany), S. Lehmann (Aachen, Germany, L. Lange (Bonn, Germany), G. Hansen (Hanover, Germany), E. Varga (Graz, Austria), Z. Szepfalusi (Vienna, Austria), P. Eng (Aarau, Switzerland), P. Eng (Lucerne, Switzerland), T. Reese (Rheine, Germany), M. Polz (Rüsselsheim, Germany), S. Schweitzer-Krantz (Düsseldorf, Germany), H. Rebmann (Tübingen, Germany), G. Stichtenoth (Lübeck, Germany), S. Thies (Schwedt, Germany), I. Yildiz (Neumünster, Germany), M. Gerstlauer (Augsburg, Germany), A. Nordwig (Dresden, Germany), P. Utz (Wangen im Allgäu, Germany), J. Klinge (Fürth, Germany), C. Stadlin (Zurich, Switzerland), M. Bücheler (Bonn, Germany), S. Volkmuth (Velbert, Germany), J. Fischer (Tübingen, Germany), A. Henschel (Berlin, Germany), S. Plank-Habibi (Alzenau, Germany), B. Schilling (Passau, Germany), A. Kleinheinz (Buxtehude, Germany), K. Schäkel (Heidelberg, Germany), I. Manolaraki (Athen, Greece), M. Kowalski (Lodz, Poland), K. Solarewicz-Madajek (Wroclaw, Poland), C. Körner-Rettberg (Bochum, Germany), T. Mustakov (Sofia, Bulgaria), C. Kemen (Hamburg, Germany), F. Prenzel (Leipzig, Germany), C. Ebner (Vienna, Austria), J. Seidenberg (Oldenburg, Deutschland), S. Hämmerling (Heidelberg, Germany), B. Garcia (Pamplona, Spain), N. Cabañes Higuero(Toledo, Spain), A. Vega Castro (Guadalajara, Spain), S. Büsing (Osnabrück, Germany), U. Klettke, U. Staden (Berlin, Germany), C. Virchow (Rostock, Germany), U. Jappe (Borstel, Germany), S. Müller (Freiburg, Germany), H. Straube (Darmstadt, Germany), C. Vogelberg (Dresden, Germany), F. Knöpfel (Norderney, Germany), I. Maris (Cork, Ireland), B. Rogala (Silesia, Poland), A. Montoro (Madrid, Spain), A. Brandes (Frankfurt/Oder, Germany), A. Muraro (Padua, Italy), T. Buck und J. Büsselberg (Hanover-Misburg, Germany), N. Zimmermann (Potsdam, Germany), D. Hernandez (Valencia, Spain), P. Minale (Genua, Italy), J. Niederwimmer und B. Zahel (Linz, Austria), A. Fiocchi (Rome, Italy), A. Reissig (Gera, Germany), F. Horak (Vienna, Austria), S. Meller (Düsseldorf, Germany), F. Eitelberger (Wels, Austria), H. Ott (Hanover, Germany), R. Asero (Milan, Italy), F. Hermann, S. Zeidler (St. Augustin, Deutschland), S. Pistauer (Sylt/Westerland, Germany), M. Geißler (Ribnitz-Damgarten, Germany), E. Cichoka-Jarosz (Krakow, Poland), F. Nunes (Sao Paulo, Brazil), A. Plaza Martin (Barcelona, Spain), J. Meister (Aue, Germany), S. Hompes (Hamburg, Germany), S. Stieglitz (Wuppertal, Germany), E. Hamelmann (Bielefeld, Germany), T. Spindler (Davos, Switzerland), I. Maris (Cork, Ireland).</w:t>
      </w:r>
    </w:p>
    <w:p>
      <w:pPr>
        <w:pStyle w:val="Heading5"/>
      </w:pPr>
      <w:bookmarkStart w:id="37" w:name="section"/>
      <w:bookmarkEnd w:id="37"/>
    </w:p>
    <w:p>
      <w:pPr>
        <w:pStyle w:val="Heading1"/>
      </w:pPr>
      <w:bookmarkStart w:id="38" w:name="references"/>
      <w:r>
        <w:t xml:space="preserve">References</w:t>
      </w:r>
      <w:bookmarkEnd w:id="38"/>
    </w:p>
    <w:bookmarkStart w:id="88" w:name="refs"/>
    <w:bookmarkStart w:id="40" w:name="ref-Bil2008"/>
    <w:p>
      <w:pPr>
        <w:pStyle w:val="FirstParagraph"/>
      </w:pPr>
      <w:r>
        <w:t xml:space="preserve">[1] Bilò BM, Bonifazi F. Epidemiology of insect-venom anaphylaxis. Current Opinion in Allergy and Clinical Immunology [Internet]. 2008;8:330–337. Available from:</w:t>
      </w:r>
      <w:r>
        <w:t xml:space="preserve"> </w:t>
      </w:r>
      <w:hyperlink r:id="rId39">
        <w:r>
          <w:rPr>
            <w:rStyle w:val="Hyperlink"/>
          </w:rPr>
          <w:t xml:space="preserve">https://doi.org/10.1097/aci.0b013e32830638c5</w:t>
        </w:r>
      </w:hyperlink>
      <w:r>
        <w:t xml:space="preserve">.</w:t>
      </w:r>
    </w:p>
    <w:bookmarkEnd w:id="40"/>
    <w:bookmarkStart w:id="42" w:name="ref-Sturm2017"/>
    <w:p>
      <w:pPr>
        <w:pStyle w:val="BodyText"/>
      </w:pPr>
      <w:r>
        <w:t xml:space="preserve">[2] Sturm GJ, Varga E-M, Roberts G, et al. EAACI guidelines on allergen immunotherapy: Hymenoptera venom allergy. Allergy [Internet]. 2017;73:744–764. Available from:</w:t>
      </w:r>
      <w:r>
        <w:t xml:space="preserve"> </w:t>
      </w:r>
      <w:hyperlink r:id="rId41">
        <w:r>
          <w:rPr>
            <w:rStyle w:val="Hyperlink"/>
          </w:rPr>
          <w:t xml:space="preserve">https://doi.org/10.1111/all.13262</w:t>
        </w:r>
      </w:hyperlink>
      <w:r>
        <w:t xml:space="preserve">.</w:t>
      </w:r>
    </w:p>
    <w:bookmarkEnd w:id="42"/>
    <w:bookmarkStart w:id="44" w:name="ref-JimenezRodriguez2018"/>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3">
        <w:r>
          <w:rPr>
            <w:rStyle w:val="Hyperlink"/>
          </w:rPr>
          <w:t xml:space="preserve">https://doi.org/10.2147/jaa.s159411</w:t>
        </w:r>
      </w:hyperlink>
      <w:r>
        <w:t xml:space="preserve">.</w:t>
      </w:r>
    </w:p>
    <w:bookmarkEnd w:id="44"/>
    <w:bookmarkStart w:id="46" w:name="ref-Muraro2017"/>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5">
        <w:r>
          <w:rPr>
            <w:rStyle w:val="Hyperlink"/>
          </w:rPr>
          <w:t xml:space="preserve">https://doi.org/10.1111/all.13132</w:t>
        </w:r>
      </w:hyperlink>
      <w:r>
        <w:t xml:space="preserve">.</w:t>
      </w:r>
    </w:p>
    <w:bookmarkEnd w:id="46"/>
    <w:bookmarkStart w:id="48" w:name="ref-LANTNER"/>
    <w:p>
      <w:pPr>
        <w:pStyle w:val="BodyText"/>
      </w:pPr>
      <w:r>
        <w:t xml:space="preserve">[5] Lantner R, Reisman RE. Clinical and immunologic features and subsequent course of patients with severe insect-sting anaphylaxis. Journal of Allergy and Clinical Immunology [Internet]. 1989;84:900–906. Available from:</w:t>
      </w:r>
      <w:r>
        <w:t xml:space="preserve"> </w:t>
      </w:r>
      <w:hyperlink r:id="rId47">
        <w:r>
          <w:rPr>
            <w:rStyle w:val="Hyperlink"/>
          </w:rPr>
          <w:t xml:space="preserve">http://www.sciencedirect.com/science/article/pii/0091674989903874</w:t>
        </w:r>
      </w:hyperlink>
      <w:r>
        <w:t xml:space="preserve">.</w:t>
      </w:r>
    </w:p>
    <w:bookmarkEnd w:id="48"/>
    <w:bookmarkStart w:id="49" w:name="ref-Ruff2009"/>
    <w:p>
      <w:pPr>
        <w:pStyle w:val="BodyText"/>
      </w:pPr>
      <w:r>
        <w:t xml:space="preserve">[6]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bookmarkEnd w:id="49"/>
    <w:bookmarkStart w:id="50" w:name="ref-nittner2015insect"/>
    <w:p>
      <w:pPr>
        <w:pStyle w:val="BodyText"/>
      </w:pPr>
      <w:r>
        <w:t xml:space="preserve">[7] Nittner-Marszalska M, Cichocka-Jarosz E. Insect sting allergy in adults: Key messages for clinicians. Pol Arch Med Wewn. 2015;125:929–937.</w:t>
      </w:r>
    </w:p>
    <w:bookmarkEnd w:id="50"/>
    <w:bookmarkStart w:id="52" w:name="ref-Grabenhenrich2016"/>
    <w:p>
      <w:pPr>
        <w:pStyle w:val="BodyText"/>
      </w:pPr>
      <w:r>
        <w:t xml:space="preserve">[8] Grabenhenrich LB, Dölle S, Moneret-Vautrin A, et al. Anaphylaxis in children and adolescents: The european anaphylaxis registry. Journal of Allergy and Clinical Immunology [Internet]. 2016;137:1128–1137.e1. Available from:</w:t>
      </w:r>
      <w:r>
        <w:t xml:space="preserve"> </w:t>
      </w:r>
      <w:hyperlink r:id="rId51">
        <w:r>
          <w:rPr>
            <w:rStyle w:val="Hyperlink"/>
          </w:rPr>
          <w:t xml:space="preserve">https://doi.org/10.1016/j.jaci.2015.11.015</w:t>
        </w:r>
      </w:hyperlink>
      <w:r>
        <w:t xml:space="preserve">.</w:t>
      </w:r>
    </w:p>
    <w:bookmarkEnd w:id="52"/>
    <w:bookmarkStart w:id="53" w:name="ref-Sampson2006"/>
    <w:p>
      <w:pPr>
        <w:pStyle w:val="BodyText"/>
      </w:pPr>
      <w:r>
        <w:t xml:space="preserve">[9]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bookmarkEnd w:id="53"/>
    <w:bookmarkStart w:id="54" w:name="ref-Ring1977"/>
    <w:p>
      <w:pPr>
        <w:pStyle w:val="BodyText"/>
      </w:pPr>
      <w:r>
        <w:t xml:space="preserve">[10] Ring J, Messmer K. Incidence and severity of anaphylactoid reactions to colloid volume substitutes. Lancet (London, England). 1977;1:466–469.</w:t>
      </w:r>
    </w:p>
    <w:bookmarkEnd w:id="54"/>
    <w:bookmarkStart w:id="56" w:name="ref-matchit"/>
    <w:p>
      <w:pPr>
        <w:pStyle w:val="BodyText"/>
      </w:pPr>
      <w:r>
        <w:t xml:space="preserve">[11] Ho DE, Imai K, King G, et al. MatchIt: Nonparametric preprocessing for parametric causal inference. Journal of Statistical Software [Internet]. 2011;42:1–28. Available from:</w:t>
      </w:r>
      <w:r>
        <w:t xml:space="preserve"> </w:t>
      </w:r>
      <w:hyperlink r:id="rId55">
        <w:r>
          <w:rPr>
            <w:rStyle w:val="Hyperlink"/>
          </w:rPr>
          <w:t xml:space="preserve">http://www.jstatsoft.org/v42/i08/</w:t>
        </w:r>
      </w:hyperlink>
      <w:r>
        <w:t xml:space="preserve">.</w:t>
      </w:r>
    </w:p>
    <w:bookmarkEnd w:id="56"/>
    <w:bookmarkStart w:id="57" w:name="ref-Worm2018"/>
    <w:p>
      <w:pPr>
        <w:pStyle w:val="BodyText"/>
      </w:pPr>
      <w:r>
        <w:t xml:space="preserve">[12] Worm M, Francuzik W, Renaudin J-M, et al. Factors increasing the risk for a severe reaction in anaphylaxis: An analysis of data from the european anaphylaxis registry. Allergy. 2018;</w:t>
      </w:r>
    </w:p>
    <w:bookmarkEnd w:id="57"/>
    <w:bookmarkStart w:id="58" w:name="ref-R"/>
    <w:p>
      <w:pPr>
        <w:pStyle w:val="BodyText"/>
      </w:pPr>
      <w:r>
        <w:t xml:space="preserve">[13] R Core Team. R: A language and environment for statistical computing. Vienna, Austria: R Foundation for Statistical Computing; 2017.</w:t>
      </w:r>
    </w:p>
    <w:bookmarkEnd w:id="58"/>
    <w:bookmarkStart w:id="60" w:name="ref-rf"/>
    <w:p>
      <w:pPr>
        <w:pStyle w:val="BodyText"/>
      </w:pPr>
      <w:r>
        <w:t xml:space="preserve">[14] Liaw A, Wiener M. Classification and regression by randomForest. R News [Internet]. 2002;2:18–22. Available from:</w:t>
      </w:r>
      <w:r>
        <w:t xml:space="preserve"> </w:t>
      </w:r>
      <w:hyperlink r:id="rId59">
        <w:r>
          <w:rPr>
            <w:rStyle w:val="Hyperlink"/>
          </w:rPr>
          <w:t xml:space="preserve">https://CRAN.R-project.org/doc/Rnews/</w:t>
        </w:r>
      </w:hyperlink>
      <w:r>
        <w:t xml:space="preserve">.</w:t>
      </w:r>
    </w:p>
    <w:bookmarkEnd w:id="60"/>
    <w:bookmarkStart w:id="62" w:name="ref-Strobl2007"/>
    <w:p>
      <w:pPr>
        <w:pStyle w:val="BodyText"/>
      </w:pPr>
      <w:r>
        <w:t xml:space="preserve">[15] Strobl C, Boulesteix A-L, Zeileis A, et al. Bias in random forest variable importance measures: Illustrations, sources and a solution. BMC Bioinformatics [Internet]. 2007;8. Available from:</w:t>
      </w:r>
      <w:r>
        <w:t xml:space="preserve"> </w:t>
      </w:r>
      <w:hyperlink r:id="rId61">
        <w:r>
          <w:rPr>
            <w:rStyle w:val="Hyperlink"/>
          </w:rPr>
          <w:t xml:space="preserve">https://doi.org/10.1186/1471-2105-8-25</w:t>
        </w:r>
      </w:hyperlink>
      <w:r>
        <w:t xml:space="preserve">.</w:t>
      </w:r>
    </w:p>
    <w:bookmarkEnd w:id="62"/>
    <w:bookmarkStart w:id="64" w:name="ref-heatmaply"/>
    <w:p>
      <w:pPr>
        <w:pStyle w:val="BodyText"/>
      </w:pPr>
      <w:r>
        <w:t xml:space="preserve">[16] Galili, Tal, O’Callaghan, et al. Heatmaply: An r package for creating interactive cluster heatmaps for online publishing. Bioinformatics [Internet]. 2017; Available from:</w:t>
      </w:r>
      <w:r>
        <w:t xml:space="preserve"> </w:t>
      </w:r>
      <w:hyperlink r:id="rId63">
        <w:r>
          <w:rPr>
            <w:rStyle w:val="Hyperlink"/>
          </w:rPr>
          <w:t xml:space="preserve">http://dx.doi.org/10.1093/bioinformatics/btx657</w:t>
        </w:r>
      </w:hyperlink>
      <w:r>
        <w:t xml:space="preserve">.</w:t>
      </w:r>
    </w:p>
    <w:bookmarkEnd w:id="64"/>
    <w:bookmarkStart w:id="66" w:name="ref-Bonadonna2010"/>
    <w:p>
      <w:pPr>
        <w:pStyle w:val="BodyText"/>
      </w:pPr>
      <w:r>
        <w:t xml:space="preserve">[17] Bonadonna P, Zanotti R, Müller U. Mastocytosis and insect venom allergy. Current Opinion in Allergy and Clinical Immunology [Internet]. 2010;10:347–353. Available from:</w:t>
      </w:r>
      <w:r>
        <w:t xml:space="preserve"> </w:t>
      </w:r>
      <w:hyperlink r:id="rId65">
        <w:r>
          <w:rPr>
            <w:rStyle w:val="Hyperlink"/>
          </w:rPr>
          <w:t xml:space="preserve">https://doi.org/10.1097/aci.0b013e32833b280c</w:t>
        </w:r>
      </w:hyperlink>
      <w:r>
        <w:t xml:space="preserve">.</w:t>
      </w:r>
    </w:p>
    <w:bookmarkEnd w:id="66"/>
    <w:bookmarkStart w:id="68" w:name="ref-CDT1609"/>
    <w:p>
      <w:pPr>
        <w:pStyle w:val="BodyText"/>
      </w:pPr>
      <w:r>
        <w:t xml:space="preserve">[18] Gangadharan V, Bhatheja S, Balbissi KA. Kounis syndrome - an atopic monster for the heart. Cardiovascular Diagnosis and Therapy [Internet]. 2013;3. Available from:</w:t>
      </w:r>
      <w:r>
        <w:t xml:space="preserve"> </w:t>
      </w:r>
      <w:hyperlink r:id="rId67">
        <w:r>
          <w:rPr>
            <w:rStyle w:val="Hyperlink"/>
          </w:rPr>
          <w:t xml:space="preserve">http://cdt.amegroups.com/article/view/1609</w:t>
        </w:r>
      </w:hyperlink>
      <w:r>
        <w:t xml:space="preserve">.</w:t>
      </w:r>
    </w:p>
    <w:bookmarkEnd w:id="68"/>
    <w:bookmarkStart w:id="69" w:name="ref-sinkiewicz2008allergic"/>
    <w:p>
      <w:pPr>
        <w:pStyle w:val="BodyText"/>
      </w:pPr>
      <w:r>
        <w:t xml:space="preserve">[19] Sinkiewicz W, Sobański P, Bartuzi Z. Allergic myocardial infarction. Cardiology Journal. 2008;15:220–225.</w:t>
      </w:r>
    </w:p>
    <w:bookmarkEnd w:id="69"/>
    <w:bookmarkStart w:id="71" w:name="ref-Sharma2016"/>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70">
        <w:r>
          <w:rPr>
            <w:rStyle w:val="Hyperlink"/>
          </w:rPr>
          <w:t xml:space="preserve">https://doi.org/10.4103/2249-4863.201165</w:t>
        </w:r>
      </w:hyperlink>
      <w:r>
        <w:t xml:space="preserve">.</w:t>
      </w:r>
    </w:p>
    <w:bookmarkEnd w:id="71"/>
    <w:bookmarkStart w:id="73" w:name="ref-Valent2019"/>
    <w:p>
      <w:pPr>
        <w:pStyle w:val="BodyText"/>
      </w:pPr>
      <w:r>
        <w:t xml:space="preserve">[21]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72">
        <w:r>
          <w:rPr>
            <w:rStyle w:val="Hyperlink"/>
          </w:rPr>
          <w:t xml:space="preserve">https://doi.org/10.1159/000501079</w:t>
        </w:r>
      </w:hyperlink>
      <w:r>
        <w:t xml:space="preserve">.</w:t>
      </w:r>
    </w:p>
    <w:bookmarkEnd w:id="73"/>
    <w:bookmarkStart w:id="75" w:name="ref-Zanotti2015"/>
    <w:p>
      <w:pPr>
        <w:pStyle w:val="BodyText"/>
      </w:pPr>
      <w:r>
        <w:t xml:space="preserve">[22]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74">
        <w:r>
          <w:rPr>
            <w:rStyle w:val="Hyperlink"/>
          </w:rPr>
          <w:t xml:space="preserve">https://doi.org/10.1016/j.jaci.2014.11.035</w:t>
        </w:r>
      </w:hyperlink>
      <w:r>
        <w:t xml:space="preserve">.</w:t>
      </w:r>
    </w:p>
    <w:bookmarkEnd w:id="75"/>
    <w:bookmarkStart w:id="77" w:name="ref-Aurich2019"/>
    <w:p>
      <w:pPr>
        <w:pStyle w:val="BodyText"/>
      </w:pPr>
      <w:r>
        <w:t xml:space="preserve">[23] Aurich S, Dölle-Bierke S, Francuzik W, et al. Anaphylaxis in elderly patientsData from the european anaphylaxis registry. Frontiers in Immunology [Internet]. 2019;10. Available from:</w:t>
      </w:r>
      <w:r>
        <w:t xml:space="preserve"> </w:t>
      </w:r>
      <w:hyperlink r:id="rId76">
        <w:r>
          <w:rPr>
            <w:rStyle w:val="Hyperlink"/>
          </w:rPr>
          <w:t xml:space="preserve">https://doi.org/10.3389/fimmu.2019.00750</w:t>
        </w:r>
      </w:hyperlink>
      <w:r>
        <w:t xml:space="preserve">.</w:t>
      </w:r>
    </w:p>
    <w:bookmarkEnd w:id="77"/>
    <w:bookmarkStart w:id="79" w:name="ref-JaraAcevedo2015"/>
    <w:p>
      <w:pPr>
        <w:pStyle w:val="BodyText"/>
      </w:pPr>
      <w:r>
        <w:t xml:space="preserve">[24] Jara-Acevedo M, Teodosio C, Sanchez-Muñoz L, et al. Detection of the KIT d816v mutation in peripheral blood of systemic mastocytosis: Diagnostic implications. Modern Pathology [Internet]. 2015;28:1138–1149. Available from:</w:t>
      </w:r>
      <w:r>
        <w:t xml:space="preserve"> </w:t>
      </w:r>
      <w:hyperlink r:id="rId78">
        <w:r>
          <w:rPr>
            <w:rStyle w:val="Hyperlink"/>
          </w:rPr>
          <w:t xml:space="preserve">https://doi.org/10.1038/modpathol.2015.72</w:t>
        </w:r>
      </w:hyperlink>
      <w:r>
        <w:t xml:space="preserve">.</w:t>
      </w:r>
    </w:p>
    <w:bookmarkEnd w:id="79"/>
    <w:bookmarkStart w:id="81" w:name="ref-Braganza2005"/>
    <w:p>
      <w:pPr>
        <w:pStyle w:val="BodyText"/>
      </w:pPr>
      <w:r>
        <w:t xml:space="preserve">[25] Braganza SC. Paediatric emergency department anaphylaxis: Different patterns from adults. Archives of Disease in Childhood [Internet]. 2005;91:159–163. Available from:</w:t>
      </w:r>
      <w:r>
        <w:t xml:space="preserve"> </w:t>
      </w:r>
      <w:hyperlink r:id="rId80">
        <w:r>
          <w:rPr>
            <w:rStyle w:val="Hyperlink"/>
          </w:rPr>
          <w:t xml:space="preserve">https://doi.org/10.1136/adc.2004.069914</w:t>
        </w:r>
      </w:hyperlink>
      <w:r>
        <w:t xml:space="preserve">.</w:t>
      </w:r>
    </w:p>
    <w:bookmarkEnd w:id="81"/>
    <w:bookmarkStart w:id="83" w:name="ref-Tham2019"/>
    <w:p>
      <w:pPr>
        <w:pStyle w:val="BodyText"/>
      </w:pPr>
      <w:r>
        <w:t xml:space="preserve">[26] Tham EH, Leung DY. Mechanisms by which atopic dermatitis predisposes to food allergy and the atopic march. Allergy, Asthma &amp; Immunology Research [Internet]. 2019;11:4. Available from:</w:t>
      </w:r>
      <w:r>
        <w:t xml:space="preserve"> </w:t>
      </w:r>
      <w:hyperlink r:id="rId82">
        <w:r>
          <w:rPr>
            <w:rStyle w:val="Hyperlink"/>
          </w:rPr>
          <w:t xml:space="preserve">https://doi.org/10.4168/aair.2019.11.1.4</w:t>
        </w:r>
      </w:hyperlink>
      <w:r>
        <w:t xml:space="preserve">.</w:t>
      </w:r>
    </w:p>
    <w:bookmarkEnd w:id="83"/>
    <w:bookmarkStart w:id="84" w:name="ref-Muraro2014"/>
    <w:p>
      <w:pPr>
        <w:pStyle w:val="BodyText"/>
      </w:pPr>
      <w:r>
        <w:t xml:space="preserve">[27] Muraro A, Roberts G, Worm M, et al. Anaphylaxis: Guidelines from the european academy of allergy and clinical immunology. Allergy. 2014;69:1026–1045.</w:t>
      </w:r>
    </w:p>
    <w:bookmarkEnd w:id="84"/>
    <w:bookmarkStart w:id="85" w:name="ref-old"/>
    <w:p>
      <w:pPr>
        <w:pStyle w:val="BodyText"/>
      </w:pPr>
      <w:r>
        <w:t xml:space="preserve">[28] Bischof RO. Seasonal incidence of insect stings: Autumn ’yellow jacket delirium’. Journal of Family Practice. 1996;271.</w:t>
      </w:r>
    </w:p>
    <w:bookmarkEnd w:id="85"/>
    <w:bookmarkStart w:id="87" w:name="ref-Spradbery_1992"/>
    <w:p>
      <w:pPr>
        <w:pStyle w:val="BodyText"/>
      </w:pPr>
      <w:r>
        <w:t xml:space="preserve">[29] Spradbery J, Maywald G. The distribution of the european or german wasp, vespula-germanica (f) (hymenoptera, vespidae), in australia - past, present and future. Australian Journal of Zoology [Internet]. 1992;40:495. Available from:</w:t>
      </w:r>
      <w:r>
        <w:t xml:space="preserve"> </w:t>
      </w:r>
      <w:hyperlink r:id="rId86">
        <w:r>
          <w:rPr>
            <w:rStyle w:val="Hyperlink"/>
          </w:rPr>
          <w:t xml:space="preserve">https://doi.org/10.1071%2Fzo9920495</w:t>
        </w:r>
      </w:hyperlink>
      <w:r>
        <w:t xml:space="preserve">.</w:t>
      </w:r>
    </w:p>
    <w:bookmarkEnd w:id="87"/>
    <w:bookmarkEnd w:id="88"/>
    <w:p>
      <w:pPr>
        <w:pStyle w:val="Heading5"/>
      </w:pPr>
      <w:bookmarkStart w:id="89" w:name="section-1"/>
      <w:bookmarkEnd w:id="89"/>
    </w:p>
    <w:p>
      <w:pPr>
        <w:pStyle w:val="Heading1"/>
      </w:pPr>
      <w:bookmarkStart w:id="90" w:name="figures"/>
      <w:r>
        <w:t xml:space="preserve">Figures</w:t>
      </w:r>
      <w:bookmarkEnd w:id="90"/>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9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92" w:name="section-2"/>
      <w:bookmarkEnd w:id="92"/>
    </w:p>
    <w:p>
      <w:pPr>
        <w:pStyle w:val="CaptionedFigure"/>
      </w:pPr>
      <w:r>
        <w:drawing>
          <wp:inline>
            <wp:extent cx="5943600" cy="4333875"/>
            <wp:effectExtent b="0" l="0" r="0" t="0"/>
            <wp:docPr descr="Figure 2: Symptoms of venom 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93"/>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 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94" w:name="section-3"/>
      <w:bookmarkEnd w:id="94"/>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95"/>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96" w:name="section-4"/>
      <w:bookmarkEnd w:id="96"/>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97"/>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98" w:name="section-5"/>
      <w:bookmarkEnd w:id="98"/>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99"/>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00" w:name="section-6"/>
      <w:bookmarkEnd w:id="100"/>
    </w:p>
    <w:p>
      <w:pPr>
        <w:pStyle w:val="Heading1"/>
      </w:pPr>
      <w:bookmarkStart w:id="101" w:name="supplementary-figures"/>
      <w:r>
        <w:t xml:space="preserve">Supplementary Figures</w:t>
      </w:r>
      <w:bookmarkEnd w:id="101"/>
    </w:p>
    <w:p>
      <w:pPr>
        <w:pStyle w:val="FirstParagraph"/>
      </w:pPr>
      <w:r>
        <w:rPr>
          <w:b/>
        </w:rPr>
        <w:t xml:space="preserve">Insect venom anaphylaxis is a seasonal disease.</w:t>
      </w:r>
      <w:r>
        <w:rPr>
          <w:b/>
        </w:rPr>
        <w:t xml:space="preserve"> </w:t>
      </w:r>
    </w:p>
    <w:p>
      <w:pPr>
        <w:pStyle w:val="BodyText"/>
      </w:pPr>
      <w:r>
        <w:t xml:space="preserve">Insect venom elicited anaphylaxis in contrast to other elicitors showed a significant seasonal fluctuation and was most frequently reported from May to October. Their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10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w:t>
      </w:r>
    </w:p>
    <w:p>
      <w:pPr>
        <w:pStyle w:val="Heading5"/>
      </w:pPr>
      <w:bookmarkStart w:id="103" w:name="section-7"/>
      <w:bookmarkEnd w:id="103"/>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Heading5"/>
      </w:pPr>
      <w:bookmarkStart w:id="105" w:name="section-8"/>
      <w:bookmarkEnd w:id="105"/>
    </w:p>
    <w:p>
      <w:pPr>
        <w:pStyle w:val="CaptionedFigure"/>
      </w:pPr>
      <w:r>
        <w:drawing>
          <wp:inline>
            <wp:extent cx="5943600" cy="2122714"/>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106"/>
                    <a:stretch>
                      <a:fillRect/>
                    </a:stretch>
                  </pic:blipFill>
                  <pic:spPr bwMode="auto">
                    <a:xfrm>
                      <a:off x="0" y="0"/>
                      <a:ext cx="5943600" cy="2122714"/>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Patients who presented with skin symptoms and IVA less often recived adrenaline then if skin symptoms were absent during the reaction. B: Variable importance in the unsupervised classification between VIA and non-VIA using random Forest classifier." title="" id="1" name="Picture"/>
            <a:graphic>
              <a:graphicData uri="http://schemas.openxmlformats.org/drawingml/2006/picture">
                <pic:pic>
                  <pic:nvPicPr>
                    <pic:cNvPr descr="../figures/rfplot-1.png" id="0" name="Picture"/>
                    <pic:cNvPicPr>
                      <a:picLocks noChangeArrowheads="1" noChangeAspect="1"/>
                    </pic:cNvPicPr>
                  </pic:nvPicPr>
                  <pic:blipFill>
                    <a:blip r:embed="rId109"/>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Patients who presented with skin symptoms and IVA less often recived adrenaline then if skin symptoms were absent during the reaction. B: Variable importance in the unsupervised classification between VIA and non-VIA using random Forest classifier.</w:t>
      </w:r>
    </w:p>
    <w:p>
      <w:pPr>
        <w:pStyle w:val="Heading5"/>
      </w:pPr>
      <w:bookmarkStart w:id="110" w:name="section-9"/>
      <w:bookmarkEnd w:id="110"/>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-0.224</w:t>
      </w:r>
      <w:r>
        <w:t xml:space="preserve">***</w:t>
      </w:r>
    </w:p>
    <w:p>
      <w:pPr>
        <w:pStyle w:val="Compact"/>
      </w:pPr>
      <w:r>
        <w:t xml:space="preserve">(0.087)</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0.570</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6,890</w:t>
      </w:r>
    </w:p>
    <w:p>
      <w:pPr>
        <w:pStyle w:val="Compact"/>
      </w:pPr>
      <w:r>
        <w:t xml:space="preserve">Log Likelihood</w:t>
      </w:r>
    </w:p>
    <w:p>
      <w:pPr>
        <w:pStyle w:val="Compact"/>
      </w:pPr>
      <w:r>
        <w:t xml:space="preserve">-4,692.818</w:t>
      </w:r>
    </w:p>
    <w:p>
      <w:pPr>
        <w:pStyle w:val="Compact"/>
      </w:pPr>
      <w:r>
        <w:t xml:space="preserve">Akaike Inf. Crit.</w:t>
      </w:r>
    </w:p>
    <w:p>
      <w:pPr>
        <w:pStyle w:val="Compact"/>
      </w:pPr>
      <w:r>
        <w:t xml:space="preserve">9,393.635</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97" Target="media/rId97.png" /><Relationship Type="http://schemas.openxmlformats.org/officeDocument/2006/relationships/image" Id="rId95" Target="media/rId95.png" /><Relationship Type="http://schemas.openxmlformats.org/officeDocument/2006/relationships/image" Id="rId93" Target="media/rId93.png" /><Relationship Type="http://schemas.openxmlformats.org/officeDocument/2006/relationships/image" Id="rId91" Target="media/rId91.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hyperlink" Id="rId67" Target="http://cdt.amegroups.com/article/view/1609" TargetMode="External" /><Relationship Type="http://schemas.openxmlformats.org/officeDocument/2006/relationships/hyperlink" Id="rId63" Target="http://dx.doi.org/10.1093/bioinformatics/btx657" TargetMode="External" /><Relationship Type="http://schemas.openxmlformats.org/officeDocument/2006/relationships/hyperlink" Id="rId55" Target="http://www.jstatsoft.org/v42/i08/" TargetMode="External" /><Relationship Type="http://schemas.openxmlformats.org/officeDocument/2006/relationships/hyperlink" Id="rId47" Target="http://www.sciencedirect.com/science/article/pii/0091674989903874" TargetMode="External" /><Relationship Type="http://schemas.openxmlformats.org/officeDocument/2006/relationships/hyperlink" Id="rId59" Target="https://CRAN.R-project.org/doc/Rnews/" TargetMode="External" /><Relationship Type="http://schemas.openxmlformats.org/officeDocument/2006/relationships/hyperlink" Id="rId74" Target="https://doi.org/10.1016/j.jaci.2014.11.035" TargetMode="External" /><Relationship Type="http://schemas.openxmlformats.org/officeDocument/2006/relationships/hyperlink" Id="rId51" Target="https://doi.org/10.1016/j.jaci.2015.11.015" TargetMode="External" /><Relationship Type="http://schemas.openxmlformats.org/officeDocument/2006/relationships/hyperlink" Id="rId78" Target="https://doi.org/10.1038/modpathol.2015.72" TargetMode="External" /><Relationship Type="http://schemas.openxmlformats.org/officeDocument/2006/relationships/hyperlink" Id="rId86" Target="https://doi.org/10.1071%2Fzo9920495" TargetMode="External" /><Relationship Type="http://schemas.openxmlformats.org/officeDocument/2006/relationships/hyperlink" Id="rId39" Target="https://doi.org/10.1097/aci.0b013e32830638c5" TargetMode="External" /><Relationship Type="http://schemas.openxmlformats.org/officeDocument/2006/relationships/hyperlink" Id="rId65" Target="https://doi.org/10.1097/aci.0b013e32833b280c" TargetMode="External" /><Relationship Type="http://schemas.openxmlformats.org/officeDocument/2006/relationships/hyperlink" Id="rId45"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80" Target="https://doi.org/10.1136/adc.2004.069914" TargetMode="External" /><Relationship Type="http://schemas.openxmlformats.org/officeDocument/2006/relationships/hyperlink" Id="rId72" Target="https://doi.org/10.1159/000501079" TargetMode="External" /><Relationship Type="http://schemas.openxmlformats.org/officeDocument/2006/relationships/hyperlink" Id="rId61"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76" Target="https://doi.org/10.3389/fimmu.2019.00750" TargetMode="External" /><Relationship Type="http://schemas.openxmlformats.org/officeDocument/2006/relationships/hyperlink" Id="rId70" Target="https://doi.org/10.4103/2249-4863.201165" TargetMode="External" /><Relationship Type="http://schemas.openxmlformats.org/officeDocument/2006/relationships/hyperlink" Id="rId82" Target="https://doi.org/10.4168/aair.2019.11.1.4" TargetMode="External" /><Relationship Type="http://schemas.openxmlformats.org/officeDocument/2006/relationships/hyperlink" Id="rId24"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67" Target="http://cdt.amegroups.com/article/view/1609" TargetMode="External" /><Relationship Type="http://schemas.openxmlformats.org/officeDocument/2006/relationships/hyperlink" Id="rId63" Target="http://dx.doi.org/10.1093/bioinformatics/btx657" TargetMode="External" /><Relationship Type="http://schemas.openxmlformats.org/officeDocument/2006/relationships/hyperlink" Id="rId55" Target="http://www.jstatsoft.org/v42/i08/" TargetMode="External" /><Relationship Type="http://schemas.openxmlformats.org/officeDocument/2006/relationships/hyperlink" Id="rId47" Target="http://www.sciencedirect.com/science/article/pii/0091674989903874" TargetMode="External" /><Relationship Type="http://schemas.openxmlformats.org/officeDocument/2006/relationships/hyperlink" Id="rId59" Target="https://CRAN.R-project.org/doc/Rnews/" TargetMode="External" /><Relationship Type="http://schemas.openxmlformats.org/officeDocument/2006/relationships/hyperlink" Id="rId74" Target="https://doi.org/10.1016/j.jaci.2014.11.035" TargetMode="External" /><Relationship Type="http://schemas.openxmlformats.org/officeDocument/2006/relationships/hyperlink" Id="rId51" Target="https://doi.org/10.1016/j.jaci.2015.11.015" TargetMode="External" /><Relationship Type="http://schemas.openxmlformats.org/officeDocument/2006/relationships/hyperlink" Id="rId78" Target="https://doi.org/10.1038/modpathol.2015.72" TargetMode="External" /><Relationship Type="http://schemas.openxmlformats.org/officeDocument/2006/relationships/hyperlink" Id="rId86" Target="https://doi.org/10.1071%2Fzo9920495" TargetMode="External" /><Relationship Type="http://schemas.openxmlformats.org/officeDocument/2006/relationships/hyperlink" Id="rId39" Target="https://doi.org/10.1097/aci.0b013e32830638c5" TargetMode="External" /><Relationship Type="http://schemas.openxmlformats.org/officeDocument/2006/relationships/hyperlink" Id="rId65" Target="https://doi.org/10.1097/aci.0b013e32833b280c" TargetMode="External" /><Relationship Type="http://schemas.openxmlformats.org/officeDocument/2006/relationships/hyperlink" Id="rId45"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80" Target="https://doi.org/10.1136/adc.2004.069914" TargetMode="External" /><Relationship Type="http://schemas.openxmlformats.org/officeDocument/2006/relationships/hyperlink" Id="rId72" Target="https://doi.org/10.1159/000501079" TargetMode="External" /><Relationship Type="http://schemas.openxmlformats.org/officeDocument/2006/relationships/hyperlink" Id="rId61" Target="https://doi.org/10.1186/1471-2105-8-25" TargetMode="External" /><Relationship Type="http://schemas.openxmlformats.org/officeDocument/2006/relationships/hyperlink" Id="rId43" Target="https://doi.org/10.2147/jaa.s159411" TargetMode="External" /><Relationship Type="http://schemas.openxmlformats.org/officeDocument/2006/relationships/hyperlink" Id="rId76" Target="https://doi.org/10.3389/fimmu.2019.00750" TargetMode="External" /><Relationship Type="http://schemas.openxmlformats.org/officeDocument/2006/relationships/hyperlink" Id="rId70" Target="https://doi.org/10.4103/2249-4863.201165" TargetMode="External" /><Relationship Type="http://schemas.openxmlformats.org/officeDocument/2006/relationships/hyperlink" Id="rId82" Target="https://doi.org/10.4168/aair.2019.11.1.4" TargetMode="External" /><Relationship Type="http://schemas.openxmlformats.org/officeDocument/2006/relationships/hyperlink" Id="rId24"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 induced anaphylaxis: a case - control study of the European Anaphylaxis Registry</dc:title>
  <dc:creator/>
  <cp:keywords/>
  <dcterms:created xsi:type="dcterms:W3CDTF">2019-12-11T16:49:57Z</dcterms:created>
  <dcterms:modified xsi:type="dcterms:W3CDTF">2019-12-11T16:49:57Z</dcterms:modified>
</cp:coreProperties>
</file>