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65.png" ContentType="image/png"/>
  <Override PartName="/word/media/rId63.png" ContentType="image/png"/>
  <Override PartName="/word/media/rId59.png" ContentType="image/png"/>
  <Override PartName="/word/media/rId61.png" ContentType="image/png"/>
  <Override PartName="/word/media/rId71.png" ContentType="image/png"/>
  <Override PartName="/word/media/rId70.png" ContentType="image/png"/>
  <Override PartName="/word/media/rId69.png" ContentType="image/png"/>
  <Override PartName="/word/media/rId73.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Phenotypes</w:t>
      </w:r>
      <w:r>
        <w:t xml:space="preserve"> </w:t>
      </w:r>
      <w:r>
        <w:t xml:space="preserve">and</w:t>
      </w:r>
      <w:r>
        <w:t xml:space="preserve"> </w:t>
      </w:r>
      <w:r>
        <w:t xml:space="preserve">risk</w:t>
      </w:r>
      <w:r>
        <w:t xml:space="preserve"> </w:t>
      </w:r>
      <w:r>
        <w:t xml:space="preserve">assesment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09</w:t>
      </w:r>
      <w:r>
        <w:t xml:space="preserve"> </w:t>
      </w:r>
      <w:r>
        <w:t xml:space="preserve">September,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can manifest as a systemic reaction (anaphylaxis) in up to 0.3-7.5% of the adult population</w:t>
      </w:r>
      <w:r>
        <w:t xml:space="preserve"> </w:t>
      </w:r>
      <w:r>
        <w:t xml:space="preserve">[1]</w:t>
      </w:r>
      <w:r>
        <w:t xml:space="preserve">. Insect venom anaphylaxis (IVA) can be fatal, and patients sometimes require lifelong systemic immunotherapy</w:t>
      </w:r>
      <w:r>
        <w:t xml:space="preserve"> </w:t>
      </w:r>
      <w:r>
        <w:t xml:space="preserve">[2]</w:t>
      </w:r>
      <w:r>
        <w:t xml:space="preserve">.</w:t>
      </w:r>
    </w:p>
    <w:p>
      <w:pPr>
        <w:pStyle w:val="BodyText"/>
      </w:pPr>
      <w:r>
        <w:t xml:space="preserve">Recent expert position on the future of anaphylaxis research indicates the need for a more precise description of the diagnosis, biomarkers, and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in the treatment of anaphylaxis - it is first needed to study its clinical subtypes and pathomechanisms in more detail.</w:t>
      </w:r>
    </w:p>
    <w:p>
      <w:pPr>
        <w:pStyle w:val="BodyText"/>
      </w:pPr>
      <w:r>
        <w:t xml:space="preserve">Clinical controlled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regarding symptoms, cofactors, and management by a case-control comparison with other types of anaphylaxis (non-IVA).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[6]</w:t>
      </w:r>
      <w:r>
        <w:t xml:space="preserve"> </w:t>
      </w:r>
      <w:r>
        <w:t xml:space="preserve">or as Ring and Messmer Scale - grades III and IV) and presented with significant hypoxia, hypotension, confusion, collapse and loss of consciousness, or incontinence.</w:t>
      </w:r>
    </w:p>
    <w:p>
      <w:pPr>
        <w:pStyle w:val="BodyText"/>
      </w:pPr>
      <w:r>
        <w:t xml:space="preserve">The cases were either assigned to IVA group (if the triggering factor was an insect sting) or non-IVA group (other elicitors of anaphylaxis).</w:t>
      </w:r>
      <w:r>
        <w:t xml:space="preserve"> </w:t>
      </w:r>
      <w:r>
        <w:t xml:space="preserve">We compared the frequency of various symptoms, cofactors — known to increase the risk of severe anaphylaxis,</w:t>
      </w:r>
      <w:r>
        <w:t xml:space="preserve"> </w:t>
      </w:r>
      <w:r>
        <w:t xml:space="preserve">[7]</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[8]</w:t>
      </w:r>
      <w:r>
        <w:t xml:space="preserve">. The results of the propensity score matching are in Fig.</w:t>
      </w:r>
      <w:r>
        <w:t xml:space="preserve"> </w:t>
      </w:r>
      <w:r>
        <w:t xml:space="preserve">1</w:t>
      </w:r>
      <w:r>
        <w:t xml:space="preserve">B-D.</w:t>
      </w:r>
    </w:p>
    <w:p>
      <w:pPr>
        <w:pStyle w:val="BodyText"/>
      </w:pPr>
      <w:r>
        <w:t xml:space="preserve">We used the R Statistical Package</w:t>
      </w:r>
      <w:r>
        <w:t xml:space="preserve"> </w:t>
      </w:r>
      <w:r>
        <w:t xml:space="preserve">[9]</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[10]</w:t>
      </w:r>
      <w:r>
        <w:t xml:space="preserve">) in order to find therapeutic approaches that varied the most between IVA / non-IVA group and presented the results Gini importance</w:t>
      </w:r>
      <w:r>
        <w:t xml:space="preserve"> </w:t>
      </w:r>
      <w:r>
        <w:t xml:space="preserve">[11]</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[12]</w:t>
      </w:r>
      <w:r>
        <w:t xml:space="preserve">.</w:t>
      </w:r>
    </w:p>
    <w:p>
      <w:pPr>
        <w:pStyle w:val="Heading1"/>
      </w:pPr>
      <w:bookmarkStart w:id="26" w:name="results"/>
      <w:bookmarkEnd w:id="26"/>
      <w:r>
        <w:t xml:space="preserve">Results</w:t>
      </w:r>
    </w:p>
    <w:p>
      <w:pPr>
        <w:pStyle w:val="Heading2"/>
      </w:pPr>
      <w:bookmarkStart w:id="27" w:name="hymenoptera-anaphylaxis-shows-seasonal-patterns."/>
      <w:bookmarkEnd w:id="27"/>
      <w:r>
        <w:t xml:space="preserve">Hymenoptera anaphylaxis shows seasonal patterns.</w:t>
      </w:r>
    </w:p>
    <w:p>
      <w:pPr>
        <w:pStyle w:val="FirstParagraph"/>
      </w:pPr>
      <w:r>
        <w:t xml:space="preserve">Insect venom elicited anaphylaxis in contrast to other elicitors showed a significant seasonal fluctuation and was most frequently reported from May to October. Their proportion of IVA to anaphylaxis cases elicited by other triggers during the summer seasons reached 60% and was as below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IVA-causing insect followed by bees. The IVA-causing insects differed in European countries with hornets (</w:t>
      </w:r>
      <w:r>
        <w:rPr>
          <w:i/>
        </w:rPr>
        <w:t xml:space="preserve">Vespa crabro</w:t>
      </w:r>
      <w:r>
        <w:t xml:space="preserve">) being more prominent in southern Europe.</w:t>
      </w:r>
    </w:p>
    <w:p>
      <w:pPr>
        <w:pStyle w:val="BodyText"/>
      </w:pPr>
      <w:r>
        <w:t xml:space="preserve">IVA was more frequent in adults and seniors than children and young adults. (Fig</w:t>
      </w:r>
      <w:r>
        <w:t xml:space="preserve"> </w:t>
      </w:r>
      <w:r>
        <w:t xml:space="preserve">2</w:t>
      </w:r>
      <w:r>
        <w:t xml:space="preserve">B). When we analyzed a density plot of IVA cases according to age - we determined a bimodal distribution forming two subsets of patients with a cutoff age of 22 (Fig</w:t>
      </w:r>
      <w:r>
        <w:t xml:space="preserve"> </w:t>
      </w:r>
      <w:r>
        <w:t xml:space="preserve">1</w:t>
      </w:r>
      <w:r>
        <w:t xml:space="preserve">B.</w:t>
      </w:r>
    </w:p>
    <w:p>
      <w:pPr>
        <w:pStyle w:val="Heading2"/>
      </w:pPr>
      <w:bookmarkStart w:id="28" w:name="iva-is-associated-with-cardiovascular-symptoms"/>
      <w:bookmarkEnd w:id="28"/>
      <w:r>
        <w:t xml:space="preserve">IVA is associated with cardiovascular symptoms</w:t>
      </w:r>
    </w:p>
    <w:p>
      <w:pPr>
        <w:pStyle w:val="FirstParagraph"/>
      </w:pPr>
      <w:r>
        <w:t xml:space="preserve">IVA showed a specific symptom pattern. Patients, who underwent IVA, more often experienced cardiologic symptoms (dizziness, reduced alertness, unconsciousness) than patients with other elicitors inducing anaphylaxis and less often had skin or gastrointestinal symptoms (Fig</w:t>
      </w:r>
      <w:r>
        <w:t xml:space="preserve"> </w:t>
      </w:r>
      <w:r>
        <w:t xml:space="preserve">3</w:t>
      </w:r>
      <w:r>
        <w:t xml:space="preserve">A). The difference in severe hypotension frequency was especially prominent in the younger age group (under 22, Fig. S</w:t>
      </w:r>
      <w:r>
        <w:t xml:space="preserve">6</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3</w:t>
      </w:r>
      <w:r>
        <w:t xml:space="preserve">B).</w:t>
      </w:r>
    </w:p>
    <w:p>
      <w:pPr>
        <w:pStyle w:val="BodyText"/>
      </w:pPr>
      <w:r>
        <w:t xml:space="preserve">Severe reactions of IVA were more prevalent in older patients in comparison to patients below 22 years, and in IVA cases vs. other elicitors (Fig. S</w:t>
      </w:r>
      <w:r>
        <w:t xml:space="preserve">7</w:t>
      </w:r>
      <w:r>
        <w:t xml:space="preserve">D). There were no differences in severity of reactions elicited by yellow-jackets and other insect species.</w:t>
      </w:r>
    </w:p>
    <w:p>
      <w:pPr>
        <w:pStyle w:val="Heading2"/>
      </w:pPr>
      <w:bookmarkStart w:id="29" w:name="absence-of-skin-symptoms-is-associated-with-more-severe-episodes-of-iva"/>
      <w:bookmarkEnd w:id="29"/>
      <w:r>
        <w:t xml:space="preserve">Absence of skin symptoms is associated with more severe episodes of IVA</w:t>
      </w:r>
    </w:p>
    <w:p>
      <w:pPr>
        <w:pStyle w:val="FirstParagraph"/>
      </w:pPr>
      <w:r>
        <w:t xml:space="preserve">Patients with concomitant mastocytosis had significantly more often anaphylaxis without skin symptoms (namely urticaria and flushing) when compared to patients without diagnosed mastocytosis</w:t>
      </w:r>
      <w:r>
        <w:t xml:space="preserve"> </w:t>
      </w:r>
      <w:r>
        <w:t xml:space="preserve">(54.7% vs. 30.7%, p &lt; 0.001). We decided to further investigate cases where mastocytosis was not diagnosed. In these patients urticaria or flushing as symptoms of anaphylaxis were present more often in IVA than anaphylaxis triggered by other elicitors (67.9% vs 70.5% respectively, p = 0.019). Morover, in patients without concomitant mastocytosis who were also lacking skin symptoms, anaphylaxis was significantly more frequently severe (52.9% in IVA vs. 47%, p &lt; 0.001% in non-IVA). We performed a factorial logistic regression modelling and confirmed the significant interaction effect between the presence of skin symptoms and the trigger (eiter IVA or non-IVA) on the severity of anaphylaxis (p &lt; 0.001). Therefore, non-mastocytic patients presenting without urticara or flushing tended to have more severe anaphylaxis when it was triggered by insects, but not other elicitors of anaphylaxis (Fig.</w:t>
      </w:r>
      <w:r>
        <w:t xml:space="preserve"> </w:t>
      </w:r>
      <w:r>
        <w:t xml:space="preserve">3</w:t>
      </w:r>
      <w:r>
        <w:t xml:space="preserve">C).</w:t>
      </w:r>
    </w:p>
    <w:p>
      <w:pPr>
        <w:pStyle w:val="BodyText"/>
      </w:pPr>
      <w:r>
        <w:t xml:space="preserve">Following this observation, we decided to investigate the association of skin symptoms with the tryptase levels in patients who did not have a diagnosis of mastocytosis. For this comparison, we removed the cases with BST above 11.5 ng/ml, potentially indicating non-diagnosed mastocytosis. Similarly, tryptase levels correlated with the severity of anaphylaxis, were higher in IVA patients, and the effect was prominently visible for IVA patients (p = 0.001). We did not observe such an interaction in the non-IVA group.</w:t>
      </w:r>
    </w:p>
    <w:p>
      <w:pPr>
        <w:pStyle w:val="Heading2"/>
      </w:pPr>
      <w:bookmarkStart w:id="30" w:name="nearly-one-third-of-iva-patients-experience-repeated-reactions"/>
      <w:bookmarkEnd w:id="30"/>
      <w:r>
        <w:t xml:space="preserve">Nearly one-third of IVA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1" w:name="increased-baseline-serum-tryptase-and-concomitant-cardiologic-conditions-increase-the-risk-of-severe-iva."/>
      <w:bookmarkEnd w:id="31"/>
      <w:r>
        <w:t xml:space="preserve">Increased baseline serum tryptase and concomitant cardiologic conditions increase the risk of severe IVA.</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4</w:t>
      </w:r>
      <w:r>
        <w:t xml:space="preserve">). However, mastocytosis increased the risk of cardiac arrest in patients undergoing IVA significantly more than in patients undergoing anaphylaxis due to other triggers (Fig. S</w:t>
      </w:r>
      <w:r>
        <w:t xml:space="preserve">6</w:t>
      </w:r>
      <w:r>
        <w:t xml:space="preserve">).</w:t>
      </w:r>
    </w:p>
    <w:p>
      <w:pPr>
        <w:pStyle w:val="BodyText"/>
      </w:pPr>
      <w:r>
        <w:t xml:space="preserve">Concomitant diseases were more prevalent in IVA than in non-IVA cases (24.7% vs. 18.2%) and were associated with a higher risk of severe anaphylaxis when elicited by insects but were irrelevant in non-IVA cases (Fig.</w:t>
      </w:r>
      <w:r>
        <w:t xml:space="preserve"> </w:t>
      </w:r>
      <w:r>
        <w:t xml:space="preserve">4</w:t>
      </w:r>
      <w:r>
        <w:t xml:space="preserve">). Interestingly, BST values were increased in patients with concomitant cardiovasular diseases, irrespectively of the reaction severity (Fig. S</w:t>
      </w:r>
      <w:r>
        <w:t xml:space="preserve">??</w:t>
      </w:r>
      <w:r>
        <w:t xml:space="preserve">).</w:t>
      </w:r>
    </w:p>
    <w:p>
      <w:pPr>
        <w:pStyle w:val="BodyText"/>
      </w:pPr>
      <w:r>
        <w:t xml:space="preserve">The risk of severe anaphylaxis in patients concomitantly using ACE-I (as well as beta-blockers) could not be independently measured due to coexisting cardiovascular pathologies. ACE-I use was, however, more often associated with cardiac arrests in all anaphylaxis cases (1.9% vs. 5.8%, p &lt; 0.001) and there were no differences between IVA nad non-IVA (Fig.</w:t>
      </w:r>
      <w:r>
        <w:t xml:space="preserve"> </w:t>
      </w:r>
      <w:r>
        <w:t xml:space="preserve">4</w:t>
      </w:r>
      <w:r>
        <w:t xml:space="preserve">C).</w:t>
      </w:r>
      <w:r>
        <w:t xml:space="preserve"> </w:t>
      </w:r>
      <w:r>
        <w:t xml:space="preserve">Beta-blocker use was generally associated with higher severity of anaphylaxis and with the onset of cardiovascular symptoms (cardiac arrest, chest pain), but we saw no difference between groups p = 0.195). Surprisingly, arrhythmia was more frequently reported in patients undergoing IVA with concomitant beta-blockers (Fig.</w:t>
      </w:r>
      <w:r>
        <w:t xml:space="preserve"> </w:t>
      </w:r>
      <w:r>
        <w:t xml:space="preserve">4</w:t>
      </w:r>
      <w:r>
        <w:t xml:space="preserve">B).</w:t>
      </w:r>
    </w:p>
    <w:p>
      <w:pPr>
        <w:pStyle w:val="BodyText"/>
      </w:pPr>
      <w:r>
        <w:t xml:space="preserve">Baseline serum tryptase (BST) correlated with the severity of reactions (Ring and Messmer scale). Moreover, elevated BST was more prominently increasing the risk of severe anaphylaxis in IVA patients than in other cases (Fig.</w:t>
      </w:r>
      <w:r>
        <w:t xml:space="preserve"> </w:t>
      </w:r>
      <w:r>
        <w:t xml:space="preserve">4</w:t>
      </w:r>
      <w:r>
        <w:t xml:space="preserve">C).</w:t>
      </w:r>
    </w:p>
    <w:p>
      <w:pPr>
        <w:pStyle w:val="BodyText"/>
      </w:pPr>
      <w:r>
        <w:t xml:space="preserve">Cases with cardiac arrest were associated with an increased tryptase above 8 ng/ml, and this proportion was higher in IVA when compared to other elicitors. Loss of consciousness was a symptom associated with increased tryptase levels but only in patients with IVA (Fig.</w:t>
      </w:r>
      <w:r>
        <w:t xml:space="preserve"> </w:t>
      </w:r>
      <w:r>
        <w:t xml:space="preserve">4</w:t>
      </w:r>
      <w:r>
        <w:t xml:space="preserve">C). Based on the severity and symptom profile, we decided to use a tryptase cut off value of 8 ng/ml (Fig.</w:t>
      </w:r>
      <w:r>
        <w:t xml:space="preserve"> </w:t>
      </w:r>
      <w:r>
        <w:t xml:space="preserve">4</w:t>
      </w:r>
      <w:r>
        <w:t xml:space="preserve">B)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Outdoor physical exercise (e.g., jogging in the park) was more often associated with IVA than other triggers of anaphylaxis (p &lt; 0.001). However, it was not associated with the severity of a reaction in these patients. (p = 0.436).</w:t>
      </w:r>
    </w:p>
    <w:p>
      <w:pPr>
        <w:pStyle w:val="Heading2"/>
      </w:pPr>
      <w:bookmarkStart w:id="32" w:name="interplay-of-symptoms-and-medication"/>
      <w:bookmarkEnd w:id="32"/>
      <w:r>
        <w:t xml:space="preserve">Interplay of symptoms and medication</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r>
        <w:t xml:space="preserve"> </w:t>
      </w:r>
      <w:r>
        <w:t xml:space="preserve">Patients with IVA received corticosteroids and antihistamines significantly more frequently than patients with anaphylaxis to other elicitors. On the other hand, adrenaline, beta-2 mimetics, and oxygen were given more often in non-IVA.</w:t>
      </w:r>
    </w:p>
    <w:p>
      <w:pPr>
        <w:pStyle w:val="BodyText"/>
      </w:pPr>
      <w:r>
        <w:t xml:space="preserve">We discovered clusters of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5</w:t>
      </w:r>
      <w:r>
        <w:t xml:space="preserve">B). The treatment of these symptoms consisted of using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noticeable differences in the therapy of IVA vs. other forms of anaphylaxis were observed in the frequency of inhaled beta2-agonists and antihistamines (Fig.</w:t>
      </w:r>
      <w:r>
        <w:t xml:space="preserve"> </w:t>
      </w:r>
      <w:r>
        <w:t xml:space="preserve">5</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1"/>
      </w:pPr>
      <w:bookmarkStart w:id="33" w:name="discussion"/>
      <w:bookmarkEnd w:id="33"/>
      <w:r>
        <w:t xml:space="preserve">Discussion</w:t>
      </w:r>
    </w:p>
    <w:p>
      <w:pPr>
        <w:pStyle w:val="FirstParagraph"/>
      </w:pPr>
      <w:r>
        <w:t xml:space="preserve">In this study, we identified the prolonged seasonality of IVA, its clinical symptom-profile, and treatment patterns. The data unravel phenotypes of IVA, which may contribute to the development of tools incorporating both clinical and biomarker data for predicting the severity of future episodes of anaphylaxis.</w:t>
      </w:r>
    </w:p>
    <w:p>
      <w:pPr>
        <w:pStyle w:val="BodyText"/>
      </w:pPr>
      <w:r>
        <w:t xml:space="preserve">Based on our findings, insects are the most probable anaphylaxis elicitor in Europe during Summer-season, with IVA cases extending from early Spring to the end of Autumn. Detailed information on the seasonality of insect-elicited hypersensitivity reactions is scarce</w:t>
      </w:r>
      <w:r>
        <w:t xml:space="preserve"> </w:t>
      </w:r>
      <w:r>
        <w:t xml:space="preserve">[13]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[14]</w:t>
      </w:r>
      <w:r>
        <w:t xml:space="preserve">. The changing climate in Europe may influence the activity of Hymenoptera in this region in the upcoming years. However, in the period from 2007 - 2019, the perennial ratio of IVA to non-IVA cases has remained unchanged (data not shown).</w:t>
      </w:r>
    </w:p>
    <w:p>
      <w:pPr>
        <w:pStyle w:val="BodyText"/>
      </w:pPr>
      <w:r>
        <w:t xml:space="preserve">IVA was more often associated with cardiologic symptoms non-IVA.</w:t>
      </w:r>
      <w:r>
        <w:t xml:space="preserve"> </w:t>
      </w:r>
      <w:r>
        <w:t xml:space="preserve">Previous studies suggest</w:t>
      </w:r>
      <w:r>
        <w:t xml:space="preserve"> </w:t>
      </w:r>
      <w:r>
        <w:t xml:space="preserve">[7,15,16]</w:t>
      </w:r>
      <w:r>
        <w:t xml:space="preserve"> </w:t>
      </w:r>
      <w:r>
        <w:t xml:space="preserve">an essential link between the cardiovascular system and insect sting hypersensitivity.</w:t>
      </w:r>
      <w:r>
        <w:t xml:space="preserve"> </w:t>
      </w:r>
      <w:r>
        <w:t xml:space="preserve">IVA has been associated with cardiac arrhythmias usually occurring in patients with preexisting heart disease</w:t>
      </w:r>
      <w:r>
        <w:t xml:space="preserve"> </w:t>
      </w:r>
      <w:r>
        <w:t xml:space="preserve">[17]</w:t>
      </w:r>
      <w:r>
        <w:t xml:space="preserve"> </w:t>
      </w:r>
      <w:r>
        <w:t xml:space="preserve">and Kounis syndrome (coronary arterial spasm induced by the release of mast cell mediators</w:t>
      </w:r>
      <w:r>
        <w:t xml:space="preserve"> </w:t>
      </w:r>
      <w:r>
        <w:t xml:space="preserve">[18,19]</w:t>
      </w:r>
      <w:r>
        <w:t xml:space="preserve">).</w:t>
      </w:r>
    </w:p>
    <w:p>
      <w:pPr>
        <w:pStyle w:val="BodyText"/>
      </w:pPr>
      <w:r>
        <w:t xml:space="preserve">The rate of concomitant cardiovascular diseases was higher in IVA than non-IVA; we observed them be an essential cofactor increasing the</w:t>
      </w:r>
      <w:r>
        <w:t xml:space="preserve"> </w:t>
      </w:r>
      <w:r>
        <w:rPr>
          <w:i/>
        </w:rPr>
        <w:t xml:space="preserve">risk of a severe reaction if insects elicited the anaphylaxis</w:t>
      </w:r>
      <w:r>
        <w:t xml:space="preserve">. This association was not significant in anaphylaxis elicited by other triggers. Notably, cardiac arrest occurred more frequently in patients with the elevated BST (&gt; 8 ng/ml), especially in IVA.</w:t>
      </w:r>
      <w:r>
        <w:t xml:space="preserve"> </w:t>
      </w:r>
      <w:r>
        <w:t xml:space="preserve">Nevertheless, the pathomechanism promoting cardiovascular symptoms in IVA requires further investigation.</w:t>
      </w:r>
    </w:p>
    <w:p>
      <w:pPr>
        <w:pStyle w:val="BodyText"/>
      </w:pPr>
      <w:r>
        <w:t xml:space="preserve">Of note, cardiologic symptoms like hypotension, collapse, or cardiac arrest grade higher on the Ring and Messmer scale than skin or gastrointestinal symptoms. Therefore, since IVA predisposes to cardiologic symptoms, it is likely to be associated with more severe anaphylaxis.</w:t>
      </w:r>
    </w:p>
    <w:p>
      <w:pPr>
        <w:pStyle w:val="BodyText"/>
      </w:pPr>
      <w:r>
        <w:t xml:space="preserve">Importantly, the absence of skin symptoms was associated with more severe IVA, which was also after we excluded patients with a known diagnosis of mastocytosis. Subsequently, we correlated the severity of anaphylaxis with BST levels and identified an interaction between the absence of skin symptoms and IVA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[20]</w:t>
      </w:r>
      <w:r>
        <w:t xml:space="preserve">. Zanotti et al. identified mast cell disorders in 17 out of 22 patients with IVA lacking skin symptoms</w:t>
      </w:r>
      <w:r>
        <w:t xml:space="preserve"> </w:t>
      </w:r>
      <w:r>
        <w:t xml:space="preserve">[21]</w:t>
      </w:r>
      <w:r>
        <w:t xml:space="preserve"> </w:t>
      </w:r>
      <w:r>
        <w:t xml:space="preserve">and concluded that patients with BST of 7.95 ng/ml and IVA should undergo extensive diagnostic procedures.</w:t>
      </w:r>
    </w:p>
    <w:p>
      <w:pPr>
        <w:pStyle w:val="BodyText"/>
      </w:pPr>
      <w:r>
        <w:t xml:space="preserve">Based on our and previous findings</w:t>
      </w:r>
      <w:r>
        <w:t xml:space="preserve"> </w:t>
      </w:r>
      <w:r>
        <w:t xml:space="preserve">[21–23]</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risk of IVA - older patients experienced IVA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[24]</w:t>
      </w:r>
      <w:r>
        <w:t xml:space="preserve">. Senior patients, on the other hand, suffer from drug-related hypersensitivity more often than insect sting hypersensitivity</w:t>
      </w:r>
      <w:r>
        <w:t xml:space="preserve"> </w:t>
      </w:r>
      <w:r>
        <w:t xml:space="preserve">[25]</w:t>
      </w:r>
      <w:r>
        <w:t xml:space="preserve">.</w:t>
      </w:r>
      <w:r>
        <w:t xml:space="preserve"> </w:t>
      </w:r>
      <w:r>
        <w:t xml:space="preserve"> </w:t>
      </w:r>
      <w:r>
        <w:t xml:space="preserve">Similarly, we saw less IVA in patients with concomitant atopic diseases, as these patients more often present with food anaphylaxis</w:t>
      </w:r>
      <w:r>
        <w:t xml:space="preserve"> </w:t>
      </w:r>
      <w:r>
        <w:t xml:space="preserve">[26]</w:t>
      </w:r>
      <w:r>
        <w:t xml:space="preserve">.</w:t>
      </w:r>
    </w:p>
    <w:p>
      <w:pPr>
        <w:pStyle w:val="BodyText"/>
      </w:pPr>
      <w:r>
        <w:t xml:space="preserve">The influence of cardiologic medication could not be isolated from the effect of concomitant cardiologic conditions; therefore, we could not state if ACE-I and beta-blockers increased the severity of anaphylaxis. We did observe that there were no significant differences between IVA and non-IVA cases regarding the symptoms and severity of an episode with concomitant use of ACE-I or beta-blockers.</w:t>
      </w:r>
    </w:p>
    <w:p>
      <w:pPr>
        <w:pStyle w:val="BodyText"/>
      </w:pPr>
      <w:r>
        <w:t xml:space="preserve">Cases of IVA had been treated with adrenaline less often than the age- sex- and severity-matched cases of non-IVA. Moreover, administration of adrenaline did not depend on the trigger if the patient experienced anaphylaxis previously, but was significantly less often used if the patient experienced their first episode of IVA.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IVA vs. non-IVA.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IVA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IVA, due to a psychologic reflex. In theory, these less severe cases of IVA might exhibit some form of stress-related blood pressure increase, but we lack data to confirm or discard this theory.</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IVA.</w:t>
      </w:r>
    </w:p>
    <w:p>
      <w:pPr>
        <w:pStyle w:val="Heading1"/>
      </w:pPr>
      <w:bookmarkStart w:id="34" w:name="conclusion"/>
      <w:bookmarkEnd w:id="34"/>
      <w:r>
        <w:t xml:space="preserve">Conclusion</w:t>
      </w:r>
    </w:p>
    <w:p>
      <w:pPr>
        <w:pStyle w:val="FirstParagraph"/>
      </w:pPr>
      <w:r>
        <w:t xml:space="preserve">Based on our results, IVA is a distinctive subtype of anaphylaxis, with specific symptom profile and risk factors. IVA cases should undergo therapy according to the international management guidelines, and adrenaline should be given more often in IVA.</w:t>
      </w:r>
    </w:p>
    <w:p>
      <w:pPr>
        <w:pStyle w:val="BodyText"/>
      </w:pPr>
      <w:r>
        <w:t xml:space="preserve">When evaluating the risk of future severe episodes - baseline serum tryptase levels over ng/ml should be considered.</w:t>
      </w:r>
    </w:p>
    <w:p>
      <w:pPr>
        <w:pStyle w:val="Heading1"/>
      </w:pPr>
      <w:bookmarkStart w:id="35" w:name="acknowledgements"/>
      <w:bookmarkEnd w:id="35"/>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6" w:name="section"/>
      <w:bookmarkEnd w:id="36"/>
    </w:p>
    <w:p>
      <w:pPr>
        <w:pStyle w:val="Heading1"/>
      </w:pPr>
      <w:bookmarkStart w:id="37" w:name="references"/>
      <w:bookmarkEnd w:id="37"/>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8">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9">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0">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1">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2">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Worm M, Francuzik W, Renaudin J-M, et al. Factors increasing the risk for a severe reaction in anaphylaxis: An analysis of data from the european anaphylaxis registry. Allergy. 2018;</w:t>
      </w:r>
    </w:p>
    <w:p>
      <w:pPr>
        <w:pStyle w:val="BodyText"/>
      </w:pPr>
      <w:r>
        <w:t xml:space="preserve">[8] Ho DE, Imai K, King G, et al. MatchIt: Nonparametric preprocessing for parametric causal inference. Journal of Statistical Software [Internet]. 2011;42:1–28. Available from:</w:t>
      </w:r>
      <w:r>
        <w:t xml:space="preserve"> </w:t>
      </w:r>
      <w:hyperlink r:id="rId43">
        <w:r>
          <w:rPr>
            <w:rStyle w:val="Hyperlink"/>
          </w:rPr>
          <w:t xml:space="preserve">http://www.jstatsoft.org/v42/i08/</w:t>
        </w:r>
      </w:hyperlink>
      <w:r>
        <w:t xml:space="preserve">.</w:t>
      </w:r>
    </w:p>
    <w:p>
      <w:pPr>
        <w:pStyle w:val="BodyText"/>
      </w:pPr>
      <w:r>
        <w:t xml:space="preserve">[9] R Core Team. R: A language and environment for statistical computing. Vienna, Austria: R Foundation for Statistical Computing; 2017.</w:t>
      </w:r>
    </w:p>
    <w:p>
      <w:pPr>
        <w:pStyle w:val="BodyText"/>
      </w:pPr>
      <w:r>
        <w:t xml:space="preserve">[10] Liaw A, Wiener M. Classification and regression by randomForest. R News [Internet]. 2002;2:18–22. Available from:</w:t>
      </w:r>
      <w:r>
        <w:t xml:space="preserve"> </w:t>
      </w:r>
      <w:hyperlink r:id="rId44">
        <w:r>
          <w:rPr>
            <w:rStyle w:val="Hyperlink"/>
          </w:rPr>
          <w:t xml:space="preserve">https://CRAN.R-project.org/doc/Rnews/</w:t>
        </w:r>
      </w:hyperlink>
      <w:r>
        <w:t xml:space="preserve">.</w:t>
      </w:r>
    </w:p>
    <w:p>
      <w:pPr>
        <w:pStyle w:val="BodyText"/>
      </w:pPr>
      <w:r>
        <w:t xml:space="preserve">[11] Strobl C, Boulesteix A-L, Zeileis A, et al. Bias in random forest variable importance measures: Illustrations, sources and a solution. BMC Bioinformatics [Internet]. 2007;8. Available from:</w:t>
      </w:r>
      <w:r>
        <w:t xml:space="preserve"> </w:t>
      </w:r>
      <w:hyperlink r:id="rId45">
        <w:r>
          <w:rPr>
            <w:rStyle w:val="Hyperlink"/>
          </w:rPr>
          <w:t xml:space="preserve">https://doi.org/10.1186/1471-2105-8-25</w:t>
        </w:r>
      </w:hyperlink>
      <w:r>
        <w:t xml:space="preserve">.</w:t>
      </w:r>
    </w:p>
    <w:p>
      <w:pPr>
        <w:pStyle w:val="BodyText"/>
      </w:pPr>
      <w:r>
        <w:t xml:space="preserve">[12] Galili, Tal, O’Callaghan, et al. Heatmaply: An r package for creating interactive cluster heatmaps for online publishing. Bioinformatics [Internet]. 2017; Available from:</w:t>
      </w:r>
      <w:r>
        <w:t xml:space="preserve"> </w:t>
      </w:r>
      <w:hyperlink r:id="rId46">
        <w:r>
          <w:rPr>
            <w:rStyle w:val="Hyperlink"/>
          </w:rPr>
          <w:t xml:space="preserve">http://dx.doi.org/10.1093/bioinformatics/btx657</w:t>
        </w:r>
      </w:hyperlink>
      <w:r>
        <w:t xml:space="preserve">.</w:t>
      </w:r>
    </w:p>
    <w:p>
      <w:pPr>
        <w:pStyle w:val="BodyText"/>
      </w:pPr>
      <w:r>
        <w:t xml:space="preserve">[13] Bischof RO. Seasonal incidence of insect stings: Autumn ’yellow jacket delirium’. Journal of Family Practice. 1996;271.</w:t>
      </w:r>
    </w:p>
    <w:p>
      <w:pPr>
        <w:pStyle w:val="BodyText"/>
      </w:pPr>
      <w:r>
        <w:t xml:space="preserve">[14] Spradbery J, Maywald G. The distribution of the european or german wasp, vespula-germanica (f) (hymenoptera, vespidae), in australia - past, present and future. Australian Journal of Zoology [Internet]. 1992;40:495. Available from:</w:t>
      </w:r>
      <w:r>
        <w:t xml:space="preserve"> </w:t>
      </w:r>
      <w:hyperlink r:id="rId47">
        <w:r>
          <w:rPr>
            <w:rStyle w:val="Hyperlink"/>
          </w:rPr>
          <w:t xml:space="preserve">https://doi.org/10.1071%2Fzo9920495</w:t>
        </w:r>
      </w:hyperlink>
      <w:r>
        <w:t xml:space="preserve">.</w:t>
      </w:r>
    </w:p>
    <w:p>
      <w:pPr>
        <w:pStyle w:val="BodyText"/>
      </w:pPr>
      <w:r>
        <w:t xml:space="preserve">[15] Nittner-Marszalska M, Cichocka-Jarosz E. Insect sting allergy in adults: Key messages for clinicians. Pol Arch Med Wewn. 2015;125:929–937.</w:t>
      </w:r>
    </w:p>
    <w:p>
      <w:pPr>
        <w:pStyle w:val="BodyText"/>
      </w:pPr>
      <w:r>
        <w:t xml:space="preserve">[16] Bonadonna P, Zanotti R, Müller U. Mastocytosis and insect venom allergy. Current Opinion in Allergy and Clinical Immunology [Internet]. 2010;10:347–353. Available from:</w:t>
      </w:r>
      <w:r>
        <w:t xml:space="preserve"> </w:t>
      </w:r>
      <w:hyperlink r:id="rId48">
        <w:r>
          <w:rPr>
            <w:rStyle w:val="Hyperlink"/>
          </w:rPr>
          <w:t xml:space="preserve">https://doi.org/10.1097/aci.0b013e32833b280c</w:t>
        </w:r>
      </w:hyperlink>
      <w:r>
        <w:t xml:space="preserve">.</w:t>
      </w:r>
    </w:p>
    <w:p>
      <w:pPr>
        <w:pStyle w:val="BodyText"/>
      </w:pPr>
      <w:r>
        <w:t xml:space="preserve">[17] Sharma A, Sharma T, Bhatnagar M. An unusual case of sustained ventricular tachycardia following a wasp bite. Journal of Family Medicine and Primary Care [Internet]. 2016;5:879. Available from:</w:t>
      </w:r>
      <w:r>
        <w:t xml:space="preserve"> </w:t>
      </w:r>
      <w:hyperlink r:id="rId49">
        <w:r>
          <w:rPr>
            <w:rStyle w:val="Hyperlink"/>
          </w:rPr>
          <w:t xml:space="preserve">https://doi.org/10.4103/2249-4863.201165</w:t>
        </w:r>
      </w:hyperlink>
      <w:r>
        <w:t xml:space="preserve">.</w:t>
      </w:r>
    </w:p>
    <w:p>
      <w:pPr>
        <w:pStyle w:val="BodyText"/>
      </w:pPr>
      <w:r>
        <w:t xml:space="preserve">[18] Gangadharan V, Bhatheja S, Balbissi KA. Kounis syndrome - an atopic monster for the heart. Cardiovascular Diagnosis and Therapy [Internet]. 2013;3. Available from:</w:t>
      </w:r>
      <w:r>
        <w:t xml:space="preserve"> </w:t>
      </w:r>
      <w:hyperlink r:id="rId50">
        <w:r>
          <w:rPr>
            <w:rStyle w:val="Hyperlink"/>
          </w:rPr>
          <w:t xml:space="preserve">http://cdt.amegroups.com/article/view/1609</w:t>
        </w:r>
      </w:hyperlink>
      <w:r>
        <w:t xml:space="preserve">.</w:t>
      </w:r>
    </w:p>
    <w:p>
      <w:pPr>
        <w:pStyle w:val="BodyText"/>
      </w:pPr>
      <w:r>
        <w:t xml:space="preserve">[19] Sinkiewicz W, Sobański P, Bartuzi Z. Allergic myocardial infarction. Cardiology Journal. 2008;15:220–225.</w:t>
      </w:r>
    </w:p>
    <w:p>
      <w:pPr>
        <w:pStyle w:val="BodyText"/>
      </w:pPr>
      <w:r>
        <w:t xml:space="preserve">[20]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1">
        <w:r>
          <w:rPr>
            <w:rStyle w:val="Hyperlink"/>
          </w:rPr>
          <w:t xml:space="preserve">https://doi.org/10.1159/000501079</w:t>
        </w:r>
      </w:hyperlink>
      <w:r>
        <w:t xml:space="preserve">.</w:t>
      </w:r>
    </w:p>
    <w:p>
      <w:pPr>
        <w:pStyle w:val="BodyText"/>
      </w:pPr>
      <w:r>
        <w:t xml:space="preserve">[21]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2">
        <w:r>
          <w:rPr>
            <w:rStyle w:val="Hyperlink"/>
          </w:rPr>
          <w:t xml:space="preserve">https://doi.org/10.1016/j.jaci.2014.11.035</w:t>
        </w:r>
      </w:hyperlink>
      <w:r>
        <w:t xml:space="preserve">.</w:t>
      </w:r>
    </w:p>
    <w:p>
      <w:pPr>
        <w:pStyle w:val="BodyText"/>
      </w:pPr>
      <w:r>
        <w:t xml:space="preserve">[22]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[23] Jara-Acevedo M, Teodosio C, Sanchez-Muñoz L, et al. Detection of the KIT d816v mutation in peripheral blood of systemic mastocytosis: Diagnostic implications. Modern Pathology [Internet]. 2015;28:1138–1149. Available from:</w:t>
      </w:r>
      <w:r>
        <w:t xml:space="preserve"> </w:t>
      </w:r>
      <w:hyperlink r:id="rId53">
        <w:r>
          <w:rPr>
            <w:rStyle w:val="Hyperlink"/>
          </w:rPr>
          <w:t xml:space="preserve">https://doi.org/10.1038/modpathol.2015.72</w:t>
        </w:r>
      </w:hyperlink>
      <w:r>
        <w:t xml:space="preserve">.</w:t>
      </w:r>
    </w:p>
    <w:p>
      <w:pPr>
        <w:pStyle w:val="BodyText"/>
      </w:pPr>
      <w:r>
        <w:t xml:space="preserve">[24] Braganza SC. Paediatric emergency department anaphylaxis: Different patterns from adults. Archives of Disease in Childhood [Internet]. 2005;91:159–163. Available from:</w:t>
      </w:r>
      <w:r>
        <w:t xml:space="preserve"> </w:t>
      </w:r>
      <w:hyperlink r:id="rId54">
        <w:r>
          <w:rPr>
            <w:rStyle w:val="Hyperlink"/>
          </w:rPr>
          <w:t xml:space="preserve">https://doi.org/10.1136/adc.2004.069914</w:t>
        </w:r>
      </w:hyperlink>
      <w:r>
        <w:t xml:space="preserve">.</w:t>
      </w:r>
    </w:p>
    <w:p>
      <w:pPr>
        <w:pStyle w:val="BodyText"/>
      </w:pPr>
      <w:r>
        <w:t xml:space="preserve">[25] Aurich S, Dölle-Bierke S, Francuzik W, et al. Anaphylaxis in elderly patientsData from the european anaphylaxis registry. Frontiers in Immunology [Internet]. 2019;10. Available from:</w:t>
      </w:r>
      <w:r>
        <w:t xml:space="preserve"> </w:t>
      </w:r>
      <w:hyperlink r:id="rId55">
        <w:r>
          <w:rPr>
            <w:rStyle w:val="Hyperlink"/>
          </w:rPr>
          <w:t xml:space="preserve">https://doi.org/10.3389/fimmu.2019.00750</w:t>
        </w:r>
      </w:hyperlink>
      <w:r>
        <w:t xml:space="preserve">.</w:t>
      </w:r>
    </w:p>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56">
        <w:r>
          <w:rPr>
            <w:rStyle w:val="Hyperlink"/>
          </w:rPr>
          <w:t xml:space="preserve">https://doi.org/10.4168/aair.2019.11.1.4</w:t>
        </w:r>
      </w:hyperlink>
      <w:r>
        <w:t xml:space="preserve">.</w:t>
      </w:r>
    </w:p>
    <w:p>
      <w:pPr>
        <w:pStyle w:val="BodyText"/>
      </w:pPr>
      <w:r>
        <w:t xml:space="preserve">[27] Muraro A, Roberts G, Worm M, et al. Anaphylaxis: Guidelines from the european academy of allergy and clinical immunology. Allergy. 2014;69:1026–1045.</w:t>
      </w:r>
    </w:p>
    <w:p>
      <w:pPr>
        <w:pStyle w:val="Heading5"/>
      </w:pPr>
      <w:bookmarkStart w:id="57" w:name="section-1"/>
      <w:bookmarkEnd w:id="57"/>
    </w:p>
    <w:p>
      <w:pPr>
        <w:pStyle w:val="Heading1"/>
      </w:pPr>
      <w:bookmarkStart w:id="58" w:name="figures"/>
      <w:bookmarkEnd w:id="58"/>
      <w:r>
        <w:t xml:space="preserve">Figures</w:t>
      </w:r>
    </w:p>
    <w:p>
      <w:pPr>
        <w:pStyle w:val="FigureWithCaption"/>
      </w:pPr>
      <w:r>
        <w:drawing>
          <wp:inline>
            <wp:extent cx="5544151" cy="5544151"/>
            <wp:effectExtent b="0" l="0" r="0" t="0"/>
            <wp:docPr descr="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60" w:name="section-2"/>
      <w:bookmarkEnd w:id="60"/>
    </w:p>
    <w:p>
      <w:pPr>
        <w:pStyle w:val="FigureWithCaption"/>
      </w:pPr>
      <w:r>
        <w:drawing>
          <wp:inline>
            <wp:extent cx="5943600" cy="3396342"/>
            <wp:effectExtent b="0" l="0" r="0" t="0"/>
            <wp:docPr descr="Figure 2: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62" w:name="section-3"/>
      <w:bookmarkEnd w:id="62"/>
    </w:p>
    <w:p>
      <w:pPr>
        <w:pStyle w:val="FigureWithCaption"/>
      </w:pPr>
      <w:r>
        <w:drawing>
          <wp:inline>
            <wp:extent cx="5943600" cy="4333875"/>
            <wp:effectExtent b="0" l="0" r="0" t="0"/>
            <wp:docPr descr="Figure 3: Symptoms of insect venom anaphylaxis (IVA) compared to other elicitors. A: Proportional presentation of specific reaction symptoms. B: High-level overview of involved organ systems and selected cofactors in the form of a radar plot." title="" id="1" name="Picture"/>
            <a:graphic>
              <a:graphicData uri="http://schemas.openxmlformats.org/drawingml/2006/picture">
                <pic:pic>
                  <pic:nvPicPr>
                    <pic:cNvPr descr="../figures/figsymptoms-1.png" id="0" name="Picture"/>
                    <pic:cNvPicPr>
                      <a:picLocks noChangeArrowheads="1" noChangeAspect="1"/>
                    </pic:cNvPicPr>
                  </pic:nvPicPr>
                  <pic:blipFill>
                    <a:blip r:embed="rId63"/>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 A: Proportional presentation of specific reaction symptoms. B: High-level overview of involved organ systems and selected cofactors in the form of a radar plot.</w:t>
      </w:r>
    </w:p>
    <w:p>
      <w:pPr>
        <w:pStyle w:val="Heading5"/>
      </w:pPr>
      <w:bookmarkStart w:id="64" w:name="section-4"/>
      <w:bookmarkEnd w:id="64"/>
    </w:p>
    <w:p>
      <w:pPr>
        <w:pStyle w:val="FigureWithCaption"/>
      </w:pPr>
      <w:r>
        <w:drawing>
          <wp:inline>
            <wp:extent cx="5943600" cy="6562917"/>
            <wp:effectExtent b="0" l="0" r="0" t="0"/>
            <wp:docPr descr="Figure 4: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5"/>
                    <a:stretch>
                      <a:fillRect/>
                    </a:stretch>
                  </pic:blipFill>
                  <pic:spPr bwMode="auto">
                    <a:xfrm>
                      <a:off x="0" y="0"/>
                      <a:ext cx="5943600" cy="6562917"/>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cardiologic symptoms.</w:t>
      </w:r>
    </w:p>
    <w:p>
      <w:pPr>
        <w:pStyle w:val="Heading5"/>
      </w:pPr>
      <w:bookmarkStart w:id="66" w:name="section-5"/>
      <w:bookmarkEnd w:id="66"/>
    </w:p>
    <w:p>
      <w:pPr>
        <w:pStyle w:val="FigureWithCaption"/>
      </w:pPr>
      <w:r>
        <w:drawing>
          <wp:inline>
            <wp:extent cx="5943600" cy="7641771"/>
            <wp:effectExtent b="0" l="0" r="0" t="0"/>
            <wp:docPr descr="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7"/>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1"/>
      </w:pPr>
      <w:bookmarkStart w:id="68" w:name="supplementary-figures"/>
      <w:bookmarkEnd w:id="68"/>
      <w:r>
        <w:t xml:space="preserve">Supplementary Figures</w:t>
      </w:r>
    </w:p>
    <w:p>
      <w:pPr>
        <w:pStyle w:val="FigureWithCaption"/>
      </w:pPr>
      <w:r>
        <w:drawing>
          <wp:inline>
            <wp:extent cx="5544151" cy="4620126"/>
            <wp:effectExtent b="0" l="0" r="0" t="0"/>
            <wp:docPr descr="Figure 6: Symptoms of anaphylaxis" title="" id="1" name="Picture"/>
            <a:graphic>
              <a:graphicData uri="http://schemas.openxmlformats.org/drawingml/2006/picture">
                <pic:pic>
                  <pic:nvPicPr>
                    <pic:cNvPr descr="../figures/supplement-1.png" id="0" name="Picture"/>
                    <pic:cNvPicPr>
                      <a:picLocks noChangeArrowheads="1" noChangeAspect="1"/>
                    </pic:cNvPicPr>
                  </pic:nvPicPr>
                  <pic:blipFill>
                    <a:blip r:embed="rId69"/>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Symptoms of anaphylaxis</w:t>
      </w:r>
    </w:p>
    <w:p>
      <w:pPr>
        <w:pStyle w:val="FigureWithCaption"/>
      </w:pPr>
      <w:r>
        <w:drawing>
          <wp:inline>
            <wp:extent cx="4620126" cy="3696101"/>
            <wp:effectExtent b="0" l="0" r="0" t="0"/>
            <wp:docPr descr="Figure 7: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Severity of anaphylaxis in subgroups. The severity of patients with IVA in two age groups (left), according to elicitor type (center) and according to the responsible insect species (right)</w:t>
      </w:r>
    </w:p>
    <w:p>
      <w:pPr>
        <w:pStyle w:val="BodyText"/>
      </w:pPr>
      <w:r>
        <w:drawing>
          <wp:inline>
            <wp:extent cx="4620126" cy="3696101"/>
            <wp:effectExtent b="0" l="0" r="0" t="0"/>
            <wp:docPr descr="" title="" id="1" name="Picture"/>
            <a:graphic>
              <a:graphicData uri="http://schemas.openxmlformats.org/drawingml/2006/picture">
                <pic:pic>
                  <pic:nvPicPr>
                    <pic:cNvPr descr="../figures/rfplot-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8: Tryptase levels in patients with concomitant cardiologic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Tryptase levels in patients with concomitant cardiologic diseases.</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5f01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2" Target="media/rId72.png" /><Relationship Type="http://schemas.openxmlformats.org/officeDocument/2006/relationships/hyperlink" Id="rId50"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2"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3" Target="https://doi.org/10.1038/modpathol.2015.72" TargetMode="External" /><Relationship Type="http://schemas.openxmlformats.org/officeDocument/2006/relationships/hyperlink" Id="rId47"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8"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4" Target="https://doi.org/10.1136/adc.2004.069914" TargetMode="External" /><Relationship Type="http://schemas.openxmlformats.org/officeDocument/2006/relationships/hyperlink" Id="rId51"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5"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6"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0"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2"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3" Target="https://doi.org/10.1038/modpathol.2015.72" TargetMode="External" /><Relationship Type="http://schemas.openxmlformats.org/officeDocument/2006/relationships/hyperlink" Id="rId47"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8"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4" Target="https://doi.org/10.1136/adc.2004.069914" TargetMode="External" /><Relationship Type="http://schemas.openxmlformats.org/officeDocument/2006/relationships/hyperlink" Id="rId51"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5"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6"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Phenotypes and risk assesment of insect venom anaphylaxis: a case - control study of the European Anaphylaxis Registry</dc:title>
  <dc:creator>Wojciech Francuzik1; Sabine Dölle-Bierke1; Franziska Ruëff2; Claudia Pföhler3; Kathrin Scherer Hofmeier4; Margitta Worm1</dc:creator>
  <dcterms:created xsi:type="dcterms:W3CDTF">2019-09-09T07:42:08Z</dcterms:created>
  <dcterms:modified xsi:type="dcterms:W3CDTF">2019-09-09T07:42:08Z</dcterms:modified>
</cp:coreProperties>
</file>