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98.png" ContentType="image/png"/>
  <Override PartName="/word/media/rId96.png" ContentType="image/png"/>
  <Override PartName="/word/media/rId94.png" ContentType="image/png"/>
  <Override PartName="/word/media/rId92.png" ContentType="image/png"/>
  <Override PartName="/word/media/rId102.png" ContentType="image/png"/>
  <Override PartName="/word/media/rId105.png" ContentType="image/png"/>
  <Override PartName="/word/media/rId109.png" ContentType="image/png"/>
  <Override PartName="/word/media/rId108.png" ContentType="image/png"/>
  <Override PartName="/word/media/rId106.png" ContentType="image/pn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w:t>
      </w:r>
      <w:r>
        <w:t xml:space="preserve"> </w:t>
      </w:r>
      <w:r>
        <w:t xml:space="preserve">induced</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Bettina</w:t>
      </w:r>
      <w:r>
        <w:t xml:space="preserve"> </w:t>
      </w:r>
      <w:r>
        <w:t xml:space="preserve">Wedi</w:t>
      </w:r>
      <w:r>
        <w:rPr>
          <w:vertAlign w:val="superscript"/>
        </w:rPr>
        <w:t xml:space="preserve">5</w:t>
      </w:r>
    </w:p>
    <w:p>
      <w:pPr>
        <w:pStyle w:val="Author"/>
      </w:pPr>
      <w:r>
        <w:t xml:space="preserve">A</w:t>
      </w:r>
      <w:r>
        <w:t xml:space="preserve"> </w:t>
      </w:r>
      <w:r>
        <w:t xml:space="preserve">Bauer</w:t>
      </w:r>
      <w:r>
        <w:rPr>
          <w:vertAlign w:val="superscript"/>
        </w:rPr>
        <w:t xml:space="preserve">6</w:t>
      </w:r>
    </w:p>
    <w:p>
      <w:pPr>
        <w:pStyle w:val="Author"/>
      </w:pPr>
      <w:r>
        <w:t xml:space="preserve">N</w:t>
      </w:r>
      <w:r>
        <w:t xml:space="preserve"> </w:t>
      </w:r>
      <w:r>
        <w:t xml:space="preserve">Wagner</w:t>
      </w:r>
      <w:r>
        <w:rPr>
          <w:vertAlign w:val="superscript"/>
        </w:rPr>
        <w:t xml:space="preserve">7</w:t>
      </w:r>
    </w:p>
    <w:p>
      <w:pPr>
        <w:pStyle w:val="Author"/>
      </w:pPr>
      <w:r>
        <w:t xml:space="preserve">Regina</w:t>
      </w:r>
      <w:r>
        <w:t xml:space="preserve"> </w:t>
      </w:r>
      <w:r>
        <w:t xml:space="preserve">Treudler</w:t>
      </w:r>
      <w:r>
        <w:rPr>
          <w:vertAlign w:val="superscript"/>
        </w:rPr>
        <w:t xml:space="preserve">8</w:t>
      </w:r>
    </w:p>
    <w:p>
      <w:pPr>
        <w:pStyle w:val="Author"/>
      </w:pPr>
      <w:r>
        <w:t xml:space="preserve">Thomas</w:t>
      </w:r>
      <w:r>
        <w:t xml:space="preserve"> </w:t>
      </w:r>
      <w:r>
        <w:t xml:space="preserve">Hawranek</w:t>
      </w:r>
      <w:r>
        <w:rPr>
          <w:vertAlign w:val="superscript"/>
        </w:rPr>
        <w:t xml:space="preserve">9</w:t>
      </w:r>
    </w:p>
    <w:p>
      <w:pPr>
        <w:pStyle w:val="Author"/>
      </w:pPr>
      <w:r>
        <w:t xml:space="preserve">Nicos</w:t>
      </w:r>
      <w:r>
        <w:t xml:space="preserve"> </w:t>
      </w:r>
      <w:r>
        <w:t xml:space="preserve">Papadopoulus</w:t>
      </w:r>
      <w:r>
        <w:rPr>
          <w:vertAlign w:val="superscript"/>
        </w:rPr>
        <w:t xml:space="preserve">10</w:t>
      </w:r>
    </w:p>
    <w:p>
      <w:pPr>
        <w:pStyle w:val="Author"/>
      </w:pPr>
      <w:r>
        <w:t xml:space="preserve">Montserat</w:t>
      </w:r>
      <w:r>
        <w:t xml:space="preserve"> </w:t>
      </w:r>
      <w:r>
        <w:t xml:space="preserve">Fernandes-Rivas</w:t>
      </w:r>
      <w:r>
        <w:rPr>
          <w:vertAlign w:val="superscript"/>
        </w:rPr>
        <w:t xml:space="preserve">11</w:t>
      </w:r>
    </w:p>
    <w:p>
      <w:pPr>
        <w:pStyle w:val="Author"/>
      </w:pPr>
      <w:r>
        <w:t xml:space="preserve">Jean</w:t>
      </w:r>
      <w:r>
        <w:t xml:space="preserve"> </w:t>
      </w:r>
      <w:r>
        <w:t xml:space="preserve">Marie</w:t>
      </w:r>
      <w:r>
        <w:t xml:space="preserve"> </w:t>
      </w:r>
      <w:r>
        <w:t xml:space="preserve">Reanudin</w:t>
      </w:r>
      <w:r>
        <w:rPr>
          <w:vertAlign w:val="superscript"/>
        </w:rPr>
        <w:t xml:space="preserve">12</w:t>
      </w:r>
    </w:p>
    <w:p>
      <w:pPr>
        <w:pStyle w:val="Author"/>
      </w:pPr>
      <w:r>
        <w:t xml:space="preserve">Victoria</w:t>
      </w:r>
      <w:r>
        <w:t xml:space="preserve"> </w:t>
      </w:r>
      <w:r>
        <w:t xml:space="preserve">Cardona</w:t>
      </w:r>
      <w:r>
        <w:rPr>
          <w:vertAlign w:val="superscript"/>
        </w:rPr>
        <w:t xml:space="preserve">13</w:t>
      </w:r>
    </w:p>
    <w:p>
      <w:pPr>
        <w:pStyle w:val="Author"/>
      </w:pPr>
      <w:r>
        <w:t xml:space="preserve">M.</w:t>
      </w:r>
      <w:r>
        <w:t xml:space="preserve"> </w:t>
      </w:r>
      <w:r>
        <w:t xml:space="preserve">Bilo</w:t>
      </w:r>
      <w:r>
        <w:rPr>
          <w:vertAlign w:val="superscript"/>
        </w:rPr>
        <w:t xml:space="preserve">14</w:t>
      </w:r>
    </w:p>
    <w:p>
      <w:pPr>
        <w:pStyle w:val="Author"/>
      </w:pPr>
      <w:r>
        <w:t xml:space="preserve">Izabela</w:t>
      </w:r>
      <w:r>
        <w:t xml:space="preserve"> </w:t>
      </w:r>
      <w:r>
        <w:t xml:space="preserve">Poziomkowska-Gęsicka</w:t>
      </w:r>
      <w:r>
        <w:rPr>
          <w:vertAlign w:val="superscript"/>
        </w:rPr>
        <w:t xml:space="preserve">15</w:t>
      </w:r>
    </w:p>
    <w:p>
      <w:pPr>
        <w:pStyle w:val="Author"/>
      </w:pPr>
      <w:r>
        <w:t xml:space="preserve">George</w:t>
      </w:r>
      <w:r>
        <w:t xml:space="preserve"> </w:t>
      </w:r>
      <w:r>
        <w:t xml:space="preserve">Christoff</w:t>
      </w:r>
      <w:r>
        <w:rPr>
          <w:vertAlign w:val="superscript"/>
        </w:rPr>
        <w:t xml:space="preserve">16</w:t>
      </w:r>
    </w:p>
    <w:p>
      <w:pPr>
        <w:pStyle w:val="Author"/>
      </w:pPr>
      <w:r>
        <w:t xml:space="preserve">Tilo</w:t>
      </w:r>
      <w:r>
        <w:t xml:space="preserve"> </w:t>
      </w:r>
      <w:r>
        <w:t xml:space="preserve">Jakob</w:t>
      </w:r>
      <w:r>
        <w:rPr>
          <w:vertAlign w:val="superscript"/>
        </w:rPr>
        <w:t xml:space="preserve">17</w:t>
      </w:r>
    </w:p>
    <w:p>
      <w:pPr>
        <w:pStyle w:val="Author"/>
      </w:pPr>
      <w:r>
        <w:t xml:space="preserve">John</w:t>
      </w:r>
      <w:r>
        <w:t xml:space="preserve"> </w:t>
      </w:r>
      <w:r>
        <w:t xml:space="preserve">Hourihane</w:t>
      </w:r>
      <w:r>
        <w:rPr>
          <w:vertAlign w:val="superscript"/>
        </w:rPr>
        <w:t xml:space="preserve">18</w:t>
      </w:r>
    </w:p>
    <w:p>
      <w:pPr>
        <w:pStyle w:val="Author"/>
      </w:pPr>
      <w:r>
        <w:t xml:space="preserve">L</w:t>
      </w:r>
      <w:r>
        <w:t xml:space="preserve"> </w:t>
      </w:r>
      <w:r>
        <w:t xml:space="preserve">Ensina</w:t>
      </w:r>
      <w:r>
        <w:rPr>
          <w:vertAlign w:val="superscript"/>
        </w:rPr>
        <w:t xml:space="preserve">19</w:t>
      </w:r>
    </w:p>
    <w:p>
      <w:pPr>
        <w:pStyle w:val="Author"/>
      </w:pPr>
      <w:r>
        <w:t xml:space="preserve">Margitta</w:t>
      </w:r>
      <w:r>
        <w:t xml:space="preserve"> </w:t>
      </w:r>
      <w:r>
        <w:t xml:space="preserve">Worm</w:t>
      </w:r>
      <w:r>
        <w:rPr>
          <w:vertAlign w:val="superscript"/>
        </w:rPr>
        <w:t xml:space="preserve">1</w:t>
      </w:r>
    </w:p>
    <w:p>
      <w:pPr>
        <w:pStyle w:val="Date"/>
      </w:pPr>
      <w:r>
        <w:t xml:space="preserve">27</w:t>
      </w:r>
      <w:r>
        <w:t xml:space="preserve"> </w:t>
      </w:r>
      <w:r>
        <w:t xml:space="preserve">November,</w:t>
      </w:r>
      <w:r>
        <w:t xml:space="preserve"> </w:t>
      </w:r>
      <w:r>
        <w:t xml:space="preserve">2019</w:t>
      </w:r>
    </w:p>
    <w:p>
      <w:pPr>
        <w:pStyle w:val="FirstParagraph"/>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BodyText"/>
      </w:pPr>
      <w:r>
        <w:rPr>
          <w:b/>
        </w:rPr>
        <w:t xml:space="preserve">Funding/ supporting grants:</w:t>
      </w:r>
    </w:p>
    <w:p>
      <w:pPr>
        <w:pStyle w:val="BodyText"/>
      </w:pPr>
      <w:r>
        <w:rPr>
          <w:b/>
        </w:rPr>
        <w:t xml:space="preserve">Conflict of interest:</w:t>
      </w:r>
    </w:p>
    <w:p>
      <w:pPr>
        <w:pStyle w:val="BodyText"/>
      </w:pPr>
      <w:r>
        <w:t xml:space="preserve">Dr. Treudler reports grants and personal fees from Sanofi-Genzyme, personal fees from ALK-Abello, personal fees from Takeda, personal fees from Novartis, grants from Hautnetz Leipzig , other from Fraunhofer-IZI Leipzig, outside the submitted work;</w:t>
      </w:r>
    </w:p>
    <w:p>
      <w:pPr>
        <w:pStyle w:val="BodyText"/>
      </w:pPr>
      <w:r>
        <w:t xml:space="preserve">List of abbreviations:</w:t>
      </w:r>
      <w:r>
        <w:t xml:space="preserve"> </w:t>
      </w:r>
      <w:r>
        <w:t xml:space="preserve">- VIA - Venom induced anaphylaxis</w:t>
      </w:r>
      <w:r>
        <w:t xml:space="preserve"> </w:t>
      </w:r>
      <w:r>
        <w:t xml:space="preserve">- BST -Baseline Serum Tryptase</w:t>
      </w:r>
    </w:p>
    <w:p>
      <w:pPr>
        <w:pStyle w:val="Heading1"/>
      </w:pPr>
      <w:bookmarkStart w:id="21" w:name="abstract"/>
      <w:r>
        <w:t xml:space="preserve">Abstract</w:t>
      </w:r>
      <w:bookmarkEnd w:id="21"/>
    </w:p>
    <w:p>
      <w:pPr>
        <w:pStyle w:val="FirstParagraph"/>
      </w:pPr>
      <w:r>
        <w:rPr>
          <w:b/>
        </w:rPr>
        <w:t xml:space="preserve">Introduction:</w:t>
      </w:r>
      <w:r>
        <w:t xml:space="preserve"> </w:t>
      </w:r>
      <w:r>
        <w:t xml:space="preserve">Venom induced anaphylaxis (VIA) is a common, potentially life-threatening hypersensitivity reaction associated with specific: 1) symptom profile, 2) cofactors, and 3) management. Identifying the differences in subtypes of anaphylaxis is crucial for future management guidelines and the development of a personalized medicine approach.</w:t>
      </w:r>
    </w:p>
    <w:p>
      <w:pPr>
        <w:pStyle w:val="BodyText"/>
      </w:pPr>
      <w:r>
        <w:rPr>
          <w:b/>
        </w:rPr>
        <w:t xml:space="preserve">Methods:</w:t>
      </w:r>
      <w:r>
        <w:t xml:space="preserve"> </w:t>
      </w:r>
      <w:r>
        <w:t xml:space="preserve">Using data from the European Anaphylaxis Registry (12874 cases) we identified 3612 with VIA and analyzed these in comparison to sex-and-age-matched anaphylaxis cases triggered by other elicitors (non-VIA n = 3613).</w:t>
      </w:r>
    </w:p>
    <w:p>
      <w:pPr>
        <w:pStyle w:val="BodyText"/>
      </w:pPr>
      <w:r>
        <w:rPr>
          <w:b/>
        </w:rPr>
        <w:t xml:space="preserve">Results:</w:t>
      </w:r>
      <w:r>
        <w:t xml:space="preserve"> </w:t>
      </w:r>
      <w:r>
        <w:t xml:space="preserve">Venom induced anaphylaxis (VIA) more frequently involved more than three organ systems and was associated with cardiovascular symptoms. The absence of skin symptoms during anaphylaxis correlated with baseline serum tryptase (BST) and was associated with an increased risk of a severe reaction. Intramuscular or intravenous adrenaline was administered significantly less often in VIA, in particular in patients without prior history of anaphylaxis. BST (8-11.5 ng/ml) was more frequently associated with severe anaphylaxis compared to BST values of &lt; 8 ng/ml.</w:t>
      </w:r>
    </w:p>
    <w:p>
      <w:pPr>
        <w:pStyle w:val="BodyText"/>
      </w:pPr>
      <w:r>
        <w:rPr>
          <w:b/>
        </w:rPr>
        <w:t xml:space="preserve">Conclusions:</w:t>
      </w:r>
      <w:r>
        <w:t xml:space="preserve"> </w:t>
      </w:r>
      <w:r>
        <w:t xml:space="preserve">Regarding the fact that VIA frequently affects the cardiovascular system, VIA patients were undertreated with adrenaline. The lack of skin symptoms (i.e. urticaria or flushing) during anaphylaxis (especially in combination with BST levels within upper normal limits) is associated with severe reactions.</w:t>
      </w:r>
    </w:p>
    <w:p>
      <w:pPr>
        <w:pStyle w:val="Heading1"/>
      </w:pPr>
      <w:bookmarkStart w:id="22" w:name="introduction"/>
      <w:r>
        <w:t xml:space="preserve">Introduction</w:t>
      </w:r>
      <w:bookmarkEnd w:id="22"/>
    </w:p>
    <w:p>
      <w:pPr>
        <w:pStyle w:val="FirstParagraph"/>
      </w:pPr>
      <w:r>
        <w:t xml:space="preserve">Hypersensitivity to insect venom presents as a systemic reaction (anaphylaxis) in up to 0.3–7.5% of the adult population</w:t>
      </w:r>
      <w:r>
        <w:t xml:space="preserve"> </w:t>
      </w:r>
      <w:r>
        <w:t xml:space="preserve">[1]</w:t>
      </w:r>
      <w:r>
        <w:t xml:space="preserve">. Venom induced anaphylaxis (VIA) can be fatal, and patients sometimes require lifelong venom immunotherapy</w:t>
      </w:r>
      <w:r>
        <w:t xml:space="preserve"> </w:t>
      </w:r>
      <w:r>
        <w:t xml:space="preserve">[2]</w:t>
      </w:r>
      <w:r>
        <w:t xml:space="preserve">. There is a need for a more precise description of the diagnosis, identification of biomarkers, and better definition of phenotypes of anaphylaxis</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Anaphylaxis is a clinical diagnosis with a variety of trigger factors and clinical presentations. Symptom profiles and specific cofactors for venom-induced anaphylaxis (VIA) had previously been analyzed in an uncontrolled manner albeit relatively small cohorts</w:t>
      </w:r>
      <w:r>
        <w:t xml:space="preserve"> </w:t>
      </w:r>
      <w:r>
        <w:t xml:space="preserve">[5–7]</w:t>
      </w:r>
      <w:r>
        <w:t xml:space="preserve">.</w:t>
      </w:r>
    </w:p>
    <w:p>
      <w:pPr>
        <w:pStyle w:val="BodyText"/>
      </w:pPr>
      <w:r>
        <w:t xml:space="preserve">Controlled clinical trials in anaphylaxis are hardly possible due to the acuteness of this life-threatening condition and its infrequent and random occurrence. Therefore registries, gathering clinical data from patients with a well 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the data from the European Anaphylaxis Registry.</w:t>
      </w:r>
    </w:p>
    <w:p>
      <w:pPr>
        <w:pStyle w:val="Heading1"/>
      </w:pPr>
      <w:bookmarkStart w:id="23" w:name="methods"/>
      <w:r>
        <w:t xml:space="preserve">Methods</w:t>
      </w:r>
      <w:bookmarkEnd w:id="23"/>
    </w:p>
    <w:p>
      <w:pPr>
        <w:pStyle w:val="FirstParagraph"/>
      </w:pPr>
      <w:r>
        <w:t xml:space="preserve">We searched the European Anaphylaxis Registry</w:t>
      </w:r>
      <w:r>
        <w:t xml:space="preserve"> </w:t>
      </w:r>
      <w:r>
        <w:t xml:space="preserve">[8]</w:t>
      </w:r>
      <w:r>
        <w:t xml:space="preserve"> </w:t>
      </w:r>
      <w:r>
        <w:t xml:space="preserve">(status from March 2019) for anaphylaxis cases elicited by insect’s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Ring and Messmer Scale</w:t>
      </w:r>
      <w:r>
        <w:t xml:space="preserve"> </w:t>
      </w:r>
      <w:r>
        <w:t xml:space="preserve">[10]</w:t>
      </w:r>
      <w:r>
        <w:t xml:space="preserve">. Grades III and IV (presenting with significant hypoxia, hypotension, confusion,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[12]</w:t>
      </w:r>
      <w:r>
        <w:t xml:space="preserve">, and management in both groups.</w:t>
      </w:r>
    </w:p>
    <w:p>
      <w:pPr>
        <w:pStyle w:val="BodyText"/>
      </w:pPr>
      <w:r>
        <w:t xml:space="preserve">Based on the severity and symptom profile, and previous reports</w:t>
      </w:r>
      <w:r>
        <w:t xml:space="preserve"> </w:t>
      </w:r>
      <w:r>
        <w:t xml:space="preserve">[6]</w:t>
      </w:r>
      <w:r>
        <w:t xml:space="preserve"> </w:t>
      </w:r>
      <w:r>
        <w:t xml:space="preserve">we defined sub-elevated baseline serum tryptase (BST) values as 8 - 11.5 ng/ml (Fig.</w:t>
      </w:r>
      <w:r>
        <w:t xml:space="preserve"> </w:t>
      </w:r>
      <w:r>
        <w:t xml:space="preserve">4</w:t>
      </w:r>
      <w:r>
        <w:t xml:space="preserve">B).</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observations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4">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Moreover, an association analysis of therapeutic interventions and symptoms was performed. The resulting phi values were scaled and presented in a heatmap with automatic clustering using Ward’s Agglomerative Hierarchical Clustering with Euclidean distances</w:t>
      </w:r>
      <w:r>
        <w:t xml:space="preserve"> </w:t>
      </w:r>
      <w:r>
        <w:t xml:space="preserve">[16]</w:t>
      </w:r>
      <w:r>
        <w:t xml:space="preserve">.</w:t>
      </w:r>
    </w:p>
    <w:p>
      <w:pPr>
        <w:pStyle w:val="Heading1"/>
      </w:pPr>
      <w:bookmarkStart w:id="25" w:name="results"/>
      <w:r>
        <w:t xml:space="preserve">Results</w:t>
      </w:r>
      <w:bookmarkEnd w:id="25"/>
    </w:p>
    <w:p>
      <w:pPr>
        <w:pStyle w:val="Heading2"/>
      </w:pPr>
      <w:bookmarkStart w:id="26" w:name="via-is-more-frequently-associated-with-cardiovascular-symptoms"/>
      <w:r>
        <w:t xml:space="preserve">VIA is more frequently associated with cardiovascular symptoms</w:t>
      </w:r>
      <w:bookmarkEnd w:id="26"/>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more than three organ systems (65.4% vs. 55.5%,</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27" w:name="absence-of-skin-symptoms-during-anaphylaxis-is-associated-with-more-severe-episodes-of-via"/>
      <w:r>
        <w:t xml:space="preserve">Absence of skin symptoms during anaphylaxis is associated with more severe episodes of VIA</w:t>
      </w:r>
      <w:bookmarkEnd w:id="27"/>
    </w:p>
    <w:p>
      <w:pPr>
        <w:pStyle w:val="FirstParagraph"/>
      </w:pPr>
      <w:r>
        <w:t xml:space="preserve">We found that 54.7% of patients with concomitant mastocytosis had anaphylaxis without skin symptoms (i.e. urticaria and flushing) which was significantly more frequent compared to patients without diagnosed mastocytosis (30.5%, p &lt; 0.001). This finding was most prominently seen in VIA (Fig.</w:t>
      </w:r>
      <w:r>
        <w:t xml:space="preserve"> </w:t>
      </w:r>
      <w:r>
        <w:t xml:space="preserve">3</w:t>
      </w:r>
      <w:r>
        <w:t xml:space="preserve">A).</w:t>
      </w:r>
    </w:p>
    <w:p>
      <w:pPr>
        <w:pStyle w:val="BodyText"/>
      </w:pPr>
      <w:r>
        <w:t xml:space="preserve">Similarily, in non-mastocytosis patients undergoing VIA skin smptoms(i.e. urticaria or flushing) were less often present than if anaphylaxis was triggered by other elicitors (67.9% vs 70.9% respectively, p = 0.007). Moreover, in this specific subgroup of patients (i.e. non-mastocytosis patients lacking skin symptoms) VIA was significantly more frequently severe (52.9% in VIA vs. 46.4%,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28" w:name="absence-of-skin-symptoms-correlates-with-bst-levels-and-increases-the-risk-of-severe-anaphylaxis-specifically-in-via"/>
      <w:r>
        <w:t xml:space="preserve">Absence of skin symptoms correlates with BST levels and increases the risk of severe anaphylaxis specifically in VIA</w:t>
      </w:r>
      <w:bookmarkEnd w:id="28"/>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mastocytosis. Similarily, 1) tryptase levels were higher in VIA patients, 2) correlated with the severity of anaphylaxis, and 3) this effect was significant in VIA (p = 0.001) but not in the non-VIA group (Fig.</w:t>
      </w:r>
      <w:r>
        <w:t xml:space="preserve"> </w:t>
      </w:r>
      <w:r>
        <w:t xml:space="preserve">3</w:t>
      </w:r>
      <w:r>
        <w:t xml:space="preserve">C-D).</w:t>
      </w:r>
    </w:p>
    <w:p>
      <w:pPr>
        <w:pStyle w:val="Heading2"/>
      </w:pPr>
      <w:bookmarkStart w:id="29" w:name="bst-over-8-ngml-and-concomitant-cardiovascular-conditions-increase-the-risk-of-severe-via."/>
      <w:r>
        <w:t xml:space="preserve">BST over 8 ng/ml and concomitant cardiovascular conditions increase the risk of severe VIA.</w:t>
      </w:r>
      <w:bookmarkEnd w:id="29"/>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triggers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18.2%) and were associated with a higher risk of severe anaphylaxis when elicited by insects but were not 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0" w:name="other-cofactors-of-severe-reactions"/>
      <w:r>
        <w:t xml:space="preserve">Other cofactors of severe reactions</w:t>
      </w:r>
      <w:bookmarkEnd w:id="30"/>
    </w:p>
    <w:p>
      <w:pPr>
        <w:pStyle w:val="FirstParagraph"/>
      </w:pPr>
      <w:r>
        <w:t xml:space="preserve">Severe reactions of VIA were more prevalent in patients above 22 years of age, and in VIA cases vs. non-VIA cases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the coexisting cardiovascular pathologies. ACE-I use was, however, more often associated with cardiac arrests in all anaphylaxis cases (5.8% vs. 1.8%,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0.261). Surprisingly, arrhythmia was more frequently reported in patients with VIA and concomitant beta-blockers (Fig.</w:t>
      </w:r>
      <w:r>
        <w:t xml:space="preserve"> </w:t>
      </w:r>
      <w:r>
        <w:t xml:space="preserve">4</w:t>
      </w:r>
      <w:r>
        <w:t xml:space="preserve">C).</w:t>
      </w:r>
    </w:p>
    <w:p>
      <w:pPr>
        <w:pStyle w:val="Heading2"/>
      </w:pPr>
      <w:bookmarkStart w:id="31" w:name="one-third-of-via-patients-experience-repeated-reactions"/>
      <w:r>
        <w:t xml:space="preserve">One-third of VIA patients experience repeated reactions</w:t>
      </w:r>
      <w:bookmarkEnd w:id="31"/>
    </w:p>
    <w:p>
      <w:pPr>
        <w:pStyle w:val="FirstParagraph"/>
      </w:pPr>
      <w:r>
        <w:t xml:space="preserve">28.6% of patients with insect allergy had experienced venom anaphylaxis in the past. If the reaction was elicited by other elcitors (i.e. non-VIA) — previous reactions were more frequently seen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2" w:name="via-patients-receive-adrenaline-less-often-than-non-via"/>
      <w:r>
        <w:t xml:space="preserve">VIA patients receive adrenaline less often than non-VIA</w:t>
      </w:r>
      <w:bookmarkEnd w:id="32"/>
    </w:p>
    <w:p>
      <w:pPr>
        <w:pStyle w:val="FirstParagraph"/>
      </w:pPr>
      <w:r>
        <w:t xml:space="preserve">Patients who underwent VIA significantly less often received adrenaline treatment than in other anaphylaxis cases (26.9% vs 34.6%, p &lt; 0.001). After adjusting both groups for similar severity - the difference in adrenaline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Adrenaline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adrenaline therapy (p = 0.877, Fig.</w:t>
      </w:r>
      <w:r>
        <w:t xml:space="preserve"> </w:t>
      </w:r>
      <w:r>
        <w:t xml:space="preserve">5</w:t>
      </w:r>
      <w:r>
        <w:t xml:space="preserve">B).</w:t>
      </w:r>
      <w:r>
        <w:t xml:space="preserve"> </w:t>
      </w:r>
      <w:r>
        <w:t xml:space="preserve">Similarly, there were no differences in the adrenaline use between VIA and non-VIA when only severe reactions were taken into consideration (p = 0.059). However, when we restricted the analysis to moderate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wether specific symptom clusters and treatment profiles could be identified within our cohort (association measured using phi coefficient). We found that patients dysplaing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adrenaline autoinjector (AAI) use, i.v. adrenaline in multiple doses, 100% oxygen inhalation, an initial dose of antihistamines, and inhaled β-2 agonists. Corticosteroids, i.v. volume replacement, and i.v. β-2 agonists formed another therapy mode.</w:t>
      </w:r>
    </w:p>
    <w:p>
      <w:pPr>
        <w:pStyle w:val="Heading2"/>
      </w:pPr>
      <w:bookmarkStart w:id="33" w:name="hymenoptera-anaphylaxis-is-a-seasonal-disease-may-be-moved-to-supplement."/>
      <w:r>
        <w:t xml:space="preserve">Hymenoptera anaphylaxis is a seasonal disease (may be moved to supplement).</w:t>
      </w:r>
      <w:bookmarkEnd w:id="33"/>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Heading1"/>
      </w:pPr>
      <w:bookmarkStart w:id="34" w:name="discussion"/>
      <w:r>
        <w:t xml:space="preserve">Discussion</w:t>
      </w:r>
      <w:bookmarkEnd w:id="34"/>
    </w:p>
    <w:p>
      <w:pPr>
        <w:pStyle w:val="FirstParagraph"/>
      </w:pPr>
      <w:r>
        <w:t xml:space="preserve">In this study, we identified distinct symptom-profile and treatment patterns of venom-induced anaphylaxis. The data unravel phenotypes of VIA, which may support to the development of tools incorporating clinical</w:t>
      </w:r>
      <w:r>
        <w:t xml:space="preserve"> </w:t>
      </w:r>
      <w:r>
        <w:t xml:space="preserve">data for predicting the severity of future episodes of anaphylaxis.</w:t>
      </w:r>
    </w:p>
    <w:p>
      <w:pPr>
        <w:pStyle w:val="BodyText"/>
      </w:pPr>
      <w:r>
        <w:t xml:space="preserve">Cofactors acn promote the onset and increase severity of anaphylaxis.</w:t>
      </w:r>
      <w:r>
        <w:t xml:space="preserve"> </w:t>
      </w:r>
      <w:r>
        <w:t xml:space="preserve">Therefore we evaluated a variety of known cofactors regarding their impact to increase the risk of severe VIA. As expected, t</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t xml:space="preserve"> </w:t>
      </w:r>
      <w:r>
        <w:t xml:space="preserve">[7,12,17]</w:t>
      </w:r>
      <w:r>
        <w:t xml:space="preserve">.</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corellation of BST levels with severity of anaphylaxis lead us to identify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[21]</w:t>
      </w:r>
      <w:r>
        <w:t xml:space="preserve">. Zanotti et al. identified mast cell disorders in 17 out of 22 patients with VIA lacking skin symptoms and concluded that patients with BST of 7.95 ng/ml and VIA should undergo extensive diagnostic procedures</w:t>
      </w:r>
      <w:r>
        <w:t xml:space="preserve"> </w:t>
      </w:r>
      <w:r>
        <w:t xml:space="preserve">[22]</w:t>
      </w:r>
      <w:r>
        <w:t xml:space="preserve">. We recently identified that elederly patient undergoing anaphylaxis without concomitant skin symptoms tended to have more severe reactions</w:t>
      </w:r>
      <w:r>
        <w:t xml:space="preserve"> </w:t>
      </w:r>
      <w:r>
        <w:t xml:space="preserve">[23]</w:t>
      </w:r>
    </w:p>
    <w:p>
      <w:pPr>
        <w:pStyle w:val="BodyText"/>
      </w:pPr>
      <w:r>
        <w:t xml:space="preserve">Based on these and previous findings</w:t>
      </w:r>
      <w:r>
        <w:t xml:space="preserve"> </w:t>
      </w:r>
      <w: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adult patients experienced VIA more frequently. Young patients mainly suffer from food-induced anaphylaxis</w:t>
      </w:r>
      <w:r>
        <w:t xml:space="preserve"> </w:t>
      </w:r>
      <w:r>
        <w:t xml:space="preserve">[8]</w:t>
      </w:r>
      <w:r>
        <w:t xml:space="preserve">.</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[25]</w:t>
      </w:r>
      <w:r>
        <w:t xml:space="preserve">. Senior patients, on the other hand, suffer from drug-related hypersensitivity more often than insect sting hypersensitivity</w:t>
      </w:r>
      <w:r>
        <w:t xml:space="preserve"> </w:t>
      </w:r>
      <w:r>
        <w:t xml:space="preserve">[23]</w:t>
      </w:r>
      <w:r>
        <w:t xml:space="preserve">.</w:t>
      </w:r>
      <w:r>
        <w:t xml:space="preserve"> </w:t>
      </w:r>
      <w:r>
        <w:t xml:space="preserve"> </w:t>
      </w:r>
      <w:r>
        <w:t xml:space="preserve">Similarly, we observed less VIA in patients with concomitant atopic diseases, as these patients more often present with food anaphylaxis</w:t>
      </w:r>
      <w:r>
        <w:t xml:space="preserve"> </w:t>
      </w:r>
      <w:r>
        <w:t xml:space="preserve">[26]</w:t>
      </w:r>
      <w:r>
        <w:t xml:space="preserve">.</w:t>
      </w:r>
    </w:p>
    <w:p>
      <w:pPr>
        <w:pStyle w:val="BodyText"/>
      </w:pPr>
      <w:r>
        <w:t xml:space="preserve">The role of cardiovascular medication can not be isolated from the effect of concomitant cardiovascular conditions; therefore, we can not state wether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the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t xml:space="preserve"> </w:t>
      </w:r>
      <w: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5" w:name="limitations"/>
      <w:r>
        <w:t xml:space="preserve">Limitations</w:t>
      </w:r>
      <w:bookmarkEnd w:id="35"/>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w:t>
      </w:r>
    </w:p>
    <w:p>
      <w:pPr>
        <w:pStyle w:val="Heading1"/>
      </w:pPr>
      <w:bookmarkStart w:id="36" w:name="conclusion"/>
      <w:r>
        <w:t xml:space="preserve">Conclusion</w:t>
      </w:r>
      <w:bookmarkEnd w:id="36"/>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self-management.</w:t>
      </w:r>
    </w:p>
    <w:p>
      <w:pPr>
        <w:pStyle w:val="Heading1"/>
      </w:pPr>
      <w:bookmarkStart w:id="37" w:name="acknowledgements"/>
      <w:r>
        <w:t xml:space="preserve">Acknowledgements</w:t>
      </w:r>
      <w:bookmarkEnd w:id="37"/>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8" w:name="section"/>
      <w:bookmarkEnd w:id="38"/>
    </w:p>
    <w:p>
      <w:pPr>
        <w:pStyle w:val="Heading1"/>
      </w:pPr>
      <w:bookmarkStart w:id="39" w:name="references"/>
      <w:r>
        <w:t xml:space="preserve">References</w:t>
      </w:r>
      <w:bookmarkEnd w:id="39"/>
    </w:p>
    <w:bookmarkStart w:id="89" w:name="refs"/>
    <w:bookmarkStart w:id="41" w:name="ref-Bil2008"/>
    <w:p>
      <w:pPr>
        <w:pStyle w:val="FirstParagraph"/>
      </w:pPr>
      <w:r>
        <w:t xml:space="preserve">[1] Bilò BM, Bonifazi F. Epidemiology of insect-venom anaphylaxis. Current Opinion in Allergy and Clinical Immunology [Internet]. 2008;8:330–337. Available from:</w:t>
      </w:r>
      <w:r>
        <w:t xml:space="preserve"> </w:t>
      </w:r>
      <w:hyperlink r:id="rId40">
        <w:r>
          <w:rPr>
            <w:rStyle w:val="Hyperlink"/>
          </w:rPr>
          <w:t xml:space="preserve">https://doi.org/10.1097/aci.0b013e32830638c5</w:t>
        </w:r>
      </w:hyperlink>
      <w:r>
        <w:t xml:space="preserve">.</w:t>
      </w:r>
    </w:p>
    <w:bookmarkEnd w:id="41"/>
    <w:bookmarkStart w:id="43" w:name="ref-Sturm2017"/>
    <w:p>
      <w:pPr>
        <w:pStyle w:val="BodyText"/>
      </w:pPr>
      <w:r>
        <w:t xml:space="preserve">[2] Sturm GJ, Varga E-M, Roberts G, et al. EAACI guidelines on allergen immunotherapy: Hymenoptera venom allergy. Allergy [Internet]. 2017;73:744–764. Available from:</w:t>
      </w:r>
      <w:r>
        <w:t xml:space="preserve"> </w:t>
      </w:r>
      <w:hyperlink r:id="rId42">
        <w:r>
          <w:rPr>
            <w:rStyle w:val="Hyperlink"/>
          </w:rPr>
          <w:t xml:space="preserve">https://doi.org/10.1111/all.13262</w:t>
        </w:r>
      </w:hyperlink>
      <w:r>
        <w:t xml:space="preserve">.</w:t>
      </w:r>
    </w:p>
    <w:bookmarkEnd w:id="43"/>
    <w:bookmarkStart w:id="45" w:name="ref-JimenezRodriguez2018"/>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4">
        <w:r>
          <w:rPr>
            <w:rStyle w:val="Hyperlink"/>
          </w:rPr>
          <w:t xml:space="preserve">https://doi.org/10.2147/jaa.s159411</w:t>
        </w:r>
      </w:hyperlink>
      <w:r>
        <w:t xml:space="preserve">.</w:t>
      </w:r>
    </w:p>
    <w:bookmarkEnd w:id="45"/>
    <w:bookmarkStart w:id="47" w:name="ref-Muraro2017"/>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6">
        <w:r>
          <w:rPr>
            <w:rStyle w:val="Hyperlink"/>
          </w:rPr>
          <w:t xml:space="preserve">https://doi.org/10.1111/all.13132</w:t>
        </w:r>
      </w:hyperlink>
      <w:r>
        <w:t xml:space="preserve">.</w:t>
      </w:r>
    </w:p>
    <w:bookmarkEnd w:id="47"/>
    <w:bookmarkStart w:id="49" w:name="ref-LANTNER"/>
    <w:p>
      <w:pPr>
        <w:pStyle w:val="BodyText"/>
      </w:pPr>
      <w:r>
        <w:t xml:space="preserve">[5] Lantner R, Reisman RE. Clinical and immunologic features and subsequent course of patients with severe insect-sting anaphylaxis. Journal of Allergy and Clinical Immunology [Internet]. 1989;84:900–906. Available from:</w:t>
      </w:r>
      <w:r>
        <w:t xml:space="preserve"> </w:t>
      </w:r>
      <w:hyperlink r:id="rId48">
        <w:r>
          <w:rPr>
            <w:rStyle w:val="Hyperlink"/>
          </w:rPr>
          <w:t xml:space="preserve">http://www.sciencedirect.com/science/article/pii/0091674989903874</w:t>
        </w:r>
      </w:hyperlink>
      <w:r>
        <w:t xml:space="preserve">.</w:t>
      </w:r>
    </w:p>
    <w:bookmarkEnd w:id="49"/>
    <w:bookmarkStart w:id="50" w:name="ref-Ruff2009"/>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bookmarkEnd w:id="50"/>
    <w:bookmarkStart w:id="51" w:name="ref-nittner2015insect"/>
    <w:p>
      <w:pPr>
        <w:pStyle w:val="BodyText"/>
      </w:pPr>
      <w:r>
        <w:t xml:space="preserve">[7] Nittner-Marszalska M, Cichocka-Jarosz E. Insect sting allergy in adults: Key messages for clinicians. Pol Arch Med Wewn. 2015;125:929–937.</w:t>
      </w:r>
    </w:p>
    <w:bookmarkEnd w:id="51"/>
    <w:bookmarkStart w:id="53" w:name="ref-Grabenhenrich2016"/>
    <w:p>
      <w:pPr>
        <w:pStyle w:val="BodyText"/>
      </w:pPr>
      <w:r>
        <w:t xml:space="preserve">[8] Grabenhenrich LB, Dölle S, Moneret-Vautrin A, et al. Anaphylaxis in children and adolescents: The european anaphylaxis registry. Journal of Allergy and Clinical Immunology [Internet]. 2016;137:1128–1137.e1. Available from:</w:t>
      </w:r>
      <w:r>
        <w:t xml:space="preserve"> </w:t>
      </w:r>
      <w:hyperlink r:id="rId52">
        <w:r>
          <w:rPr>
            <w:rStyle w:val="Hyperlink"/>
          </w:rPr>
          <w:t xml:space="preserve">https://doi.org/10.1016/j.jaci.2015.11.015</w:t>
        </w:r>
      </w:hyperlink>
      <w:r>
        <w:t xml:space="preserve">.</w:t>
      </w:r>
    </w:p>
    <w:bookmarkEnd w:id="53"/>
    <w:bookmarkStart w:id="54" w:name="ref-Sampson2006"/>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bookmarkEnd w:id="54"/>
    <w:bookmarkStart w:id="55" w:name="ref-Ring1977"/>
    <w:p>
      <w:pPr>
        <w:pStyle w:val="BodyText"/>
      </w:pPr>
      <w:r>
        <w:t xml:space="preserve">[10] Ring J, Messmer K. Incidence and severity of anaphylactoid reactions to colloid volume substitutes. Lancet (London, England). 1977;1:466–469.</w:t>
      </w:r>
    </w:p>
    <w:bookmarkEnd w:id="55"/>
    <w:bookmarkStart w:id="57" w:name="ref-matchit"/>
    <w:p>
      <w:pPr>
        <w:pStyle w:val="BodyText"/>
      </w:pPr>
      <w:r>
        <w:t xml:space="preserve">[11] Ho DE, Imai K, King G, et al. MatchIt: Nonparametric preprocessing for parametric causal inference. Journal of Statistical Software [Internet]. 2011;42:1–28. Available from:</w:t>
      </w:r>
      <w:r>
        <w:t xml:space="preserve"> </w:t>
      </w:r>
      <w:hyperlink r:id="rId56">
        <w:r>
          <w:rPr>
            <w:rStyle w:val="Hyperlink"/>
          </w:rPr>
          <w:t xml:space="preserve">http://www.jstatsoft.org/v42/i08/</w:t>
        </w:r>
      </w:hyperlink>
      <w:r>
        <w:t xml:space="preserve">.</w:t>
      </w:r>
    </w:p>
    <w:bookmarkEnd w:id="57"/>
    <w:bookmarkStart w:id="58" w:name="ref-Worm2018"/>
    <w:p>
      <w:pPr>
        <w:pStyle w:val="BodyText"/>
      </w:pPr>
      <w:r>
        <w:t xml:space="preserve">[12] Worm M, Francuzik W, Renaudin J-M, et al. Factors increasing the risk for a severe reaction in anaphylaxis: An analysis of data from the european anaphylaxis registry. Allergy. 2018;</w:t>
      </w:r>
    </w:p>
    <w:bookmarkEnd w:id="58"/>
    <w:bookmarkStart w:id="59" w:name="ref-R"/>
    <w:p>
      <w:pPr>
        <w:pStyle w:val="BodyText"/>
      </w:pPr>
      <w:r>
        <w:t xml:space="preserve">[13] R Core Team. R: A language and environment for statistical computing. Vienna, Austria: R Foundation for Statistical Computing; 2017.</w:t>
      </w:r>
    </w:p>
    <w:bookmarkEnd w:id="59"/>
    <w:bookmarkStart w:id="61" w:name="ref-rf"/>
    <w:p>
      <w:pPr>
        <w:pStyle w:val="BodyText"/>
      </w:pPr>
      <w:r>
        <w:t xml:space="preserve">[14] Liaw A, Wiener M. Classification and regression by randomForest. R News [Internet]. 2002;2:18–22. Available from:</w:t>
      </w:r>
      <w:r>
        <w:t xml:space="preserve"> </w:t>
      </w:r>
      <w:hyperlink r:id="rId60">
        <w:r>
          <w:rPr>
            <w:rStyle w:val="Hyperlink"/>
          </w:rPr>
          <w:t xml:space="preserve">https://CRAN.R-project.org/doc/Rnews/</w:t>
        </w:r>
      </w:hyperlink>
      <w:r>
        <w:t xml:space="preserve">.</w:t>
      </w:r>
    </w:p>
    <w:bookmarkEnd w:id="61"/>
    <w:bookmarkStart w:id="63" w:name="ref-Strobl2007"/>
    <w:p>
      <w:pPr>
        <w:pStyle w:val="BodyText"/>
      </w:pPr>
      <w:r>
        <w:t xml:space="preserve">[15] Strobl C, Boulesteix A-L, Zeileis A, et al. Bias in random forest variable importance measures: Illustrations, sources and a solution. BMC Bioinformatics [Internet]. 2007;8. Available from:</w:t>
      </w:r>
      <w:r>
        <w:t xml:space="preserve"> </w:t>
      </w:r>
      <w:hyperlink r:id="rId62">
        <w:r>
          <w:rPr>
            <w:rStyle w:val="Hyperlink"/>
          </w:rPr>
          <w:t xml:space="preserve">https://doi.org/10.1186/1471-2105-8-25</w:t>
        </w:r>
      </w:hyperlink>
      <w:r>
        <w:t xml:space="preserve">.</w:t>
      </w:r>
    </w:p>
    <w:bookmarkEnd w:id="63"/>
    <w:bookmarkStart w:id="65" w:name="ref-heatmaply"/>
    <w:p>
      <w:pPr>
        <w:pStyle w:val="BodyText"/>
      </w:pPr>
      <w:r>
        <w:t xml:space="preserve">[16] Galili, Tal, O’Callaghan, et al. Heatmaply: An r package for creating interactive cluster heatmaps for online publishing. Bioinformatics [Internet]. 2017; Available from:</w:t>
      </w:r>
      <w:r>
        <w:t xml:space="preserve"> </w:t>
      </w:r>
      <w:hyperlink r:id="rId64">
        <w:r>
          <w:rPr>
            <w:rStyle w:val="Hyperlink"/>
          </w:rPr>
          <w:t xml:space="preserve">http://dx.doi.org/10.1093/bioinformatics/btx657</w:t>
        </w:r>
      </w:hyperlink>
      <w:r>
        <w:t xml:space="preserve">.</w:t>
      </w:r>
    </w:p>
    <w:bookmarkEnd w:id="65"/>
    <w:bookmarkStart w:id="67" w:name="ref-Bonadonna2010"/>
    <w:p>
      <w:pPr>
        <w:pStyle w:val="BodyText"/>
      </w:pPr>
      <w:r>
        <w:t xml:space="preserve">[17] Bonadonna P, Zanotti R, Müller U. Mastocytosis and insect venom allergy. Current Opinion in Allergy and Clinical Immunology [Internet]. 2010;10:347–353. Available from:</w:t>
      </w:r>
      <w:r>
        <w:t xml:space="preserve"> </w:t>
      </w:r>
      <w:hyperlink r:id="rId66">
        <w:r>
          <w:rPr>
            <w:rStyle w:val="Hyperlink"/>
          </w:rPr>
          <w:t xml:space="preserve">https://doi.org/10.1097/aci.0b013e32833b280c</w:t>
        </w:r>
      </w:hyperlink>
      <w:r>
        <w:t xml:space="preserve">.</w:t>
      </w:r>
    </w:p>
    <w:bookmarkEnd w:id="67"/>
    <w:bookmarkStart w:id="69" w:name="ref-CDT1609"/>
    <w:p>
      <w:pPr>
        <w:pStyle w:val="BodyText"/>
      </w:pPr>
      <w:r>
        <w:t xml:space="preserve">[18] Gangadharan V, Bhatheja S, Balbissi KA. Kounis syndrome - an atopic monster for the heart. Cardiovascular Diagnosis and Therapy [Internet]. 2013;3. Available from:</w:t>
      </w:r>
      <w:r>
        <w:t xml:space="preserve"> </w:t>
      </w:r>
      <w:hyperlink r:id="rId68">
        <w:r>
          <w:rPr>
            <w:rStyle w:val="Hyperlink"/>
          </w:rPr>
          <w:t xml:space="preserve">http://cdt.amegroups.com/article/view/1609</w:t>
        </w:r>
      </w:hyperlink>
      <w:r>
        <w:t xml:space="preserve">.</w:t>
      </w:r>
    </w:p>
    <w:bookmarkEnd w:id="69"/>
    <w:bookmarkStart w:id="70" w:name="ref-sinkiewicz2008allergic"/>
    <w:p>
      <w:pPr>
        <w:pStyle w:val="BodyText"/>
      </w:pPr>
      <w:r>
        <w:t xml:space="preserve">[19] Sinkiewicz W, Sobański P, Bartuzi Z. Allergic myocardial infarction. Cardiology Journal. 2008;15:220–225.</w:t>
      </w:r>
    </w:p>
    <w:bookmarkEnd w:id="70"/>
    <w:bookmarkStart w:id="72" w:name="ref-Sharma2016"/>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71">
        <w:r>
          <w:rPr>
            <w:rStyle w:val="Hyperlink"/>
          </w:rPr>
          <w:t xml:space="preserve">https://doi.org/10.4103/2249-4863.201165</w:t>
        </w:r>
      </w:hyperlink>
      <w:r>
        <w:t xml:space="preserve">.</w:t>
      </w:r>
    </w:p>
    <w:bookmarkEnd w:id="72"/>
    <w:bookmarkStart w:id="74" w:name="ref-Valent2019"/>
    <w:p>
      <w:pPr>
        <w:pStyle w:val="BodyText"/>
      </w:pPr>
      <w:r>
        <w:t xml:space="preserve">[21]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73">
        <w:r>
          <w:rPr>
            <w:rStyle w:val="Hyperlink"/>
          </w:rPr>
          <w:t xml:space="preserve">https://doi.org/10.1159/000501079</w:t>
        </w:r>
      </w:hyperlink>
      <w:r>
        <w:t xml:space="preserve">.</w:t>
      </w:r>
    </w:p>
    <w:bookmarkEnd w:id="74"/>
    <w:bookmarkStart w:id="76" w:name="ref-Zanotti2015"/>
    <w:p>
      <w:pPr>
        <w:pStyle w:val="BodyText"/>
      </w:pPr>
      <w:r>
        <w:t xml:space="preserve">[22]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75">
        <w:r>
          <w:rPr>
            <w:rStyle w:val="Hyperlink"/>
          </w:rPr>
          <w:t xml:space="preserve">https://doi.org/10.1016/j.jaci.2014.11.035</w:t>
        </w:r>
      </w:hyperlink>
      <w:r>
        <w:t xml:space="preserve">.</w:t>
      </w:r>
    </w:p>
    <w:bookmarkEnd w:id="76"/>
    <w:bookmarkStart w:id="78" w:name="ref-Aurich2019"/>
    <w:p>
      <w:pPr>
        <w:pStyle w:val="BodyText"/>
      </w:pPr>
      <w:r>
        <w:t xml:space="preserve">[23] Aurich S, Dölle-Bierke S, Francuzik W, et al. Anaphylaxis in elderly patientsData from the european anaphylaxis registry. Frontiers in Immunology [Internet]. 2019;10. Available from:</w:t>
      </w:r>
      <w:r>
        <w:t xml:space="preserve"> </w:t>
      </w:r>
      <w:hyperlink r:id="rId77">
        <w:r>
          <w:rPr>
            <w:rStyle w:val="Hyperlink"/>
          </w:rPr>
          <w:t xml:space="preserve">https://doi.org/10.3389/fimmu.2019.00750</w:t>
        </w:r>
      </w:hyperlink>
      <w:r>
        <w:t xml:space="preserve">.</w:t>
      </w:r>
    </w:p>
    <w:bookmarkEnd w:id="78"/>
    <w:bookmarkStart w:id="80" w:name="ref-JaraAcevedo2015"/>
    <w:p>
      <w:pPr>
        <w:pStyle w:val="BodyText"/>
      </w:pPr>
      <w:r>
        <w:t xml:space="preserve">[24] Jara-Acevedo M, Teodosio C, Sanchez-Muñoz L, et al. Detection of the KIT d816v mutation in peripheral blood of systemic mastocytosis: Diagnostic implications. Modern Pathology [Internet]. 2015;28:1138–1149. Available from:</w:t>
      </w:r>
      <w:r>
        <w:t xml:space="preserve"> </w:t>
      </w:r>
      <w:hyperlink r:id="rId79">
        <w:r>
          <w:rPr>
            <w:rStyle w:val="Hyperlink"/>
          </w:rPr>
          <w:t xml:space="preserve">https://doi.org/10.1038/modpathol.2015.72</w:t>
        </w:r>
      </w:hyperlink>
      <w:r>
        <w:t xml:space="preserve">.</w:t>
      </w:r>
    </w:p>
    <w:bookmarkEnd w:id="80"/>
    <w:bookmarkStart w:id="82" w:name="ref-Braganza2005"/>
    <w:p>
      <w:pPr>
        <w:pStyle w:val="BodyText"/>
      </w:pPr>
      <w:r>
        <w:t xml:space="preserve">[25] Braganza SC. Paediatric emergency department anaphylaxis: Different patterns from adults. Archives of Disease in Childhood [Internet]. 2005;91:159–163. Available from:</w:t>
      </w:r>
      <w:r>
        <w:t xml:space="preserve"> </w:t>
      </w:r>
      <w:hyperlink r:id="rId81">
        <w:r>
          <w:rPr>
            <w:rStyle w:val="Hyperlink"/>
          </w:rPr>
          <w:t xml:space="preserve">https://doi.org/10.1136/adc.2004.069914</w:t>
        </w:r>
      </w:hyperlink>
      <w:r>
        <w:t xml:space="preserve">.</w:t>
      </w:r>
    </w:p>
    <w:bookmarkEnd w:id="82"/>
    <w:bookmarkStart w:id="84" w:name="ref-Tham2019"/>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83">
        <w:r>
          <w:rPr>
            <w:rStyle w:val="Hyperlink"/>
          </w:rPr>
          <w:t xml:space="preserve">https://doi.org/10.4168/aair.2019.11.1.4</w:t>
        </w:r>
      </w:hyperlink>
      <w:r>
        <w:t xml:space="preserve">.</w:t>
      </w:r>
    </w:p>
    <w:bookmarkEnd w:id="84"/>
    <w:bookmarkStart w:id="85" w:name="ref-Muraro2014"/>
    <w:p>
      <w:pPr>
        <w:pStyle w:val="BodyText"/>
      </w:pPr>
      <w:r>
        <w:t xml:space="preserve">[27] Muraro A, Roberts G, Worm M, et al. Anaphylaxis: Guidelines from the european academy of allergy and clinical immunology. Allergy. 2014;69:1026–1045.</w:t>
      </w:r>
    </w:p>
    <w:bookmarkEnd w:id="85"/>
    <w:bookmarkStart w:id="86" w:name="ref-old"/>
    <w:p>
      <w:pPr>
        <w:pStyle w:val="BodyText"/>
      </w:pPr>
      <w:r>
        <w:t xml:space="preserve">[28] Bischof RO. Seasonal incidence of insect stings: Autumn ’yellow jacket delirium’. Journal of Family Practice. 1996;271.</w:t>
      </w:r>
    </w:p>
    <w:bookmarkEnd w:id="86"/>
    <w:bookmarkStart w:id="88" w:name="ref-Spradbery_1992"/>
    <w:p>
      <w:pPr>
        <w:pStyle w:val="BodyText"/>
      </w:pPr>
      <w:r>
        <w:t xml:space="preserve">[29] Spradbery J, Maywald G. The distribution of the european or german wasp, vespula-germanica (f) (hymenoptera, vespidae), in australia - past, present and future. Australian Journal of Zoology [Internet]. 1992;40:495. Available from:</w:t>
      </w:r>
      <w:r>
        <w:t xml:space="preserve"> </w:t>
      </w:r>
      <w:hyperlink r:id="rId87">
        <w:r>
          <w:rPr>
            <w:rStyle w:val="Hyperlink"/>
          </w:rPr>
          <w:t xml:space="preserve">https://doi.org/10.1071%2Fzo9920495</w:t>
        </w:r>
      </w:hyperlink>
      <w:r>
        <w:t xml:space="preserve">.</w:t>
      </w:r>
    </w:p>
    <w:bookmarkEnd w:id="88"/>
    <w:bookmarkEnd w:id="89"/>
    <w:p>
      <w:pPr>
        <w:pStyle w:val="Heading5"/>
      </w:pPr>
      <w:bookmarkStart w:id="90" w:name="section-1"/>
      <w:bookmarkEnd w:id="90"/>
    </w:p>
    <w:p>
      <w:pPr>
        <w:pStyle w:val="Heading1"/>
      </w:pPr>
      <w:bookmarkStart w:id="91" w:name="figures"/>
      <w:r>
        <w:t xml:space="preserve">Figures</w:t>
      </w:r>
      <w:bookmarkEnd w:id="91"/>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92"/>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93" w:name="section-2"/>
      <w:bookmarkEnd w:id="93"/>
    </w:p>
    <w:p>
      <w:pPr>
        <w:pStyle w:val="CaptionedFigure"/>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94"/>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95" w:name="section-3"/>
      <w:bookmarkEnd w:id="95"/>
    </w:p>
    <w:p>
      <w:pPr>
        <w:pStyle w:val="CaptionedFigure"/>
      </w:pPr>
      <w:r>
        <w:drawing>
          <wp:inline>
            <wp:extent cx="5943600" cy="4086225"/>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96"/>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97" w:name="section-4"/>
      <w:bookmarkEnd w:id="97"/>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98"/>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99" w:name="section-5"/>
      <w:bookmarkEnd w:id="99"/>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00"/>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01" w:name="section-6"/>
      <w:bookmarkEnd w:id="101"/>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10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103" w:name="section-7"/>
      <w:bookmarkEnd w:id="103"/>
    </w:p>
    <w:p>
      <w:pPr>
        <w:pStyle w:val="Heading1"/>
      </w:pPr>
      <w:bookmarkStart w:id="104" w:name="supplementary-figures"/>
      <w:r>
        <w:t xml:space="preserve">Supplementary Figures</w:t>
      </w:r>
      <w:bookmarkEnd w:id="104"/>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CaptionedFigure"/>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10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109"/>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-0.231</w:t>
      </w:r>
      <w:r>
        <w:t xml:space="preserve">***</w:t>
      </w:r>
    </w:p>
    <w:p>
      <w:pPr>
        <w:pStyle w:val="Compact"/>
      </w:pPr>
      <w:r>
        <w:t xml:space="preserve">(0.087)</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0.574</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6,900</w:t>
      </w:r>
    </w:p>
    <w:p>
      <w:pPr>
        <w:pStyle w:val="Compact"/>
      </w:pPr>
      <w:r>
        <w:t xml:space="preserve">Log Likelihood</w:t>
      </w:r>
    </w:p>
    <w:p>
      <w:pPr>
        <w:pStyle w:val="Compact"/>
      </w:pPr>
      <w:r>
        <w:t xml:space="preserve">-4,699.670</w:t>
      </w:r>
    </w:p>
    <w:p>
      <w:pPr>
        <w:pStyle w:val="Compact"/>
      </w:pPr>
      <w:r>
        <w:t xml:space="preserve">Akaike Inf. Crit.</w:t>
      </w:r>
    </w:p>
    <w:p>
      <w:pPr>
        <w:pStyle w:val="Compact"/>
      </w:pPr>
      <w:r>
        <w:t xml:space="preserve">9,407.341</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hyperlink" Id="rId68" Target="http://cdt.amegroups.com/article/view/1609" TargetMode="External" /><Relationship Type="http://schemas.openxmlformats.org/officeDocument/2006/relationships/hyperlink" Id="rId64" Target="http://dx.doi.org/10.1093/bioinformatics/btx657" TargetMode="External" /><Relationship Type="http://schemas.openxmlformats.org/officeDocument/2006/relationships/hyperlink" Id="rId56" Target="http://www.jstatsoft.org/v42/i08/" TargetMode="External" /><Relationship Type="http://schemas.openxmlformats.org/officeDocument/2006/relationships/hyperlink" Id="rId48" Target="http://www.sciencedirect.com/science/article/pii/0091674989903874" TargetMode="External" /><Relationship Type="http://schemas.openxmlformats.org/officeDocument/2006/relationships/hyperlink" Id="rId60" Target="https://CRAN.R-project.org/doc/Rnews/" TargetMode="External" /><Relationship Type="http://schemas.openxmlformats.org/officeDocument/2006/relationships/hyperlink" Id="rId75" Target="https://doi.org/10.1016/j.jaci.2014.11.035" TargetMode="External" /><Relationship Type="http://schemas.openxmlformats.org/officeDocument/2006/relationships/hyperlink" Id="rId52" Target="https://doi.org/10.1016/j.jaci.2015.11.015" TargetMode="External" /><Relationship Type="http://schemas.openxmlformats.org/officeDocument/2006/relationships/hyperlink" Id="rId79" Target="https://doi.org/10.1038/modpathol.2015.72" TargetMode="External" /><Relationship Type="http://schemas.openxmlformats.org/officeDocument/2006/relationships/hyperlink" Id="rId87"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66" Target="https://doi.org/10.1097/aci.0b013e32833b280c" TargetMode="External" /><Relationship Type="http://schemas.openxmlformats.org/officeDocument/2006/relationships/hyperlink" Id="rId46"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81" Target="https://doi.org/10.1136/adc.2004.069914" TargetMode="External" /><Relationship Type="http://schemas.openxmlformats.org/officeDocument/2006/relationships/hyperlink" Id="rId73" Target="https://doi.org/10.1159/000501079" TargetMode="External" /><Relationship Type="http://schemas.openxmlformats.org/officeDocument/2006/relationships/hyperlink" Id="rId62" Target="https://doi.org/10.1186/1471-2105-8-25" TargetMode="External" /><Relationship Type="http://schemas.openxmlformats.org/officeDocument/2006/relationships/hyperlink" Id="rId44" Target="https://doi.org/10.2147/jaa.s159411" TargetMode="External" /><Relationship Type="http://schemas.openxmlformats.org/officeDocument/2006/relationships/hyperlink" Id="rId77" Target="https://doi.org/10.3389/fimmu.2019.00750" TargetMode="External" /><Relationship Type="http://schemas.openxmlformats.org/officeDocument/2006/relationships/hyperlink" Id="rId71" Target="https://doi.org/10.4103/2249-4863.201165" TargetMode="External" /><Relationship Type="http://schemas.openxmlformats.org/officeDocument/2006/relationships/hyperlink" Id="rId83" Target="https://doi.org/10.4168/aair.2019.11.1.4" TargetMode="External" /><Relationship Type="http://schemas.openxmlformats.org/officeDocument/2006/relationships/hyperlink" Id="rId24"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68" Target="http://cdt.amegroups.com/article/view/1609" TargetMode="External" /><Relationship Type="http://schemas.openxmlformats.org/officeDocument/2006/relationships/hyperlink" Id="rId64" Target="http://dx.doi.org/10.1093/bioinformatics/btx657" TargetMode="External" /><Relationship Type="http://schemas.openxmlformats.org/officeDocument/2006/relationships/hyperlink" Id="rId56" Target="http://www.jstatsoft.org/v42/i08/" TargetMode="External" /><Relationship Type="http://schemas.openxmlformats.org/officeDocument/2006/relationships/hyperlink" Id="rId48" Target="http://www.sciencedirect.com/science/article/pii/0091674989903874" TargetMode="External" /><Relationship Type="http://schemas.openxmlformats.org/officeDocument/2006/relationships/hyperlink" Id="rId60" Target="https://CRAN.R-project.org/doc/Rnews/" TargetMode="External" /><Relationship Type="http://schemas.openxmlformats.org/officeDocument/2006/relationships/hyperlink" Id="rId75" Target="https://doi.org/10.1016/j.jaci.2014.11.035" TargetMode="External" /><Relationship Type="http://schemas.openxmlformats.org/officeDocument/2006/relationships/hyperlink" Id="rId52" Target="https://doi.org/10.1016/j.jaci.2015.11.015" TargetMode="External" /><Relationship Type="http://schemas.openxmlformats.org/officeDocument/2006/relationships/hyperlink" Id="rId79" Target="https://doi.org/10.1038/modpathol.2015.72" TargetMode="External" /><Relationship Type="http://schemas.openxmlformats.org/officeDocument/2006/relationships/hyperlink" Id="rId87"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66" Target="https://doi.org/10.1097/aci.0b013e32833b280c" TargetMode="External" /><Relationship Type="http://schemas.openxmlformats.org/officeDocument/2006/relationships/hyperlink" Id="rId46"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81" Target="https://doi.org/10.1136/adc.2004.069914" TargetMode="External" /><Relationship Type="http://schemas.openxmlformats.org/officeDocument/2006/relationships/hyperlink" Id="rId73" Target="https://doi.org/10.1159/000501079" TargetMode="External" /><Relationship Type="http://schemas.openxmlformats.org/officeDocument/2006/relationships/hyperlink" Id="rId62" Target="https://doi.org/10.1186/1471-2105-8-25" TargetMode="External" /><Relationship Type="http://schemas.openxmlformats.org/officeDocument/2006/relationships/hyperlink" Id="rId44" Target="https://doi.org/10.2147/jaa.s159411" TargetMode="External" /><Relationship Type="http://schemas.openxmlformats.org/officeDocument/2006/relationships/hyperlink" Id="rId77" Target="https://doi.org/10.3389/fimmu.2019.00750" TargetMode="External" /><Relationship Type="http://schemas.openxmlformats.org/officeDocument/2006/relationships/hyperlink" Id="rId71" Target="https://doi.org/10.4103/2249-4863.201165" TargetMode="External" /><Relationship Type="http://schemas.openxmlformats.org/officeDocument/2006/relationships/hyperlink" Id="rId83" Target="https://doi.org/10.4168/aair.2019.11.1.4" TargetMode="External" /><Relationship Type="http://schemas.openxmlformats.org/officeDocument/2006/relationships/hyperlink" Id="rId24"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 induced anaphylaxis: a case - control study of the European Anaphylaxis Registry</dc:title>
  <dc:creator>Wojciech Francuzik1; Franziska Ruëff2; Sabine Dölle-Bierke1; Claudia Pföhler3; Kathrin Scherer Hofmeier4; Bettina Wedi5; A Bauer6; N Wagner7; Regina Treudler8; Thomas Hawranek9; Nicos Papadopoulus10; Montserat Fernandes-Rivas11; Jean Marie Reanudin12; Victoria Cardona13; M. Bilo14; Izabela Poziomkowska-Gęsicka15; George Christoff16; Tilo Jakob17; John Hourihane18; L Ensina19; Margitta Worm1</dc:creator>
  <cp:keywords/>
  <dcterms:created xsi:type="dcterms:W3CDTF">2019-11-27T12:42:54Z</dcterms:created>
  <dcterms:modified xsi:type="dcterms:W3CDTF">2019-11-27T12:42:54Z</dcterms:modified>
</cp:coreProperties>
</file>