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105.png" ContentType="image/png"/>
  <Override PartName="/word/media/rId103.png" ContentType="image/png"/>
  <Override PartName="/word/media/rId101.png" ContentType="image/png"/>
  <Override PartName="/word/media/rId99.png" ContentType="image/png"/>
  <Override PartName="/word/media/rId110.png" ContentType="image/png"/>
  <Override PartName="/word/media/rId112.png" ContentType="image/png"/>
  <Override PartName="/word/media/rId117.png" ContentType="image/png"/>
  <Override PartName="/word/media/rId116.png" ContentType="image/png"/>
  <Override PartName="/word/media/rId114.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venom-induced</w:t>
      </w:r>
      <w:r>
        <w:t xml:space="preserve"> </w:t>
      </w:r>
      <w:r>
        <w:t xml:space="preserve">anaphylaxis:</w:t>
      </w:r>
      <w:r>
        <w:t xml:space="preserve"> </w:t>
      </w:r>
      <w:r>
        <w:t xml:space="preserve">a</w:t>
      </w:r>
      <w:r>
        <w:t xml:space="preserve"> </w:t>
      </w:r>
      <w:r>
        <w:t xml:space="preserve">case-control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Date"/>
      </w:pPr>
      <w:r>
        <w:t xml:space="preserve">19</w:t>
      </w:r>
      <w:r>
        <w:t xml:space="preserve"> </w:t>
      </w:r>
      <w:r>
        <w:t xml:space="preserve">Dezember,</w:t>
      </w:r>
      <w:r>
        <w:t xml:space="preserve"> </w:t>
      </w:r>
      <w:r>
        <w:t xml:space="preserve">2019</w:t>
      </w:r>
    </w:p>
    <w:p>
      <w:pPr>
        <w:pStyle w:val="FirstParagraph"/>
      </w:pPr>
      <w:r>
        <w:t xml:space="preserve">Wojciech Francuzik</w:t>
      </w:r>
      <w:r>
        <w:rPr>
          <w:vertAlign w:val="superscript"/>
        </w:rPr>
        <w:t xml:space="preserve">1</w:t>
      </w:r>
      <w:r>
        <w:t xml:space="preserve">,</w:t>
      </w:r>
      <w:r>
        <w:t xml:space="preserve"> </w:t>
      </w:r>
      <w:r>
        <w:t xml:space="preserve">Franziska Ruëff</w:t>
      </w:r>
      <w:r>
        <w:rPr>
          <w:vertAlign w:val="superscript"/>
        </w:rPr>
        <w:t xml:space="preserve">2</w:t>
      </w:r>
      <w:r>
        <w:t xml:space="preserve">,</w:t>
      </w:r>
      <w:r>
        <w:t xml:space="preserve"> </w:t>
      </w:r>
      <w:r>
        <w:t xml:space="preserve">Andrea Bauer</w:t>
      </w:r>
      <w:r>
        <w:rPr>
          <w:vertAlign w:val="superscript"/>
        </w:rPr>
        <w:t xml:space="preserve">3</w:t>
      </w:r>
      <w:r>
        <w:t xml:space="preserve">,.</w:t>
      </w:r>
      <w:r>
        <w:t xml:space="preserve"> </w:t>
      </w:r>
      <w:r>
        <w:t xml:space="preserve">Maria Beatrice Bilò</w:t>
      </w:r>
      <w:r>
        <w:t xml:space="preserve"> </w:t>
      </w:r>
      <w:r>
        <w:rPr>
          <w:vertAlign w:val="superscript"/>
        </w:rPr>
        <w:t xml:space="preserve">4,5</w:t>
      </w:r>
      <w:r>
        <w:t xml:space="preserve">,</w:t>
      </w:r>
      <w:r>
        <w:t xml:space="preserve"> </w:t>
      </w:r>
      <w:r>
        <w:t xml:space="preserve">Victoria Cardona</w:t>
      </w:r>
      <w:r>
        <w:rPr>
          <w:vertAlign w:val="superscript"/>
        </w:rPr>
        <w:t xml:space="preserve">6</w:t>
      </w:r>
      <w:r>
        <w:t xml:space="preserve">,</w:t>
      </w:r>
      <w:r>
        <w:t xml:space="preserve"> </w:t>
      </w:r>
      <w:r>
        <w:t xml:space="preserve">George Christoff</w:t>
      </w:r>
      <w:r>
        <w:rPr>
          <w:vertAlign w:val="superscript"/>
        </w:rPr>
        <w:t xml:space="preserve">7</w:t>
      </w:r>
      <w:r>
        <w:t xml:space="preserve">,</w:t>
      </w:r>
      <w:r>
        <w:t xml:space="preserve"> </w:t>
      </w:r>
      <w:r>
        <w:t xml:space="preserve">Sabine Dölle-Bierke</w:t>
      </w:r>
      <w:r>
        <w:rPr>
          <w:vertAlign w:val="superscript"/>
        </w:rPr>
        <w:t xml:space="preserve">8</w:t>
      </w:r>
      <w:r>
        <w:t xml:space="preserve">,</w:t>
      </w:r>
      <w:r>
        <w:t xml:space="preserve"> </w:t>
      </w:r>
      <w:r>
        <w:t xml:space="preserve">Luis Ensina</w:t>
      </w:r>
      <w:r>
        <w:rPr>
          <w:vertAlign w:val="superscript"/>
        </w:rPr>
        <w:t xml:space="preserve">9</w:t>
      </w:r>
      <w:r>
        <w:t xml:space="preserve">,</w:t>
      </w:r>
      <w:r>
        <w:t xml:space="preserve"> </w:t>
      </w:r>
      <w:r>
        <w:t xml:space="preserve">Montserat Fernandes-Rivas</w:t>
      </w:r>
      <w:r>
        <w:rPr>
          <w:vertAlign w:val="superscript"/>
        </w:rPr>
        <w:t xml:space="preserve">7,11</w:t>
      </w:r>
      <w:r>
        <w:t xml:space="preserve">,</w:t>
      </w:r>
      <w:r>
        <w:t xml:space="preserve"> </w:t>
      </w:r>
      <w:r>
        <w:t xml:space="preserve">Thomas Hawranek</w:t>
      </w:r>
      <w:r>
        <w:rPr>
          <w:vertAlign w:val="superscript"/>
        </w:rPr>
        <w:t xml:space="preserve">12</w:t>
      </w:r>
      <w:r>
        <w:t xml:space="preserve">,</w:t>
      </w:r>
      <w:r>
        <w:t xml:space="preserve"> </w:t>
      </w:r>
      <w:r>
        <w:t xml:space="preserve">Johnathan O’B Hourihane</w:t>
      </w:r>
      <w:r>
        <w:rPr>
          <w:vertAlign w:val="superscript"/>
        </w:rPr>
        <w:t xml:space="preserve">13</w:t>
      </w:r>
      <w:r>
        <w:t xml:space="preserve">,</w:t>
      </w:r>
      <w:r>
        <w:t xml:space="preserve"> </w:t>
      </w:r>
      <w:r>
        <w:t xml:space="preserve">Tilo Jakob</w:t>
      </w:r>
      <w:r>
        <w:rPr>
          <w:vertAlign w:val="superscript"/>
        </w:rPr>
        <w:t xml:space="preserve">14,15</w:t>
      </w:r>
      <w:r>
        <w:t xml:space="preserve">,</w:t>
      </w:r>
      <w:r>
        <w:t xml:space="preserve"> </w:t>
      </w:r>
      <w:r>
        <w:t xml:space="preserve">Nicos G. Papadopoulus</w:t>
      </w:r>
      <w:r>
        <w:rPr>
          <w:vertAlign w:val="superscript"/>
        </w:rPr>
        <w:t xml:space="preserve">16,17</w:t>
      </w:r>
      <w:r>
        <w:t xml:space="preserve">,</w:t>
      </w:r>
      <w:r>
        <w:t xml:space="preserve"> </w:t>
      </w:r>
      <w:r>
        <w:t xml:space="preserve">Claudia Pföhler</w:t>
      </w:r>
      <w:r>
        <w:rPr>
          <w:vertAlign w:val="superscript"/>
        </w:rPr>
        <w:t xml:space="preserve">18</w:t>
      </w:r>
      <w:r>
        <w:t xml:space="preserve">,</w:t>
      </w:r>
      <w:r>
        <w:t xml:space="preserve"> </w:t>
      </w:r>
      <w:r>
        <w:t xml:space="preserve">Iwona Poziomkowska-Gęsicka</w:t>
      </w:r>
      <w:r>
        <w:rPr>
          <w:vertAlign w:val="superscript"/>
        </w:rPr>
        <w:t xml:space="preserve">19</w:t>
      </w:r>
      <w:r>
        <w:t xml:space="preserve">,</w:t>
      </w:r>
      <w:r>
        <w:t xml:space="preserve"> </w:t>
      </w:r>
      <w:r>
        <w:t xml:space="preserve">Xavier Van der Brempt</w:t>
      </w:r>
      <w:r>
        <w:rPr>
          <w:vertAlign w:val="superscript"/>
        </w:rPr>
        <w:t xml:space="preserve">20</w:t>
      </w:r>
      <w:r>
        <w:t xml:space="preserve">,</w:t>
      </w:r>
      <w:r>
        <w:t xml:space="preserve"> </w:t>
      </w:r>
      <w:r>
        <w:t xml:space="preserve">Kathrin Scherer Hofmeier</w:t>
      </w:r>
      <w:r>
        <w:rPr>
          <w:vertAlign w:val="superscript"/>
        </w:rPr>
        <w:t xml:space="preserve">21</w:t>
      </w:r>
      <w:r>
        <w:t xml:space="preserve">,</w:t>
      </w:r>
      <w:r>
        <w:t xml:space="preserve"> </w:t>
      </w:r>
      <w:r>
        <w:t xml:space="preserve">Regina Treudler</w:t>
      </w:r>
      <w:r>
        <w:rPr>
          <w:vertAlign w:val="superscript"/>
        </w:rPr>
        <w:t xml:space="preserve">22</w:t>
      </w:r>
      <w:r>
        <w:t xml:space="preserve">,</w:t>
      </w:r>
      <w:r>
        <w:t xml:space="preserve"> </w:t>
      </w:r>
      <w:r>
        <w:t xml:space="preserve">Nicola Wagner</w:t>
      </w:r>
      <w:r>
        <w:rPr>
          <w:vertAlign w:val="superscript"/>
        </w:rPr>
        <w:t xml:space="preserve">23</w:t>
      </w:r>
      <w:r>
        <w:t xml:space="preserve">,</w:t>
      </w:r>
      <w:r>
        <w:t xml:space="preserve"> </w:t>
      </w:r>
      <w:r>
        <w:t xml:space="preserve">Bettina Wedi</w:t>
      </w:r>
      <w:r>
        <w:rPr>
          <w:vertAlign w:val="superscript"/>
        </w:rPr>
        <w:t xml:space="preserve">24</w:t>
      </w:r>
      <w:r>
        <w:t xml:space="preserve">,</w:t>
      </w:r>
      <w:r>
        <w:t xml:space="preserve"> </w:t>
      </w:r>
      <w:r>
        <w:t xml:space="preserve">Margitta Worm</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Document statistics:</w:t>
      </w:r>
      <w:r>
        <w:t xml:space="preserve"> </w:t>
      </w:r>
      <w:r>
        <w:t xml:space="preserve">2838 words, 5 figures, 0 tables, 29 references</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w:t>
      </w:r>
    </w:p>
    <w:p>
      <w:pPr>
        <w:pStyle w:val="BodyText"/>
      </w:pPr>
      <w:r>
        <w:rPr>
          <w:b/>
        </w:rPr>
        <w:t xml:space="preserve">List of abbreviations:</w:t>
      </w:r>
    </w:p>
    <w:p>
      <w:pPr>
        <w:pStyle w:val="Compact"/>
        <w:numPr>
          <w:numId w:val="1001"/>
          <w:ilvl w:val="0"/>
        </w:numPr>
      </w:pPr>
      <w:r>
        <w:t xml:space="preserve">VIA - venom-induced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key-points"/>
      <w:r>
        <w:t xml:space="preserve">Key points</w:t>
      </w:r>
      <w:bookmarkEnd w:id="22"/>
    </w:p>
    <w:p>
      <w:pPr>
        <w:pStyle w:val="FirstParagraph"/>
      </w:pPr>
      <w:r>
        <w:rPr>
          <w:b/>
        </w:rPr>
        <w:t xml:space="preserve">Question:</w:t>
      </w:r>
      <w:r>
        <w:t xml:space="preserve"> </w:t>
      </w:r>
      <w:r>
        <w:t xml:space="preserve">What is the phenotype of insect venom anaphylaxis?</w:t>
      </w:r>
    </w:p>
    <w:p>
      <w:pPr>
        <w:pStyle w:val="BodyText"/>
      </w:pPr>
      <w:r>
        <w:rPr>
          <w:b/>
        </w:rPr>
        <w:t xml:space="preserve">Findings:</w:t>
      </w:r>
      <w:r>
        <w:t xml:space="preserve"> </w:t>
      </w:r>
      <w:r>
        <w:t xml:space="preserve">This case-control study showed that venom-induced anaphylaxis significantly more often presented with cardiovascular symptoms. Secondly, severe cases of venom-induced anaphylaxis were significantly more often associated with the lack of skin symptoms upon anaphylaxis and showed a significant interaction with the levels of baseline serum tryptase (in range from 8 - 11 ng/ml).</w:t>
      </w:r>
    </w:p>
    <w:p>
      <w:pPr>
        <w:pStyle w:val="BodyText"/>
      </w:pPr>
      <w:r>
        <w:rPr>
          <w:b/>
        </w:rPr>
        <w:t xml:space="preserve">Meaning:</w:t>
      </w:r>
      <w:r>
        <w:t xml:space="preserve"> </w:t>
      </w:r>
      <w:r>
        <w:t xml:space="preserve">Allegologists should consider intesified prophylaxis (and diagnostic) measures in patients with baseline tryptase levels of above 8 and a history of insect venom anaphylaxis.</w:t>
      </w:r>
    </w:p>
    <w:p>
      <w:pPr>
        <w:pStyle w:val="Heading5"/>
      </w:pPr>
      <w:bookmarkStart w:id="23" w:name="section-1"/>
      <w:bookmarkEnd w:id="23"/>
    </w:p>
    <w:p>
      <w:pPr>
        <w:pStyle w:val="Heading1"/>
      </w:pPr>
      <w:bookmarkStart w:id="24" w:name="abstract"/>
      <w:r>
        <w:t xml:space="preserve">Abstract</w:t>
      </w:r>
      <w:bookmarkEnd w:id="24"/>
    </w:p>
    <w:p>
      <w:pPr>
        <w:pStyle w:val="FirstParagraph"/>
      </w:pPr>
      <w:r>
        <w:rPr>
          <w:b/>
        </w:rPr>
        <w:t xml:space="preserve">Importance:</w:t>
      </w:r>
      <w:r>
        <w:t xml:space="preserve"> </w:t>
      </w:r>
      <w:r>
        <w:t xml:space="preserve">Venom-induced anaphylaxis is a common, potentially life-threatening hypersensitivity reaction associated with specific: 1) symptom profile, 2) cofactors, and 3) management. Identifying the differences in phenotypes of anaphylaxis is crucial for future 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venom-induced anaphylaxis in comparison to other elicitors of anaphylaxis.</w:t>
      </w:r>
    </w:p>
    <w:p>
      <w:pPr>
        <w:pStyle w:val="BodyText"/>
      </w:pPr>
      <w:r>
        <w:rPr>
          <w:b/>
        </w:rPr>
        <w:t xml:space="preserve">Design:</w:t>
      </w:r>
      <w:r>
        <w:t xml:space="preserve"> </w:t>
      </w:r>
      <w:r>
        <w:t xml:space="preserve">Using data from the European Anaphylaxis Registry (12874 cases) we identified 3612 with venom-induced anaphylaxis and analyzed these in comparison to sex- and age-matched anaphylaxis cases triggered by other elicitors (non-VIA n = 3605).</w:t>
      </w:r>
    </w:p>
    <w:p>
      <w:pPr>
        <w:pStyle w:val="BodyText"/>
      </w:pPr>
      <w:r>
        <w:rPr>
          <w:b/>
        </w:rPr>
        <w:t xml:space="preserve">Setting:</w:t>
      </w:r>
      <w:r>
        <w:t xml:space="preserve"> </w:t>
      </w:r>
      <w:r>
        <w:t xml:space="preserve">Multicenter, international, prospective, case-control study.</w:t>
      </w:r>
    </w:p>
    <w:p>
      <w:pPr>
        <w:pStyle w:val="BodyText"/>
      </w:pPr>
      <w:r>
        <w:rPr>
          <w:b/>
        </w:rPr>
        <w:t xml:space="preserve">Participants:</w:t>
      </w:r>
      <w:r>
        <w:t xml:space="preserve"> </w:t>
      </w:r>
      <w:r>
        <w:t xml:space="preserve">All patients with the diagnosis of moderate to severe anaphylaxis (according to Ring and Messmer grade II-IV) who gave informed consent to provide their clinical data for the Anaphylaxis Registry were included in the study. Subsequently, we matched the group of patients presenting with venom anaphylaxis to sex- and age-matched group of patients who presented with anaphylaxis to other elicitors (i.e., food, drugs).</w:t>
      </w:r>
    </w:p>
    <w:p>
      <w:pPr>
        <w:pStyle w:val="BodyText"/>
      </w:pPr>
      <w:r>
        <w:rPr>
          <w:b/>
        </w:rPr>
        <w:t xml:space="preserve">Main Outcome(s) and Measure(s):</w:t>
      </w:r>
      <w:r>
        <w:t xml:space="preserve"> </w:t>
      </w:r>
      <w:r>
        <w:t xml:space="preserve">This study measured the severity of anaphylaxis on the Ring and Messmer scale. Hypotheses regarding the comparisons between groups were formulated during and after data collection.</w:t>
      </w:r>
    </w:p>
    <w:p>
      <w:pPr>
        <w:pStyle w:val="BodyText"/>
      </w:pPr>
      <w:r>
        <w:rPr>
          <w:b/>
        </w:rPr>
        <w:t xml:space="preserve">Results:</w:t>
      </w:r>
      <w:r>
        <w:t xml:space="preserve"> </w:t>
      </w:r>
      <w:r>
        <w:t xml:space="preserve">Venom-induced anaphylaxis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epinephrine was administered significantly less often in venom-induced anaphylaxis, in particular in patients without prior history of anaphylaxis. Baseline serum tryptase within the upper normal range (8-11.5 ng-ml) was more frequently associated with severe anaphylaxis.</w:t>
      </w:r>
    </w:p>
    <w:p>
      <w:pPr>
        <w:pStyle w:val="BodyText"/>
      </w:pPr>
      <w:r>
        <w:rPr>
          <w:b/>
        </w:rPr>
        <w:t xml:space="preserve">Conclusions and Relevance:</w:t>
      </w:r>
      <w:r>
        <w:t xml:space="preserve"> </w:t>
      </w:r>
      <w:r>
        <w:t xml:space="preserve">Regarding the fact that venom-induced anaphylaxis frequently affects the cardiovascular system, patients were undertreated with epinephrine. The lack of skin symptoms (i.e., urticaria or flushing) during anaphylaxis and baseline serum tryptase levels within the upper normal limits were associated with severe reactions. Patients with serum tryptase of above 8 ng/ml and a history of venom anaphylaxis may require additional prophylaxis.</w:t>
      </w:r>
    </w:p>
    <w:p>
      <w:pPr>
        <w:pStyle w:val="Heading5"/>
      </w:pPr>
      <w:bookmarkStart w:id="25" w:name="section-2"/>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rPr>
          <w:vertAlign w:val="superscript"/>
        </w:rPr>
        <w:t xml:space="preserve">1</w:t>
      </w:r>
      <w:r>
        <w:t xml:space="preserve">. Venom-induced anaphylaxis (VIA) can be fatal, and patients sometimes require lifelong specific immunotherapy</w:t>
      </w:r>
      <w:r>
        <w:rPr>
          <w:vertAlign w:val="superscript"/>
        </w:rPr>
        <w:t xml:space="preserve">2</w:t>
      </w:r>
      <w:r>
        <w:t xml:space="preserve">. There is a need for more precise identification of biomarkers, and better definition of phenotypes of anaphylaxis</w:t>
      </w:r>
      <w:r>
        <w:rPr>
          <w:vertAlign w:val="superscript"/>
        </w:rPr>
        <w:t xml:space="preserve">3</w:t>
      </w:r>
      <w:r>
        <w:t xml:space="preserve">. Also, in order to facilitate a precision-medicine approach</w:t>
      </w:r>
      <w:r>
        <w:rPr>
          <w:vertAlign w:val="superscript"/>
        </w:rP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rPr>
          <w:vertAlign w:val="superscript"/>
        </w:rP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rPr>
          <w:vertAlign w:val="superscript"/>
        </w:rP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rPr>
          <w:vertAlign w:val="superscript"/>
        </w:rPr>
        <w:t xml:space="preserve">9</w:t>
      </w:r>
      <w:r>
        <w:t xml:space="preserve"> </w:t>
      </w:r>
      <w:r>
        <w:t xml:space="preserve">and the severity according to the Ring and Messmer Scale</w:t>
      </w:r>
      <w:r>
        <w:rPr>
          <w:vertAlign w:val="superscript"/>
        </w:rPr>
        <w:t xml:space="preserve">10</w:t>
      </w:r>
      <w:r>
        <w:t xml:space="preserve">. Grades III and IV (presenting with significant hypoxia, hypotension, confusion, and loss of consciousness, or incontinence or cardiac arrest) were considered severe. Mastocytosis patients were defined as having a documented diagnosis of mastocytosis prior to the reaction. The Registry is designed for reporting cases of moderate to severe anaphylaxis (Ring and Messmer grades II-IV).</w:t>
      </w:r>
    </w:p>
    <w:p>
      <w:pPr>
        <w:pStyle w:val="BodyText"/>
      </w:pPr>
      <w:r>
        <w:t xml:space="preserve">Due to a large number of documented reactions in the European Anaphylaxis Registry, we were able to match the VIA with non-VIA cases according to sex and age to reduce the comparison bias.</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rPr>
          <w:vertAlign w:val="superscript"/>
        </w:rPr>
        <w:t xml:space="preserve">11</w:t>
      </w:r>
      <w:r>
        <w:t xml:space="preserve">.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venom-induced anaphylaxis reported from allergy centers in 11 countries and sex- and age-matched control group.</w:t>
      </w:r>
      <w:r>
        <w:t xml:space="preserve"> </w:t>
      </w:r>
      <w:r>
        <w:t xml:space="preserve">We compared the frequency of various symptoms, cofactors — known to increase the risk of severe anaphylaxis,</w:t>
      </w:r>
      <w:r>
        <w:rPr>
          <w:vertAlign w:val="superscript"/>
        </w:rPr>
        <w:t xml:space="preserve">12</w:t>
      </w:r>
      <w:r>
        <w:t xml:space="preserve">, and management in both groups.</w:t>
      </w:r>
    </w:p>
    <w:p>
      <w:pPr>
        <w:pStyle w:val="BodyText"/>
      </w:pPr>
      <w:r>
        <w:t xml:space="preserve">Based on the severity and symptom profile and the previous reports</w:t>
      </w:r>
      <w:r>
        <w:rPr>
          <w:vertAlign w:val="superscript"/>
        </w:rPr>
        <w:t xml:space="preserve">6</w:t>
      </w:r>
      <w:r>
        <w:t xml:space="preserve">, we defined sub-elevated baseline serum tryptase (BST) values as 8 - 11.5 ng/ml (Fig.</w:t>
      </w:r>
      <w:r>
        <w:t xml:space="preserve"> </w:t>
      </w:r>
      <w:r>
        <w:t xml:space="preserve">3</w:t>
      </w:r>
      <w:r>
        <w:t xml:space="preserve">B).</w:t>
      </w:r>
    </w:p>
    <w:p>
      <w:pPr>
        <w:pStyle w:val="BodyText"/>
      </w:pPr>
      <w:r>
        <w:t xml:space="preserve">We used the R Statistical Package</w:t>
      </w:r>
      <w:r>
        <w:rPr>
          <w:vertAlign w:val="superscript"/>
        </w:rPr>
        <w:t xml:space="preserve">13</w:t>
      </w:r>
      <w:r>
        <w:t xml:space="preserve"> </w:t>
      </w:r>
      <w:r>
        <w:t xml:space="preserve">for statistical analysis. A simple comparison of categorical variables was performed using either the Chi</w:t>
      </w:r>
      <w:r>
        <w:rPr>
          <w:vertAlign w:val="superscript"/>
        </w:rPr>
        <w:t xml:space="preserve">2</w:t>
      </w:r>
      <w:r>
        <w:t xml:space="preserve"> </w:t>
      </w:r>
      <w:r>
        <w:t xml:space="preserve">test or Fisher’s exact test (where the number of observations in a bin was less than 10). Continuous variables were analyzed using the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rPr>
          <w:vertAlign w:val="superscript"/>
        </w:rPr>
        <w:t xml:space="preserve">14</w:t>
      </w:r>
      <w:r>
        <w:t xml:space="preserve">) in order to find therapeutic approaches that varied the most between VIA / non-VIA group and presented the results as Gini importance</w:t>
      </w:r>
      <w:r>
        <w:rPr>
          <w:vertAlign w:val="superscript"/>
        </w:rPr>
        <w:t xml:space="preserve">15</w:t>
      </w:r>
      <w:r>
        <w:t xml:space="preserve">. Moreover, association analysis of therapeutic interventions and symptoms was performed. The resulting phi values were scaled and presented in a heatmap with automatic clustering using Ward’s Agglomerative Hierarchical Clustering with Euclidean distances</w:t>
      </w:r>
      <w:r>
        <w:rPr>
          <w:vertAlign w:val="superscript"/>
        </w:rP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2012 (55.8%),</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74 (54%) of patients with concomitant mastocytosis had anaphylaxis without skin symptoms (i.e., urticaria and flushing), which was significantly more frequent compared to patients without diagnosed mastocytosis (2022; 30.6%,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2507; 70.7% respectively, p = 0.014). Moreover, in this specific subgroup of patients (i.e., non-mastocytosis patients lacking skin symptoms) VIA was significantly more frequently severe (587,52.9% in VIA vs. 45.8%, 475;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0.006)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658 (18.3%)) and were associated with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(Fig. S</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coexisting cardiovascular diseases. ACE-I use was, however, more often associated with cardiac arrests in all anaphylaxis cases (30 (5.8%) vs. 120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0.099). Surprisingly, arrhythmia was more frequently reported in patients with VIA and concomitant beta-blockers (Fig.</w:t>
      </w:r>
      <w:r>
        <w:t xml:space="preserve"> </w:t>
      </w:r>
      <w:r>
        <w:t xml:space="preserve">4</w:t>
      </w:r>
      <w:r>
        <w:t xml:space="preserve">C).</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(597; 26.9% vs. 738;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The presence of skin symptoms during these mild reactions also was associated with a lower fraction of epinephrine treated patients (Fig.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Cofactors can promote the onset and increase the severity of anaphylaxis.</w:t>
      </w:r>
      <w:r>
        <w:t xml:space="preserve"> </w:t>
      </w:r>
      <w:r>
        <w:t xml:space="preserve">Therefore we evaluated a variety of known cofactors regarding their impact to increase the risk of severe VIA. As expected, t</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rPr>
          <w:vertAlign w:val="superscript"/>
        </w:rPr>
        <w:t xml:space="preserve">7,12,17</w:t>
      </w:r>
      <w:r>
        <w:t xml:space="preserve">.</w:t>
      </w:r>
      <w:r>
        <w:t xml:space="preserve"> </w:t>
      </w:r>
      <w:r>
        <w:t xml:space="preserve">VIA has been associated with Kounis syndrome (coronary arterial spasm induced by the release of mast cell mediators</w:t>
      </w:r>
      <w:r>
        <w:rPr>
          <w:vertAlign w:val="superscript"/>
        </w:rPr>
        <w:t xml:space="preserve">18,19</w:t>
      </w:r>
      <w:r>
        <w:t xml:space="preserve">) and cardiac arrhythmias usually occurring in patients with preexisting heart disease</w:t>
      </w:r>
      <w:r>
        <w:rPr>
          <w:vertAlign w:val="superscript"/>
        </w:rP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Hymenoptera elicited the anaphylaxis</w:t>
      </w:r>
      <w:r>
        <w:t xml:space="preserve">.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correlation of BST levels with the severity of anaphylaxis lead us to identify an interaction between the absence of skin symptoms and VIA using generalized linear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rPr>
          <w:vertAlign w:val="superscript"/>
        </w:rPr>
        <w:t xml:space="preserve">21</w:t>
      </w:r>
      <w:r>
        <w:t xml:space="preserve">. Zanotti et al. identified mast cell disorders in 17 out of 22 patients with VIA lacking skin symptoms and concluded that patients with BST above 7.95 ng/ml and VIA should undergo extensive diagnostic procedures</w:t>
      </w:r>
      <w:r>
        <w:rPr>
          <w:vertAlign w:val="superscript"/>
        </w:rPr>
        <w:t xml:space="preserve">22</w:t>
      </w:r>
      <w:r>
        <w:t xml:space="preserve">. We recently identified that elderly patient undergoing anaphylaxis without concomitant skin symptoms tended to have more severe reactions</w:t>
      </w:r>
      <w:r>
        <w:rPr>
          <w:vertAlign w:val="superscript"/>
        </w:rPr>
        <w:t xml:space="preserve">23</w:t>
      </w:r>
    </w:p>
    <w:p>
      <w:pPr>
        <w:pStyle w:val="BodyText"/>
      </w:pPr>
      <w:r>
        <w:t xml:space="preserve">Based on these and previous findings</w:t>
      </w:r>
      <w:r>
        <w:rPr>
          <w:vertAlign w:val="superscript"/>
        </w:rP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Adult patients experienced VIA more frequently. Young patients mainly suffer from food-induced anaphylaxis</w:t>
      </w:r>
      <w:r>
        <w:rPr>
          <w:vertAlign w:val="superscript"/>
        </w:rP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rPr>
          <w:vertAlign w:val="superscript"/>
        </w:rPr>
        <w:t xml:space="preserve">25</w:t>
      </w:r>
      <w:r>
        <w:t xml:space="preserve">. Senior patients, on the other hand, suffer from drug-related hypersensitivity more often than insect sting hypersensitivity</w:t>
      </w:r>
      <w:r>
        <w:rPr>
          <w:vertAlign w:val="superscript"/>
        </w:rPr>
        <w:t xml:space="preserve">23</w:t>
      </w:r>
      <w:r>
        <w:t xml:space="preserve">.</w:t>
      </w:r>
      <w:r>
        <w:t xml:space="preserve"> </w:t>
      </w:r>
      <w:r>
        <w:t xml:space="preserve"> </w:t>
      </w:r>
      <w:r>
        <w:t xml:space="preserve">Similarly, we observed less VIA in patients with concomitant atopic diseases (Fig.</w:t>
      </w:r>
      <w:r>
        <w:t xml:space="preserve"> </w:t>
      </w:r>
      <w:r>
        <w:t xml:space="preserve">8</w:t>
      </w:r>
      <w:r>
        <w:t xml:space="preserve">) , as these patients more often present with food anaphylaxis</w:t>
      </w:r>
      <w:r>
        <w:rPr>
          <w:vertAlign w:val="superscript"/>
        </w:rPr>
        <w:t xml:space="preserve">26</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rPr>
          <w:vertAlign w:val="superscript"/>
        </w:rPr>
        <w:t xml:space="preserve">27</w:t>
      </w:r>
      <w:r>
        <w:t xml:space="preserve">. Clinicians should not undermine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rPr>
          <w:vertAlign w:val="superscript"/>
        </w:rP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rPr>
          <w:vertAlign w:val="superscript"/>
        </w:rP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VIA cases should undergo therapy according to the international management guidelines, and epinephrine should be given more often in VIA.</w:t>
      </w:r>
    </w:p>
    <w:p>
      <w:pPr>
        <w:pStyle w:val="BodyText"/>
      </w:pPr>
      <w:r>
        <w:t xml:space="preserve">When evaluating the risk of future severe episodes - patients with BST above 8 ng/ml should undergo extensive diagnostic tests to exclude indolent systemic mastocytosis or MCAS and should be provided with two EAIs for acute self-management.</w:t>
      </w:r>
    </w:p>
    <w:p>
      <w:pPr>
        <w:pStyle w:val="Heading1"/>
      </w:pPr>
      <w:bookmarkStart w:id="40" w:name="acknowledgments"/>
      <w:r>
        <w:t xml:space="preserve">Acknowledgments</w:t>
      </w:r>
      <w:bookmarkEnd w:id="40"/>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3"/>
      <w:bookmarkEnd w:id="41"/>
    </w:p>
    <w:p>
      <w:pPr>
        <w:pStyle w:val="Heading1"/>
      </w:pPr>
      <w:bookmarkStart w:id="42" w:name="references"/>
      <w:r>
        <w:t xml:space="preserve">References</w:t>
      </w:r>
      <w:bookmarkEnd w:id="42"/>
    </w:p>
    <w:bookmarkStart w:id="96" w:name="refs"/>
    <w:bookmarkStart w:id="44" w:name="ref-Bil2008"/>
    <w:p>
      <w:pPr>
        <w:pStyle w:val="FirstParagraph"/>
      </w:pPr>
      <w:r>
        <w:t xml:space="preserve">1. Bilò BM, Bonifazi F. Epidemiology of insect-venom anaphylaxis.</w:t>
      </w:r>
      <w:r>
        <w:t xml:space="preserve"> </w:t>
      </w:r>
      <w:r>
        <w:rPr>
          <w:i/>
        </w:rPr>
        <w:t xml:space="preserve">Current Opinion in Allergy and Clinical Immunology</w:t>
      </w:r>
      <w:r>
        <w:t xml:space="preserve">. 2008;8(4):330-337. doi:</w:t>
      </w:r>
      <w:hyperlink r:id="rId43">
        <w:r>
          <w:rPr>
            <w:rStyle w:val="Hyperlink"/>
          </w:rPr>
          <w:t xml:space="preserve">10.1097/aci.0b013e32830638c5</w:t>
        </w:r>
      </w:hyperlink>
    </w:p>
    <w:bookmarkEnd w:id="44"/>
    <w:bookmarkStart w:id="46" w:name="ref-Sturm2017"/>
    <w:p>
      <w:pPr>
        <w:pStyle w:val="BodyText"/>
      </w:pPr>
      <w:r>
        <w:t xml:space="preserve">2. Sturm GJ, Varga E-M, Roberts G, et al. EAACI guidelines on allergen immunotherapy: Hymenoptera venom allergy.</w:t>
      </w:r>
      <w:r>
        <w:t xml:space="preserve"> </w:t>
      </w:r>
      <w:r>
        <w:rPr>
          <w:i/>
        </w:rPr>
        <w:t xml:space="preserve">Allergy</w:t>
      </w:r>
      <w:r>
        <w:t xml:space="preserve">. 2017;73(4):744-764. doi:</w:t>
      </w:r>
      <w:hyperlink r:id="rId45">
        <w:r>
          <w:rPr>
            <w:rStyle w:val="Hyperlink"/>
          </w:rPr>
          <w:t xml:space="preserve">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w:t>
      </w:r>
      <w:r>
        <w:t xml:space="preserve"> </w:t>
      </w:r>
      <w:r>
        <w:rPr>
          <w:i/>
        </w:rPr>
        <w:t xml:space="preserve">Journal of Asthma and Allergy</w:t>
      </w:r>
      <w:r>
        <w:t xml:space="preserve">. 2018;Volume 11:121-142. doi:</w:t>
      </w:r>
      <w:hyperlink r:id="rId47">
        <w:r>
          <w:rPr>
            <w:rStyle w:val="Hyperlink"/>
          </w:rPr>
          <w:t xml:space="preserve">10.2147/jaa.s159411</w:t>
        </w:r>
      </w:hyperlink>
    </w:p>
    <w:bookmarkEnd w:id="48"/>
    <w:bookmarkStart w:id="50" w:name="ref-Muraro2017"/>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w:t>
      </w:r>
      <w:r>
        <w:t xml:space="preserve"> </w:t>
      </w:r>
      <w:r>
        <w:rPr>
          <w:i/>
        </w:rPr>
        <w:t xml:space="preserve">Allergy</w:t>
      </w:r>
      <w:r>
        <w:t xml:space="preserve">. 2017;72(7):1006-1021. doi:</w:t>
      </w:r>
      <w:hyperlink r:id="rId49">
        <w:r>
          <w:rPr>
            <w:rStyle w:val="Hyperlink"/>
          </w:rPr>
          <w:t xml:space="preserve">10.1111/all.13132</w:t>
        </w:r>
      </w:hyperlink>
    </w:p>
    <w:bookmarkEnd w:id="50"/>
    <w:bookmarkStart w:id="52" w:name="ref-LANTNER"/>
    <w:p>
      <w:pPr>
        <w:pStyle w:val="BodyText"/>
      </w:pPr>
      <w:r>
        <w:t xml:space="preserve">5. Lantner R, Reisman RE. Clinical and immunologic features and subsequent course of patients with severe insect-sting anaphylaxis.</w:t>
      </w:r>
      <w:r>
        <w:t xml:space="preserve"> </w:t>
      </w:r>
      <w:r>
        <w:rPr>
          <w:i/>
        </w:rPr>
        <w:t xml:space="preserve">Journal of Allergy and Clinical Immunology</w:t>
      </w:r>
      <w:r>
        <w:t xml:space="preserve">. 1989;84(6, Part 1):900-906. doi:</w:t>
      </w:r>
      <w:hyperlink r:id="rId51">
        <w:r>
          <w:rPr>
            <w:rStyle w:val="Hyperlink"/>
          </w:rPr>
          <w:t xml:space="preserve">https://doi.org/10.1016/0091-6749(89)90387-4</w:t>
        </w:r>
      </w:hyperlink>
    </w:p>
    <w:bookmarkEnd w:id="52"/>
    <w:bookmarkStart w:id="54" w:name="ref-Ruff2009"/>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w:t>
      </w:r>
      <w:r>
        <w:t xml:space="preserve"> </w:t>
      </w:r>
      <w:r>
        <w:rPr>
          <w:i/>
        </w:rPr>
        <w:t xml:space="preserve">Journal of Allergy and Clinical Immunology</w:t>
      </w:r>
      <w:r>
        <w:t xml:space="preserve">. 2009;124(5):1047-1054. doi:</w:t>
      </w:r>
      <w:hyperlink r:id="rId53">
        <w:r>
          <w:rPr>
            <w:rStyle w:val="Hyperlink"/>
          </w:rPr>
          <w:t xml:space="preserve">10.1016/j.jaci.2009.08.027</w:t>
        </w:r>
      </w:hyperlink>
    </w:p>
    <w:bookmarkEnd w:id="54"/>
    <w:bookmarkStart w:id="55" w:name="ref-nittner2015insect"/>
    <w:p>
      <w:pPr>
        <w:pStyle w:val="BodyText"/>
      </w:pPr>
      <w:r>
        <w:t xml:space="preserve">7. Nittner-Marszalska M, Cichocka-Jarosz E. Insect sting allergy in adults: Key messages for clinicians.</w:t>
      </w:r>
      <w:r>
        <w:t xml:space="preserve"> </w:t>
      </w:r>
      <w:r>
        <w:rPr>
          <w:i/>
        </w:rPr>
        <w:t xml:space="preserve">Pol Arch Med Wewn</w:t>
      </w:r>
      <w:r>
        <w:t xml:space="preserve">. 2015;125(12):929-937.</w:t>
      </w:r>
    </w:p>
    <w:bookmarkEnd w:id="55"/>
    <w:bookmarkStart w:id="57" w:name="ref-Grabenhenrich2016"/>
    <w:p>
      <w:pPr>
        <w:pStyle w:val="BodyText"/>
      </w:pPr>
      <w:r>
        <w:t xml:space="preserve">8. Grabenhenrich LB, Dölle S, Moneret-Vautrin A, et al. Anaphylaxis in children and adolescents: The european anaphylaxis registry.</w:t>
      </w:r>
      <w:r>
        <w:t xml:space="preserve"> </w:t>
      </w:r>
      <w:r>
        <w:rPr>
          <w:i/>
        </w:rPr>
        <w:t xml:space="preserve">Journal of Allergy and Clinical Immunology</w:t>
      </w:r>
      <w:r>
        <w:t xml:space="preserve">. 2016;137(4):1128-1137.e1. doi:</w:t>
      </w:r>
      <w:hyperlink r:id="rId56">
        <w:r>
          <w:rPr>
            <w:rStyle w:val="Hyperlink"/>
          </w:rPr>
          <w:t xml:space="preserve">10.1016/j.jaci.2015.11.015</w:t>
        </w:r>
      </w:hyperlink>
    </w:p>
    <w:bookmarkEnd w:id="57"/>
    <w:bookmarkStart w:id="59" w:name="ref-Sampson2006"/>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2006;47(4):373-380. doi:</w:t>
      </w:r>
      <w:hyperlink r:id="rId58">
        <w:r>
          <w:rPr>
            <w:rStyle w:val="Hyperlink"/>
          </w:rPr>
          <w:t xml:space="preserve">10.1016/j.annemergmed.2006.01.018</w:t>
        </w:r>
      </w:hyperlink>
    </w:p>
    <w:bookmarkEnd w:id="59"/>
    <w:bookmarkStart w:id="60" w:name="ref-Ring1977"/>
    <w:p>
      <w:pPr>
        <w:pStyle w:val="BodyText"/>
      </w:pPr>
      <w:r>
        <w:t xml:space="preserve">10. Ring J, Messmer K. Incidence and severity of anaphylactoid reactions to colloid volume substitutes.</w:t>
      </w:r>
      <w:r>
        <w:t xml:space="preserve"> </w:t>
      </w:r>
      <w:r>
        <w:rPr>
          <w:i/>
        </w:rPr>
        <w:t xml:space="preserve">Lancet (London, England)</w:t>
      </w:r>
      <w:r>
        <w:t xml:space="preserve">. 1977;1(8009):466-469.</w:t>
      </w:r>
    </w:p>
    <w:bookmarkEnd w:id="60"/>
    <w:bookmarkStart w:id="62" w:name="ref-matchit"/>
    <w:p>
      <w:pPr>
        <w:pStyle w:val="BodyText"/>
      </w:pPr>
      <w:r>
        <w:t xml:space="preserve">11. Ho DE, Imai K, King G, Stuart EA. MatchIt: Nonparametric preprocessing for parametric causal inference.</w:t>
      </w:r>
      <w:r>
        <w:t xml:space="preserve"> </w:t>
      </w:r>
      <w:r>
        <w:rPr>
          <w:i/>
        </w:rPr>
        <w:t xml:space="preserve">Journal of Statistical Software</w:t>
      </w:r>
      <w:r>
        <w:t xml:space="preserve">. 2011;42(8):1-28.</w:t>
      </w:r>
      <w:r>
        <w:t xml:space="preserve"> </w:t>
      </w:r>
      <w:hyperlink r:id="rId61">
        <w:r>
          <w:rPr>
            <w:rStyle w:val="Hyperlink"/>
          </w:rPr>
          <w:t xml:space="preserve">http://www.jstatsoft.org/v42/i08/</w:t>
        </w:r>
      </w:hyperlink>
      <w:r>
        <w:t xml:space="preserve">.</w:t>
      </w:r>
    </w:p>
    <w:bookmarkEnd w:id="62"/>
    <w:bookmarkStart w:id="64" w:name="ref-Worm2018"/>
    <w:p>
      <w:pPr>
        <w:pStyle w:val="BodyText"/>
      </w:pPr>
      <w:r>
        <w:t xml:space="preserve">12. Worm M, Francuzik W, Renaudin J-M, et al. Factors increasing the risk for a severe reaction in anaphylaxis: An analysis of data from the european anaphylaxis registry.</w:t>
      </w:r>
      <w:r>
        <w:t xml:space="preserve"> </w:t>
      </w:r>
      <w:r>
        <w:rPr>
          <w:i/>
        </w:rPr>
        <w:t xml:space="preserve">Allergy</w:t>
      </w:r>
      <w:r>
        <w:t xml:space="preserve">. January 2018. doi:</w:t>
      </w:r>
      <w:hyperlink r:id="rId63">
        <w:r>
          <w:rPr>
            <w:rStyle w:val="Hyperlink"/>
          </w:rPr>
          <w:t xml:space="preserve">10.1111/all.13380</w:t>
        </w:r>
      </w:hyperlink>
    </w:p>
    <w:bookmarkEnd w:id="64"/>
    <w:bookmarkStart w:id="65" w:name="ref-R"/>
    <w:p>
      <w:pPr>
        <w:pStyle w:val="BodyText"/>
      </w:pPr>
      <w:r>
        <w:t xml:space="preserve">13. R Core Team.</w:t>
      </w:r>
      <w:r>
        <w:t xml:space="preserve"> </w:t>
      </w:r>
      <w:r>
        <w:rPr>
          <w:i/>
        </w:rPr>
        <w:t xml:space="preserve">R: A Language and Environment for Statistical Computing</w:t>
      </w:r>
      <w:r>
        <w:t xml:space="preserve">. Vienna, Austria: R Foundation for Statistical Computing; 2017.</w:t>
      </w:r>
    </w:p>
    <w:bookmarkEnd w:id="65"/>
    <w:bookmarkStart w:id="67" w:name="ref-rf"/>
    <w:p>
      <w:pPr>
        <w:pStyle w:val="BodyText"/>
      </w:pPr>
      <w:r>
        <w:t xml:space="preserve">14. Liaw A, Wiener M. Classification and regression by randomForest.</w:t>
      </w:r>
      <w:r>
        <w:t xml:space="preserve"> </w:t>
      </w:r>
      <w:r>
        <w:rPr>
          <w:i/>
        </w:rPr>
        <w:t xml:space="preserve">R News</w:t>
      </w:r>
      <w:r>
        <w:t xml:space="preserve">. 2002;2(3):18-22.</w:t>
      </w:r>
      <w:r>
        <w:t xml:space="preserve"> </w:t>
      </w:r>
      <w:hyperlink r:id="rId66">
        <w:r>
          <w:rPr>
            <w:rStyle w:val="Hyperlink"/>
          </w:rPr>
          <w:t xml:space="preserve">https://CRAN.R-project.org/doc/Rnews/</w:t>
        </w:r>
      </w:hyperlink>
      <w:r>
        <w:t xml:space="preserve">.</w:t>
      </w:r>
    </w:p>
    <w:bookmarkEnd w:id="67"/>
    <w:bookmarkStart w:id="69" w:name="ref-Strobl2007"/>
    <w:p>
      <w:pPr>
        <w:pStyle w:val="BodyText"/>
      </w:pPr>
      <w:r>
        <w:t xml:space="preserve">15. Strobl C, Boulesteix A-L, Zeileis A, Hothorn T. Bias in random forest variable importance measures: Illustrations, sources and a solution.</w:t>
      </w:r>
      <w:r>
        <w:t xml:space="preserve"> </w:t>
      </w:r>
      <w:r>
        <w:rPr>
          <w:i/>
        </w:rPr>
        <w:t xml:space="preserve">BMC Bioinformatics</w:t>
      </w:r>
      <w:r>
        <w:t xml:space="preserve">. 2007;8(1). doi:</w:t>
      </w:r>
      <w:hyperlink r:id="rId68">
        <w:r>
          <w:rPr>
            <w:rStyle w:val="Hyperlink"/>
          </w:rPr>
          <w:t xml:space="preserve">10.1186/1471-2105-8-25</w:t>
        </w:r>
      </w:hyperlink>
    </w:p>
    <w:bookmarkEnd w:id="69"/>
    <w:bookmarkStart w:id="71" w:name="ref-heatmaply"/>
    <w:p>
      <w:pPr>
        <w:pStyle w:val="BodyText"/>
      </w:pPr>
      <w:r>
        <w:t xml:space="preserve">16. Galili, Tal, O’Callaghan, et al. Heatmaply: An r package for creating interactive cluster heatmaps for online publishing.</w:t>
      </w:r>
      <w:r>
        <w:t xml:space="preserve"> </w:t>
      </w:r>
      <w:r>
        <w:rPr>
          <w:i/>
        </w:rPr>
        <w:t xml:space="preserve">Bioinformatics</w:t>
      </w:r>
      <w:r>
        <w:t xml:space="preserve">. 2017. doi:</w:t>
      </w:r>
      <w:hyperlink r:id="rId70">
        <w:r>
          <w:rPr>
            <w:rStyle w:val="Hyperlink"/>
          </w:rPr>
          <w:t xml:space="preserve">10.1093/bioinformatics/btx657</w:t>
        </w:r>
      </w:hyperlink>
    </w:p>
    <w:bookmarkEnd w:id="71"/>
    <w:bookmarkStart w:id="73" w:name="ref-Bonadonna2010"/>
    <w:p>
      <w:pPr>
        <w:pStyle w:val="BodyText"/>
      </w:pPr>
      <w:r>
        <w:t xml:space="preserve">17. Bonadonna P, Zanotti R, Müller U. Mastocytosis and insect venom allergy.</w:t>
      </w:r>
      <w:r>
        <w:t xml:space="preserve"> </w:t>
      </w:r>
      <w:r>
        <w:rPr>
          <w:i/>
        </w:rPr>
        <w:t xml:space="preserve">Current Opinion in Allergy and Clinical Immunology</w:t>
      </w:r>
      <w:r>
        <w:t xml:space="preserve">. 2010;10(4):347-353. doi:</w:t>
      </w:r>
      <w:hyperlink r:id="rId72">
        <w:r>
          <w:rPr>
            <w:rStyle w:val="Hyperlink"/>
          </w:rPr>
          <w:t xml:space="preserve">10.1097/aci.0b013e32833b280c</w:t>
        </w:r>
      </w:hyperlink>
    </w:p>
    <w:bookmarkEnd w:id="73"/>
    <w:bookmarkStart w:id="75" w:name="ref-CDT1609"/>
    <w:p>
      <w:pPr>
        <w:pStyle w:val="BodyText"/>
      </w:pPr>
      <w:r>
        <w:t xml:space="preserve">18. Gangadharan V, Bhatheja S, Balbissi KA. Kounis syndrome - an atopic monster for the heart.</w:t>
      </w:r>
      <w:r>
        <w:t xml:space="preserve"> </w:t>
      </w:r>
      <w:r>
        <w:rPr>
          <w:i/>
        </w:rPr>
        <w:t xml:space="preserve">Cardiovascular Diagnosis and Therapy</w:t>
      </w:r>
      <w:r>
        <w:t xml:space="preserve">. 2013;3(1).</w:t>
      </w:r>
      <w:r>
        <w:t xml:space="preserve"> </w:t>
      </w:r>
      <w:hyperlink r:id="rId74">
        <w:r>
          <w:rPr>
            <w:rStyle w:val="Hyperlink"/>
          </w:rPr>
          <w:t xml:space="preserve">http://cdt.amegroups.com/article/view/1609</w:t>
        </w:r>
      </w:hyperlink>
      <w:r>
        <w:t xml:space="preserve">.</w:t>
      </w:r>
    </w:p>
    <w:bookmarkEnd w:id="75"/>
    <w:bookmarkStart w:id="76" w:name="ref-sinkiewicz2008allergic"/>
    <w:p>
      <w:pPr>
        <w:pStyle w:val="BodyText"/>
      </w:pPr>
      <w:r>
        <w:t xml:space="preserve">19. Sinkiewicz W, Sobański P, Bartuzi Z. Allergic myocardial infarction.</w:t>
      </w:r>
      <w:r>
        <w:t xml:space="preserve"> </w:t>
      </w:r>
      <w:r>
        <w:rPr>
          <w:i/>
        </w:rPr>
        <w:t xml:space="preserve">Cardiology Journal</w:t>
      </w:r>
      <w:r>
        <w:t xml:space="preserve">. 2008;15(3):220-225.</w:t>
      </w:r>
    </w:p>
    <w:bookmarkEnd w:id="76"/>
    <w:bookmarkStart w:id="78" w:name="ref-Sharma2016"/>
    <w:p>
      <w:pPr>
        <w:pStyle w:val="BodyText"/>
      </w:pPr>
      <w:r>
        <w:t xml:space="preserve">20. Sharma A, Sharma T, Bhatnagar M. An unusual case of sustained ventricular tachycardia following a wasp bite.</w:t>
      </w:r>
      <w:r>
        <w:t xml:space="preserve"> </w:t>
      </w:r>
      <w:r>
        <w:rPr>
          <w:i/>
        </w:rPr>
        <w:t xml:space="preserve">Journal of Family Medicine and Primary Care</w:t>
      </w:r>
      <w:r>
        <w:t xml:space="preserve">. 2016;5(4):879. doi:</w:t>
      </w:r>
      <w:hyperlink r:id="rId77">
        <w:r>
          <w:rPr>
            <w:rStyle w:val="Hyperlink"/>
          </w:rPr>
          <w:t xml:space="preserve">10.4103/2249-4863.201165</w:t>
        </w:r>
      </w:hyperlink>
    </w:p>
    <w:bookmarkEnd w:id="78"/>
    <w:bookmarkStart w:id="80" w:name="ref-Valent2019"/>
    <w:p>
      <w:pPr>
        <w:pStyle w:val="BodyText"/>
      </w:pPr>
      <w:r>
        <w:t xml:space="preserve">21. Valent P, Bonadonna P, Hartmann K, et al. Why the 20%+ 2 tryptase formula is a diagnostic gold standard for severe systemic mast cell activation and mast cell activation syndrome.</w:t>
      </w:r>
      <w:r>
        <w:t xml:space="preserve"> </w:t>
      </w:r>
      <w:r>
        <w:rPr>
          <w:i/>
        </w:rPr>
        <w:t xml:space="preserve">International Archives of Allergy and Immunology</w:t>
      </w:r>
      <w:r>
        <w:t xml:space="preserve">. 2019;180(1):44-51. doi:</w:t>
      </w:r>
      <w:hyperlink r:id="rId79">
        <w:r>
          <w:rPr>
            <w:rStyle w:val="Hyperlink"/>
          </w:rPr>
          <w:t xml:space="preserve">10.1159/000501079</w:t>
        </w:r>
      </w:hyperlink>
    </w:p>
    <w:bookmarkEnd w:id="80"/>
    <w:bookmarkStart w:id="82" w:name="ref-Zanotti2015"/>
    <w:p>
      <w:pPr>
        <w:pStyle w:val="BodyText"/>
      </w:pPr>
      <w:r>
        <w:t xml:space="preserve">22. Zanotti R, Lombardo C, Passalacqua G, et al. Clonal mast cell disorders in patients with severe hymenoptera venom allergy and normal serum tryptase levels.</w:t>
      </w:r>
      <w:r>
        <w:t xml:space="preserve"> </w:t>
      </w:r>
      <w:r>
        <w:rPr>
          <w:i/>
        </w:rPr>
        <w:t xml:space="preserve">Journal of Allergy and Clinical Immunology</w:t>
      </w:r>
      <w:r>
        <w:t xml:space="preserve">. 2015;136(1):135-139. doi:</w:t>
      </w:r>
      <w:hyperlink r:id="rId81">
        <w:r>
          <w:rPr>
            <w:rStyle w:val="Hyperlink"/>
          </w:rPr>
          <w:t xml:space="preserve">10.1016/j.jaci.2014.11.035</w:t>
        </w:r>
      </w:hyperlink>
    </w:p>
    <w:bookmarkEnd w:id="82"/>
    <w:bookmarkStart w:id="84" w:name="ref-Aurich2019"/>
    <w:p>
      <w:pPr>
        <w:pStyle w:val="BodyText"/>
      </w:pPr>
      <w:r>
        <w:t xml:space="preserve">23. Aurich S, Dölle-Bierke S, Francuzik W, et al. Anaphylaxis in elderly patientsData from the european anaphylaxis registry.</w:t>
      </w:r>
      <w:r>
        <w:t xml:space="preserve"> </w:t>
      </w:r>
      <w:r>
        <w:rPr>
          <w:i/>
        </w:rPr>
        <w:t xml:space="preserve">Frontiers in Immunology</w:t>
      </w:r>
      <w:r>
        <w:t xml:space="preserve">. 2019;10. doi:</w:t>
      </w:r>
      <w:hyperlink r:id="rId83">
        <w:r>
          <w:rPr>
            <w:rStyle w:val="Hyperlink"/>
          </w:rPr>
          <w:t xml:space="preserve">10.3389/fimmu.2019.00750</w:t>
        </w:r>
      </w:hyperlink>
    </w:p>
    <w:bookmarkEnd w:id="84"/>
    <w:bookmarkStart w:id="86" w:name="ref-JaraAcevedo2015"/>
    <w:p>
      <w:pPr>
        <w:pStyle w:val="BodyText"/>
      </w:pPr>
      <w:r>
        <w:t xml:space="preserve">24. Jara-Acevedo M, Teodosio C, Sanchez-Muñoz L, et al. Detection of the KIT d816v mutation in peripheral blood of systemic mastocytosis: Diagnostic implications.</w:t>
      </w:r>
      <w:r>
        <w:t xml:space="preserve"> </w:t>
      </w:r>
      <w:r>
        <w:rPr>
          <w:i/>
        </w:rPr>
        <w:t xml:space="preserve">Modern Pathology</w:t>
      </w:r>
      <w:r>
        <w:t xml:space="preserve">. 2015;28(8):1138-1149. doi:</w:t>
      </w:r>
      <w:hyperlink r:id="rId85">
        <w:r>
          <w:rPr>
            <w:rStyle w:val="Hyperlink"/>
          </w:rPr>
          <w:t xml:space="preserve">10.1038/modpathol.2015.72</w:t>
        </w:r>
      </w:hyperlink>
    </w:p>
    <w:bookmarkEnd w:id="86"/>
    <w:bookmarkStart w:id="88" w:name="ref-Braganza2005"/>
    <w:p>
      <w:pPr>
        <w:pStyle w:val="BodyText"/>
      </w:pPr>
      <w:r>
        <w:t xml:space="preserve">25. Braganza SC. Paediatric emergency department anaphylaxis: Different patterns from adults.</w:t>
      </w:r>
      <w:r>
        <w:t xml:space="preserve"> </w:t>
      </w:r>
      <w:r>
        <w:rPr>
          <w:i/>
        </w:rPr>
        <w:t xml:space="preserve">Archives of Disease in Childhood</w:t>
      </w:r>
      <w:r>
        <w:t xml:space="preserve">. 2005;91(2):159-163. doi:</w:t>
      </w:r>
      <w:hyperlink r:id="rId87">
        <w:r>
          <w:rPr>
            <w:rStyle w:val="Hyperlink"/>
          </w:rPr>
          <w:t xml:space="preserve">10.1136/adc.2004.069914</w:t>
        </w:r>
      </w:hyperlink>
    </w:p>
    <w:bookmarkEnd w:id="88"/>
    <w:bookmarkStart w:id="90" w:name="ref-Tham2019"/>
    <w:p>
      <w:pPr>
        <w:pStyle w:val="BodyText"/>
      </w:pPr>
      <w:r>
        <w:t xml:space="preserve">26. Tham EH, Leung DY. Mechanisms by which atopic dermatitis predisposes to food allergy and the atopic march.</w:t>
      </w:r>
      <w:r>
        <w:t xml:space="preserve"> </w:t>
      </w:r>
      <w:r>
        <w:rPr>
          <w:i/>
        </w:rPr>
        <w:t xml:space="preserve">Allergy, Asthma &amp; Immunology Research</w:t>
      </w:r>
      <w:r>
        <w:t xml:space="preserve">. 2019;11(1):4. doi:</w:t>
      </w:r>
      <w:hyperlink r:id="rId89">
        <w:r>
          <w:rPr>
            <w:rStyle w:val="Hyperlink"/>
          </w:rPr>
          <w:t xml:space="preserve">10.4168/aair.2019.11.1.4</w:t>
        </w:r>
      </w:hyperlink>
    </w:p>
    <w:bookmarkEnd w:id="90"/>
    <w:bookmarkStart w:id="92" w:name="ref-Muraro2014"/>
    <w:p>
      <w:pPr>
        <w:pStyle w:val="BodyText"/>
      </w:pPr>
      <w:r>
        <w:t xml:space="preserve">27. Muraro A, Roberts G, Worm M, et al. Anaphylaxis: Guidelines from the european academy of allergy and clinical immunology.</w:t>
      </w:r>
      <w:r>
        <w:t xml:space="preserve"> </w:t>
      </w:r>
      <w:r>
        <w:rPr>
          <w:i/>
        </w:rPr>
        <w:t xml:space="preserve">Allergy</w:t>
      </w:r>
      <w:r>
        <w:t xml:space="preserve">. 2014;69(8):1026-1045. doi:</w:t>
      </w:r>
      <w:hyperlink r:id="rId91">
        <w:r>
          <w:rPr>
            <w:rStyle w:val="Hyperlink"/>
          </w:rPr>
          <w:t xml:space="preserve">10.1111/all.12437</w:t>
        </w:r>
      </w:hyperlink>
    </w:p>
    <w:bookmarkEnd w:id="92"/>
    <w:bookmarkStart w:id="93" w:name="ref-old"/>
    <w:p>
      <w:pPr>
        <w:pStyle w:val="BodyText"/>
      </w:pPr>
      <w:r>
        <w:t xml:space="preserve">28. Bischof RO. Seasonal incidence of insect stings: Autumn ’yellow jacket delirium’.</w:t>
      </w:r>
      <w:r>
        <w:t xml:space="preserve"> </w:t>
      </w:r>
      <w:r>
        <w:rPr>
          <w:i/>
        </w:rPr>
        <w:t xml:space="preserve">Journal of Family Practice</w:t>
      </w:r>
      <w:r>
        <w:t xml:space="preserve">. 1996:271.</w:t>
      </w:r>
    </w:p>
    <w:bookmarkEnd w:id="93"/>
    <w:bookmarkStart w:id="95" w:name="ref-Spradbery_1992"/>
    <w:p>
      <w:pPr>
        <w:pStyle w:val="BodyText"/>
      </w:pPr>
      <w:r>
        <w:t xml:space="preserve">29. Spradbery J, Maywald G. The distribution of the european or german wasp, vespula-germanica (f) (hymenoptera, vespidae), in australia - past, present and future.</w:t>
      </w:r>
      <w:r>
        <w:t xml:space="preserve"> </w:t>
      </w:r>
      <w:r>
        <w:rPr>
          <w:i/>
        </w:rPr>
        <w:t xml:space="preserve">Australian Journal of Zoology</w:t>
      </w:r>
      <w:r>
        <w:t xml:space="preserve">. 1992;40(5):495. doi:</w:t>
      </w:r>
      <w:hyperlink r:id="rId94">
        <w:r>
          <w:rPr>
            <w:rStyle w:val="Hyperlink"/>
          </w:rPr>
          <w:t xml:space="preserve">10.1071/zo9920495</w:t>
        </w:r>
      </w:hyperlink>
    </w:p>
    <w:bookmarkEnd w:id="95"/>
    <w:bookmarkEnd w:id="96"/>
    <w:p>
      <w:pPr>
        <w:pStyle w:val="Heading5"/>
      </w:pPr>
      <w:bookmarkStart w:id="97" w:name="section-4"/>
      <w:bookmarkEnd w:id="97"/>
    </w:p>
    <w:p>
      <w:pPr>
        <w:pStyle w:val="Heading1"/>
      </w:pPr>
      <w:bookmarkStart w:id="98" w:name="figure-legends"/>
      <w:r>
        <w:t xml:space="preserve">Figure legends</w:t>
      </w:r>
      <w:bookmarkEnd w:id="98"/>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99"/>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0" w:name="section-5"/>
      <w:bookmarkEnd w:id="100"/>
    </w:p>
    <w:p>
      <w:pPr>
        <w:pStyle w:val="CaptionedFigure"/>
      </w:pPr>
      <w:r>
        <w:drawing>
          <wp:inline>
            <wp:extent cx="5943600" cy="4333875"/>
            <wp:effectExtent b="0" l="0" r="0" t="0"/>
            <wp:docPr descr="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2" w:name="section-6"/>
      <w:bookmarkEnd w:id="102"/>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04" w:name="section-7"/>
      <w:bookmarkEnd w:id="104"/>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05"/>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06" w:name="section-8"/>
      <w:bookmarkEnd w:id="106"/>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07"/>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08" w:name="section-9"/>
      <w:bookmarkEnd w:id="108"/>
    </w:p>
    <w:p>
      <w:pPr>
        <w:pStyle w:val="Heading1"/>
      </w:pPr>
      <w:bookmarkStart w:id="109" w:name="supplementary-figures-online-only-material"/>
      <w:r>
        <w:t xml:space="preserve">Supplementary Figures (online-only material)</w:t>
      </w:r>
      <w:bookmarkEnd w:id="109"/>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11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w:t>
      </w:r>
    </w:p>
    <w:p>
      <w:pPr>
        <w:pStyle w:val="Heading5"/>
      </w:pPr>
      <w:bookmarkStart w:id="111" w:name="section-10"/>
      <w:bookmarkEnd w:id="111"/>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Heading5"/>
      </w:pPr>
      <w:bookmarkStart w:id="113" w:name="section-11"/>
      <w:bookmarkEnd w:id="113"/>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1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17"/>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w:t>
      </w:r>
    </w:p>
    <w:p>
      <w:pPr>
        <w:pStyle w:val="Heading5"/>
      </w:pPr>
      <w:bookmarkStart w:id="118" w:name="section-12"/>
      <w:bookmarkEnd w:id="118"/>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-0.250</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0.640</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6,883</w:t>
      </w:r>
    </w:p>
    <w:p>
      <w:pPr>
        <w:pStyle w:val="Compact"/>
      </w:pPr>
      <w:r>
        <w:t xml:space="preserve">Log Likelihood</w:t>
      </w:r>
    </w:p>
    <w:p>
      <w:pPr>
        <w:pStyle w:val="Compact"/>
      </w:pPr>
      <w:r>
        <w:t xml:space="preserve">-4,690.874</w:t>
      </w:r>
    </w:p>
    <w:p>
      <w:pPr>
        <w:pStyle w:val="Compact"/>
      </w:pPr>
      <w:r>
        <w:t xml:space="preserve">Akaike Inf. Crit.</w:t>
      </w:r>
    </w:p>
    <w:p>
      <w:pPr>
        <w:pStyle w:val="Compact"/>
      </w:pPr>
      <w:r>
        <w:t xml:space="preserve">9,389.748</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16" Target="media/rId116.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venom-induced anaphylaxis: a case-control study of the European Anaphylaxis Registry</dc:title>
  <dc:creator/>
  <cp:keywords/>
  <dcterms:created xsi:type="dcterms:W3CDTF">2019-12-19T16:44:55Z</dcterms:created>
  <dcterms:modified xsi:type="dcterms:W3CDTF">2019-12-19T16:44:55Z</dcterms:modified>
</cp:coreProperties>
</file>