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9.png" ContentType="image/png"/>
  <Override PartName="/word/media/rId48.png" ContentType="image/png"/>
  <Override PartName="/word/media/rId83.png" ContentType="image/png"/>
  <Override PartName="/word/media/rId81.png" ContentType="image/png"/>
  <Override PartName="/word/media/rId75.png" ContentType="image/png"/>
  <Override PartName="/word/media/rId77.png" ContentType="image/png"/>
  <Override PartName="/word/media/rId30.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53.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24</w:t>
      </w:r>
      <w:r>
        <w:t xml:space="preserve"> </w:t>
      </w:r>
      <w:r>
        <w:t xml:space="preserve">Mai,</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Highlights:</w:t>
      </w:r>
      <w:r>
        <w:t xml:space="preserve"> </w:t>
      </w:r>
      <w:r>
        <w:t xml:space="preserve">These are the highlights.</w:t>
      </w:r>
      <w:r>
        <w:t xml:space="preserve"> </w:t>
      </w: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(12874 cases in total) we identified insect-venom elicited anaphylaxis cases (n = 4953) and analyzed these in comparison to anaphylaxis elicited by other elicitors (n = 7921).</w:t>
      </w:r>
    </w:p>
    <w:p>
      <w:pPr>
        <w:pStyle w:val="BodyText"/>
      </w:pPr>
      <w:r>
        <w:t xml:space="preserve">The data show that 68.2% of all insect elicited cases were elicited by yellow jackets, followed by bees (20.5%). The insect venom elicited cases occurred mostly in outdoor places (46%) patients’ homes (13.2%) or urban places (9.4%).</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w:t>
      </w:r>
      <w:r>
        <w:rPr>
          <w:rStyle w:val="VerbatimChar"/>
        </w:rPr>
        <w:t xml:space="preserve">r</w:t>
      </w:r>
      <w:r>
        <w:t xml:space="preserve">%)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reactions, indicating that the therapy of insect elicited cases of anaphylaxis should be considered separately. Indeed we observed different therapeutic patterns in insect elicited cases of anaphylaxis (more antihistaminics but fewer corticosteroids, bronchodilators, and surprisingly - adrenaline). This indicates that the management of insect-venom induced anaphylaxis may be improved and is especially required in patients with concomitant cardiologic conditions and these with hyperreactive mast cells.</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FirstParagraph"/>
      </w:pPr>
      <w:r>
        <w:t xml:space="preserve">The European Anaphylaxis Registry</w:t>
      </w:r>
      <w:r>
        <w:t xml:space="preserve"> </w:t>
      </w:r>
      <w:r>
        <w:t xml:space="preserve">(</w:t>
      </w:r>
      <w:r>
        <w:rPr>
          <w:b/>
        </w:rPr>
        <w:t xml:space="preserve">???</w:t>
      </w:r>
      <w:r>
        <w:t xml:space="preserve">)</w:t>
      </w:r>
      <w:r>
        <w:t xml:space="preserve"> </w:t>
      </w:r>
      <w:r>
        <w:t xml:space="preserve">database from March 2018 was searched for anaphylaxis cases elicited by insect’s venom. The flowchart in figure</w:t>
      </w:r>
      <w:r>
        <w:t xml:space="preserve"> </w:t>
      </w:r>
      <w:r>
        <w:t xml:space="preserve">??</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w:t>
      </w:r>
      <w:r>
        <w:rPr>
          <w:b/>
        </w:rPr>
        <w:t xml:space="preserve">???</w:t>
      </w:r>
      <w:r>
        <w:t xml:space="preserve">)</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w:t>
      </w:r>
      <w:r>
        <w:rPr>
          <w:b/>
        </w:rPr>
        <w:t xml:space="preserve">???</w:t>
      </w:r>
      <w:r>
        <w:t xml:space="preserve">)</w:t>
      </w:r>
      <w:r>
        <w:t xml:space="preserve"> </w:t>
      </w:r>
      <w:r>
        <w:t xml:space="preserve">in both groups. We evaluated symptoms, managment and risk factors of insect elicited cases in comparison to other known triggers of anaphylaxis.</w:t>
      </w:r>
    </w:p>
    <w:p>
      <w:pPr>
        <w:pStyle w:val="BodyText"/>
      </w:pPr>
      <w:r>
        <w:t xml:space="preserve">We saw a significant difference in the clinical features of insect anaphylaxis in children and adults. The younger popoulation significantly less often had concomitant conditions (i.e. DM, HT, malignant diseases and mastocytosis), and more often presented with atopic dermatitis, rhinitis and asthma. Therefore, we decided to adjust the analysis for age and sex to reduce the comparison bias. When comparing the management of both types of anaphylaxis we also matched the control group according to severity.</w:t>
      </w:r>
    </w:p>
    <w:p>
      <w:pPr>
        <w:pStyle w:val="BodyText"/>
      </w:pPr>
      <w:r>
        <w:t xml:space="preserve">The statistical analysis was performed in the R Statistical Package</w:t>
      </w:r>
      <w:r>
        <w:t xml:space="preserve"> </w:t>
      </w:r>
      <w:r>
        <w:t xml:space="preserve">(</w:t>
      </w:r>
      <w:r>
        <w:rPr>
          <w:b/>
        </w:rPr>
        <w:t xml:space="preserve">???</w:t>
      </w:r>
      <w:r>
        <w:t xml:space="preserve">)</w:t>
      </w:r>
      <w:r>
        <w:t xml:space="preserve">. Simple comparison of categorical variables was performed using either Chi</w:t>
      </w:r>
      <w:r>
        <w:rPr>
          <w:vertAlign w:val="superscript"/>
        </w:rPr>
        <w:t xml:space="preserve">2</w:t>
      </w:r>
      <w:r>
        <w:t xml:space="preserve"> </w:t>
      </w:r>
      <w:r>
        <w:t xml:space="preserve">test or Fisher’s exact test (where the number of observation in a bin was less then 10), continuous variables were analyzed using Mann-Whitney U test. We defined statistical significance as α = 0.05. Data along with the analysis script can be accessed at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temporal-distribution-of-anaphylaxis-cases-by-elicitor."/>
      <w:bookmarkEnd w:id="27"/>
      <w:r>
        <w:t xml:space="preserve">Temporal distribution of anaphylaxis cases by elicitor.</w:t>
      </w:r>
    </w:p>
    <w:p>
      <w:pPr>
        <w:pStyle w:val="FirstParagraph"/>
      </w:pPr>
      <w:r>
        <w:t xml:space="preserve">Insect venom elicited anaphylaxis in contrast to other elicitors showed a significant seasonal fluctuation and was most frequently reported from May till October. Their proportion to other cases during the summer seasons reached 60% and was as under 1% of cases during winter. Yellow-jacket was the most prominent IVA-causing insect reported in these cases followed by bees. The IVA causing insects differed in European countries with hornets being more prominient on the south of europe. IVA was more frequent in adults and seniors when compared to children and youg adults. (Fig</w:t>
      </w:r>
      <w:r>
        <w:t xml:space="preserve"> </w:t>
      </w:r>
      <w:r>
        <w:t xml:space="preserve">2</w:t>
      </w:r>
      <w:r>
        <w:t xml:space="preserve">).</w:t>
      </w:r>
    </w:p>
    <w:p>
      <w:pPr>
        <w:pStyle w:val="BodyText"/>
      </w:pPr>
      <w:r>
        <w:t xml:space="preserve">Cases of IVA were more frequent in older patients. Children suffered mainly from food elicited anaphylaxis. Therefore we adjusted the anlysis apropriately for age.</w:t>
      </w:r>
    </w:p>
    <w:p>
      <w:pPr>
        <w:pStyle w:val="Heading2"/>
      </w:pPr>
      <w:bookmarkStart w:id="28" w:name="symptoms"/>
      <w:bookmarkEnd w:id="28"/>
      <w:r>
        <w:t xml:space="preserve">Symptoms</w:t>
      </w:r>
    </w:p>
    <w:p>
      <w:pPr>
        <w:pStyle w:val="FirstParagraph"/>
      </w:pPr>
      <w:r>
        <w:t xml:space="preserve">Patients who underent anaphylaxis due to insect venom more often experienced</w:t>
      </w:r>
      <w:r>
        <w:t xml:space="preserve"> </w:t>
      </w:r>
      <w:r>
        <w:t xml:space="preserve">cardiologic symptoms. Especially collapsing due to hypotension was prominently</w:t>
      </w:r>
      <w:r>
        <w:t xml:space="preserve"> </w:t>
      </w:r>
      <w:r>
        <w:t xml:space="preserve">more often seen in patient who underwent venom anaphylaxis. This difference was especially visible in children under the age of 18 years. (See the ade adapted symptoms plot).</w:t>
      </w:r>
      <w:r>
        <w:t xml:space="preserve"> </w:t>
      </w:r>
      <w:r>
        <w:t xml:space="preserve">We saw prominent differences in association of specific symptoms with eliocitor in cerain age groups. Children under 13 yoears of age showed association with IVIA and vomiting - whereas adults did not. Hypotension collapse was more prominently associated with IVIA in children whereas loss of consciousness in adults.</w:t>
      </w:r>
    </w:p>
    <w:p>
      <w:pPr>
        <w:pStyle w:val="BodyText"/>
      </w:pPr>
      <w:r>
        <w:t xml:space="preserve">Patients with Insect Venom Allergy had a lot more cardiologic symptoms than anaphylaxis cases that were elicited through other triggers.</w:t>
      </w:r>
      <w:r>
        <w:br w:type="textWrapping"/>
      </w:r>
      <w:r>
        <w:t xml:space="preserve">Dizziness, Loss of consciousness hypotension, collapse, Throat tightness and nausea were more often associated with the insect cases.</w:t>
      </w:r>
    </w:p>
    <w:p>
      <w:pPr>
        <w:pStyle w:val="Heading2"/>
      </w:pPr>
      <w:bookmarkStart w:id="29" w:name="co-factors"/>
      <w:bookmarkEnd w:id="29"/>
      <w:r>
        <w:t xml:space="preserve">Co-factors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q_410_prev_v5</w:t>
            </w:r>
          </w:p>
        </w:tc>
        <w:tc>
          <w:p>
            <w:pPr>
              <w:pStyle w:val="Compact"/>
              <w:jc w:val="right"/>
            </w:pPr>
            <w:r>
              <w:t xml:space="preserve">1299</w:t>
            </w:r>
          </w:p>
        </w:tc>
        <w:tc>
          <w:p>
            <w:pPr>
              <w:pStyle w:val="Compact"/>
              <w:jc w:val="right"/>
            </w:pPr>
            <w:r>
              <w:t xml:space="preserve">2035</w:t>
            </w:r>
          </w:p>
        </w:tc>
        <w:tc>
          <w:p>
            <w:pPr>
              <w:pStyle w:val="Compact"/>
              <w:jc w:val="right"/>
            </w:pPr>
            <w:r>
              <w:t xml:space="preserve">0.5638021</w:t>
            </w:r>
          </w:p>
        </w:tc>
        <w:tc>
          <w:p>
            <w:pPr>
              <w:pStyle w:val="Compact"/>
              <w:jc w:val="right"/>
            </w:pPr>
            <w:r>
              <w:t xml:space="preserve">0.7621723</w:t>
            </w:r>
          </w:p>
        </w:tc>
        <w:tc>
          <w:p>
            <w:pPr>
              <w:pStyle w:val="Compact"/>
              <w:jc w:val="right"/>
            </w:pPr>
            <w:r>
              <w:t xml:space="preserve">0</w:t>
            </w:r>
          </w:p>
        </w:tc>
      </w:tr>
      <w:tr>
        <w:tc>
          <w:p>
            <w:pPr>
              <w:pStyle w:val="Compact"/>
              <w:jc w:val="left"/>
            </w:pPr>
            <w:r>
              <w:t xml:space="preserve">q_410_cur</w:t>
            </w:r>
          </w:p>
        </w:tc>
        <w:tc>
          <w:p>
            <w:pPr>
              <w:pStyle w:val="Compact"/>
              <w:jc w:val="right"/>
            </w:pPr>
            <w:r>
              <w:t xml:space="preserve">1879</w:t>
            </w:r>
          </w:p>
        </w:tc>
        <w:tc>
          <w:p>
            <w:pPr>
              <w:pStyle w:val="Compact"/>
              <w:jc w:val="right"/>
            </w:pPr>
            <w:r>
              <w:t xml:space="preserve">2531</w:t>
            </w:r>
          </w:p>
        </w:tc>
        <w:tc>
          <w:p>
            <w:pPr>
              <w:pStyle w:val="Compact"/>
              <w:jc w:val="right"/>
            </w:pPr>
            <w:r>
              <w:t xml:space="preserve">0.5544408</w:t>
            </w:r>
          </w:p>
        </w:tc>
        <w:tc>
          <w:p>
            <w:pPr>
              <w:pStyle w:val="Compact"/>
              <w:jc w:val="right"/>
            </w:pPr>
            <w:r>
              <w:t xml:space="preserve">0.7376858</w:t>
            </w:r>
          </w:p>
        </w:tc>
        <w:tc>
          <w:p>
            <w:pPr>
              <w:pStyle w:val="Compact"/>
              <w:jc w:val="right"/>
            </w:pPr>
            <w:r>
              <w:t xml:space="preserve">0</w:t>
            </w:r>
          </w:p>
        </w:tc>
      </w:tr>
      <w:tr>
        <w:tc>
          <w:p>
            <w:pPr>
              <w:pStyle w:val="Compact"/>
              <w:jc w:val="left"/>
            </w:pPr>
            <w:r>
              <w:t xml:space="preserve">q_410_rhinitis_prev_v5</w:t>
            </w:r>
          </w:p>
        </w:tc>
        <w:tc>
          <w:p>
            <w:pPr>
              <w:pStyle w:val="Compact"/>
              <w:jc w:val="right"/>
            </w:pPr>
            <w:r>
              <w:t xml:space="preserve">324</w:t>
            </w:r>
          </w:p>
        </w:tc>
        <w:tc>
          <w:p>
            <w:pPr>
              <w:pStyle w:val="Compact"/>
              <w:jc w:val="right"/>
            </w:pPr>
            <w:r>
              <w:t xml:space="preserve">840</w:t>
            </w:r>
          </w:p>
        </w:tc>
        <w:tc>
          <w:p>
            <w:pPr>
              <w:pStyle w:val="Compact"/>
              <w:jc w:val="right"/>
            </w:pPr>
            <w:r>
              <w:t xml:space="preserve">0.1406861</w:t>
            </w:r>
          </w:p>
        </w:tc>
        <w:tc>
          <w:p>
            <w:pPr>
              <w:pStyle w:val="Compact"/>
              <w:jc w:val="right"/>
            </w:pPr>
            <w:r>
              <w:t xml:space="preserve">0.3146067</w:t>
            </w:r>
          </w:p>
        </w:tc>
        <w:tc>
          <w:p>
            <w:pPr>
              <w:pStyle w:val="Compact"/>
              <w:jc w:val="right"/>
            </w:pPr>
            <w:r>
              <w:t xml:space="preserve">0</w:t>
            </w:r>
          </w:p>
        </w:tc>
      </w:tr>
      <w:tr>
        <w:tc>
          <w:p>
            <w:pPr>
              <w:pStyle w:val="Compact"/>
              <w:jc w:val="left"/>
            </w:pPr>
            <w:r>
              <w:t xml:space="preserve">q_410_rhinitis_cur</w:t>
            </w:r>
          </w:p>
        </w:tc>
        <w:tc>
          <w:p>
            <w:pPr>
              <w:pStyle w:val="Compact"/>
              <w:jc w:val="right"/>
            </w:pPr>
            <w:r>
              <w:t xml:space="preserve">440</w:t>
            </w:r>
          </w:p>
        </w:tc>
        <w:tc>
          <w:p>
            <w:pPr>
              <w:pStyle w:val="Compact"/>
              <w:jc w:val="right"/>
            </w:pPr>
            <w:r>
              <w:t xml:space="preserve">973</w:t>
            </w:r>
          </w:p>
        </w:tc>
        <w:tc>
          <w:p>
            <w:pPr>
              <w:pStyle w:val="Compact"/>
              <w:jc w:val="right"/>
            </w:pPr>
            <w:r>
              <w:t xml:space="preserve">0.1298318</w:t>
            </w:r>
          </w:p>
        </w:tc>
        <w:tc>
          <w:p>
            <w:pPr>
              <w:pStyle w:val="Compact"/>
              <w:jc w:val="right"/>
            </w:pPr>
            <w:r>
              <w:t xml:space="preserve">0.2835908</w:t>
            </w:r>
          </w:p>
        </w:tc>
        <w:tc>
          <w:p>
            <w:pPr>
              <w:pStyle w:val="Compact"/>
              <w:jc w:val="right"/>
            </w:pPr>
            <w:r>
              <w:t xml:space="preserve">0</w:t>
            </w:r>
          </w:p>
        </w:tc>
      </w:tr>
      <w:tr>
        <w:tc>
          <w:p>
            <w:pPr>
              <w:pStyle w:val="Compact"/>
              <w:jc w:val="left"/>
            </w:pPr>
            <w:r>
              <w:t xml:space="preserve">q_410_asthma_prev_v5</w:t>
            </w:r>
          </w:p>
        </w:tc>
        <w:tc>
          <w:p>
            <w:pPr>
              <w:pStyle w:val="Compact"/>
              <w:jc w:val="right"/>
            </w:pPr>
            <w:r>
              <w:t xml:space="preserve">195</w:t>
            </w:r>
          </w:p>
        </w:tc>
        <w:tc>
          <w:p>
            <w:pPr>
              <w:pStyle w:val="Compact"/>
              <w:jc w:val="right"/>
            </w:pPr>
            <w:r>
              <w:t xml:space="preserve">533</w:t>
            </w:r>
          </w:p>
        </w:tc>
        <w:tc>
          <w:p>
            <w:pPr>
              <w:pStyle w:val="Compact"/>
              <w:jc w:val="right"/>
            </w:pPr>
            <w:r>
              <w:t xml:space="preserve">0.0846722</w:t>
            </w:r>
          </w:p>
        </w:tc>
        <w:tc>
          <w:p>
            <w:pPr>
              <w:pStyle w:val="Compact"/>
              <w:jc w:val="right"/>
            </w:pPr>
            <w:r>
              <w:t xml:space="preserve">0.1996255</w:t>
            </w:r>
          </w:p>
        </w:tc>
        <w:tc>
          <w:p>
            <w:pPr>
              <w:pStyle w:val="Compact"/>
              <w:jc w:val="right"/>
            </w:pPr>
            <w:r>
              <w:t xml:space="preserve">0</w:t>
            </w:r>
          </w:p>
        </w:tc>
      </w:tr>
      <w:tr>
        <w:tc>
          <w:p>
            <w:pPr>
              <w:pStyle w:val="Compact"/>
              <w:jc w:val="left"/>
            </w:pPr>
            <w:r>
              <w:t xml:space="preserve">q_410_asthma_cur</w:t>
            </w:r>
          </w:p>
        </w:tc>
        <w:tc>
          <w:p>
            <w:pPr>
              <w:pStyle w:val="Compact"/>
              <w:jc w:val="right"/>
            </w:pPr>
            <w:r>
              <w:t xml:space="preserve">277</w:t>
            </w:r>
          </w:p>
        </w:tc>
        <w:tc>
          <w:p>
            <w:pPr>
              <w:pStyle w:val="Compact"/>
              <w:jc w:val="right"/>
            </w:pPr>
            <w:r>
              <w:t xml:space="preserve">658</w:t>
            </w:r>
          </w:p>
        </w:tc>
        <w:tc>
          <w:p>
            <w:pPr>
              <w:pStyle w:val="Compact"/>
              <w:jc w:val="right"/>
            </w:pPr>
            <w:r>
              <w:t xml:space="preserve">0.0817350</w:t>
            </w:r>
          </w:p>
        </w:tc>
        <w:tc>
          <w:p>
            <w:pPr>
              <w:pStyle w:val="Compact"/>
              <w:jc w:val="right"/>
            </w:pPr>
            <w:r>
              <w:t xml:space="preserve">0.1917808</w:t>
            </w:r>
          </w:p>
        </w:tc>
        <w:tc>
          <w:p>
            <w:pPr>
              <w:pStyle w:val="Compact"/>
              <w:jc w:val="right"/>
            </w:pPr>
            <w:r>
              <w:t xml:space="preserve">0</w:t>
            </w:r>
          </w:p>
        </w:tc>
      </w:tr>
      <w:tr>
        <w:tc>
          <w:p>
            <w:pPr>
              <w:pStyle w:val="Compact"/>
              <w:jc w:val="left"/>
            </w:pPr>
            <w:r>
              <w:t xml:space="preserve">q_410_foodallergy_prev_v6</w:t>
            </w:r>
          </w:p>
        </w:tc>
        <w:tc>
          <w:p>
            <w:pPr>
              <w:pStyle w:val="Compact"/>
              <w:jc w:val="right"/>
            </w:pPr>
            <w:r>
              <w:t xml:space="preserve">61</w:t>
            </w:r>
          </w:p>
        </w:tc>
        <w:tc>
          <w:p>
            <w:pPr>
              <w:pStyle w:val="Compact"/>
              <w:jc w:val="right"/>
            </w:pPr>
            <w:r>
              <w:t xml:space="preserve">331</w:t>
            </w:r>
          </w:p>
        </w:tc>
        <w:tc>
          <w:p>
            <w:pPr>
              <w:pStyle w:val="Compact"/>
              <w:jc w:val="right"/>
            </w:pPr>
            <w:r>
              <w:t xml:space="preserve">0.0355685</w:t>
            </w:r>
          </w:p>
        </w:tc>
        <w:tc>
          <w:p>
            <w:pPr>
              <w:pStyle w:val="Compact"/>
              <w:jc w:val="right"/>
            </w:pPr>
            <w:r>
              <w:t xml:space="preserve">0.1572447</w:t>
            </w:r>
          </w:p>
        </w:tc>
        <w:tc>
          <w:p>
            <w:pPr>
              <w:pStyle w:val="Compact"/>
              <w:jc w:val="right"/>
            </w:pPr>
            <w:r>
              <w:t xml:space="preserve">0</w:t>
            </w:r>
          </w:p>
        </w:tc>
      </w:tr>
      <w:tr>
        <w:tc>
          <w:p>
            <w:pPr>
              <w:pStyle w:val="Compact"/>
              <w:jc w:val="left"/>
            </w:pPr>
            <w:r>
              <w:t xml:space="preserve">q_410_foodallergy_cur_v6</w:t>
            </w:r>
          </w:p>
        </w:tc>
        <w:tc>
          <w:p>
            <w:pPr>
              <w:pStyle w:val="Compact"/>
              <w:jc w:val="right"/>
            </w:pPr>
            <w:r>
              <w:t xml:space="preserve">57</w:t>
            </w:r>
          </w:p>
        </w:tc>
        <w:tc>
          <w:p>
            <w:pPr>
              <w:pStyle w:val="Compact"/>
              <w:jc w:val="right"/>
            </w:pPr>
            <w:r>
              <w:t xml:space="preserve">332</w:t>
            </w:r>
          </w:p>
        </w:tc>
        <w:tc>
          <w:p>
            <w:pPr>
              <w:pStyle w:val="Compact"/>
              <w:jc w:val="right"/>
            </w:pPr>
            <w:r>
              <w:t xml:space="preserve">0.0316140</w:t>
            </w:r>
          </w:p>
        </w:tc>
        <w:tc>
          <w:p>
            <w:pPr>
              <w:pStyle w:val="Compact"/>
              <w:jc w:val="right"/>
            </w:pPr>
            <w:r>
              <w:t xml:space="preserve">0.1517367</w:t>
            </w:r>
          </w:p>
        </w:tc>
        <w:tc>
          <w:p>
            <w:pPr>
              <w:pStyle w:val="Compact"/>
              <w:jc w:val="right"/>
            </w:pPr>
            <w:r>
              <w:t xml:space="preserve">0</w:t>
            </w:r>
          </w:p>
        </w:tc>
      </w:tr>
      <w:tr>
        <w:tc>
          <w:p>
            <w:pPr>
              <w:pStyle w:val="Compact"/>
              <w:jc w:val="left"/>
            </w:pPr>
            <w:r>
              <w:t xml:space="preserve">q_4211_exercise</w:t>
            </w:r>
          </w:p>
        </w:tc>
        <w:tc>
          <w:p>
            <w:pPr>
              <w:pStyle w:val="Compact"/>
              <w:jc w:val="right"/>
            </w:pPr>
            <w:r>
              <w:t xml:space="preserve">1164</w:t>
            </w:r>
          </w:p>
        </w:tc>
        <w:tc>
          <w:p>
            <w:pPr>
              <w:pStyle w:val="Compact"/>
              <w:jc w:val="right"/>
            </w:pPr>
            <w:r>
              <w:t xml:space="preserve">651</w:t>
            </w:r>
          </w:p>
        </w:tc>
        <w:tc>
          <w:p>
            <w:pPr>
              <w:pStyle w:val="Compact"/>
              <w:jc w:val="right"/>
            </w:pPr>
            <w:r>
              <w:t xml:space="preserve">0.3773096</w:t>
            </w:r>
          </w:p>
        </w:tc>
        <w:tc>
          <w:p>
            <w:pPr>
              <w:pStyle w:val="Compact"/>
              <w:jc w:val="right"/>
            </w:pPr>
            <w:r>
              <w:t xml:space="preserve">0.1947935</w:t>
            </w:r>
          </w:p>
        </w:tc>
        <w:tc>
          <w:p>
            <w:pPr>
              <w:pStyle w:val="Compact"/>
              <w:jc w:val="right"/>
            </w:pPr>
            <w:r>
              <w:t xml:space="preserve">0</w:t>
            </w:r>
          </w:p>
        </w:tc>
      </w:tr>
      <w:tr>
        <w:tc>
          <w:p>
            <w:pPr>
              <w:pStyle w:val="Compact"/>
              <w:jc w:val="left"/>
            </w:pPr>
            <w:r>
              <w:t xml:space="preserve">q_422_stress</w:t>
            </w:r>
          </w:p>
        </w:tc>
        <w:tc>
          <w:p>
            <w:pPr>
              <w:pStyle w:val="Compact"/>
              <w:jc w:val="right"/>
            </w:pPr>
            <w:r>
              <w:t xml:space="preserve">110</w:t>
            </w:r>
          </w:p>
        </w:tc>
        <w:tc>
          <w:p>
            <w:pPr>
              <w:pStyle w:val="Compact"/>
              <w:jc w:val="right"/>
            </w:pPr>
            <w:r>
              <w:t xml:space="preserve">360</w:t>
            </w:r>
          </w:p>
        </w:tc>
        <w:tc>
          <w:p>
            <w:pPr>
              <w:pStyle w:val="Compact"/>
              <w:jc w:val="right"/>
            </w:pPr>
            <w:r>
              <w:t xml:space="preserve">0.0304625</w:t>
            </w:r>
          </w:p>
        </w:tc>
        <w:tc>
          <w:p>
            <w:pPr>
              <w:pStyle w:val="Compact"/>
              <w:jc w:val="right"/>
            </w:pPr>
            <w:r>
              <w:t xml:space="preserve">0.0996402</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ace-i"/>
      <w:bookmarkEnd w:id="31"/>
      <w:r>
        <w:t xml:space="preserve">ACE-I</w:t>
      </w:r>
    </w:p>
    <w:p>
      <w:pPr>
        <w:pStyle w:val="FirstParagraph"/>
      </w:pPr>
      <w:r>
        <w:t xml:space="preserve">Ruef wrote in 2009 that the use of ACE I increases the risk of a severe reaction.</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q_423_ace</w:t>
      </w:r>
      <w:r>
        <w:br w:type="textWrapping"/>
      </w:r>
      <w:r>
        <w:rPr>
          <w:rStyle w:val="VerbatimChar"/>
        </w:rPr>
        <w:t xml:space="preserve">#&gt; W = 62330, p-value = 0.008611</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q_423_ace medianVAS IQRVAS</w:t>
      </w:r>
      <w:r>
        <w:br w:type="textWrapping"/>
      </w:r>
      <w:r>
        <w:rPr>
          <w:rStyle w:val="VerbatimChar"/>
        </w:rPr>
        <w:t xml:space="preserve">#&gt;   &lt;chr&gt;         &lt;dbl&gt;  &lt;dbl&gt;</w:t>
      </w:r>
      <w:r>
        <w:br w:type="textWrapping"/>
      </w:r>
      <w:r>
        <w:rPr>
          <w:rStyle w:val="VerbatimChar"/>
        </w:rPr>
        <w:t xml:space="preserve">#&gt; 1 no                7      3</w:t>
      </w:r>
      <w:r>
        <w:br w:type="textWrapping"/>
      </w:r>
      <w:r>
        <w:rPr>
          <w:rStyle w:val="VerbatimChar"/>
        </w:rPr>
        <w:t xml:space="preserve">#&gt; 2 yes               7      3</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q_423_ace</w:t>
      </w:r>
      <w:r>
        <w:br w:type="textWrapping"/>
      </w:r>
      <w:r>
        <w:rPr>
          <w:rStyle w:val="VerbatimChar"/>
        </w:rPr>
        <w:t xml:space="preserve">#&gt; W = 757230, p-value = 4.691e-10</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2-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q_423_ace medianANAscore IQRANAscore</w:t>
      </w:r>
      <w:r>
        <w:br w:type="textWrapping"/>
      </w:r>
      <w:r>
        <w:rPr>
          <w:rStyle w:val="VerbatimChar"/>
        </w:rPr>
        <w:t xml:space="preserve">#&gt;   &lt;chr&gt;              &lt;dbl&gt;       &lt;dbl&gt;</w:t>
      </w:r>
      <w:r>
        <w:br w:type="textWrapping"/>
      </w:r>
      <w:r>
        <w:rPr>
          <w:rStyle w:val="VerbatimChar"/>
        </w:rPr>
        <w:t xml:space="preserve">#&gt; 1 no                   846         335</w:t>
      </w:r>
      <w:r>
        <w:br w:type="textWrapping"/>
      </w:r>
      <w:r>
        <w:rPr>
          <w:rStyle w:val="VerbatimChar"/>
        </w:rPr>
        <w:t xml:space="preserve">#&gt; 2 yes                  887         238</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2-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beta-blockers"/>
      <w:bookmarkEnd w:id="35"/>
      <w:r>
        <w:t xml:space="preserve">Beta blockers</w:t>
      </w:r>
    </w:p>
    <w:p>
      <w:pPr>
        <w:pStyle w:val="FirstParagraph"/>
      </w:pPr>
      <w:r>
        <w:t xml:space="preserve">cardioselectivity??????</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q_423_beta</w:t>
      </w:r>
      <w:r>
        <w:br w:type="textWrapping"/>
      </w:r>
      <w:r>
        <w:rPr>
          <w:rStyle w:val="VerbatimChar"/>
        </w:rPr>
        <w:t xml:space="preserve">#&gt; W = 73672, p-value = 0.001205</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medianVAS IQRVAS</w:t>
      </w:r>
      <w:r>
        <w:br w:type="textWrapping"/>
      </w:r>
      <w:r>
        <w:rPr>
          <w:rStyle w:val="VerbatimChar"/>
        </w:rPr>
        <w:t xml:space="preserve">#&gt;   &lt;chr&gt;          &lt;dbl&gt;  &lt;dbl&gt;</w:t>
      </w:r>
      <w:r>
        <w:br w:type="textWrapping"/>
      </w:r>
      <w:r>
        <w:rPr>
          <w:rStyle w:val="VerbatimChar"/>
        </w:rPr>
        <w:t xml:space="preserve">#&gt; 1 no                 7      3</w:t>
      </w:r>
      <w:r>
        <w:br w:type="textWrapping"/>
      </w:r>
      <w:r>
        <w:rPr>
          <w:rStyle w:val="VerbatimChar"/>
        </w:rPr>
        <w:t xml:space="preserve">#&gt; 2 yes                7      2</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q_423_beta</w:t>
      </w:r>
      <w:r>
        <w:br w:type="textWrapping"/>
      </w:r>
      <w:r>
        <w:rPr>
          <w:rStyle w:val="VerbatimChar"/>
        </w:rPr>
        <w:t xml:space="preserve">#&gt; W = 1028800, p-value = 1.21e-06</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3-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medianANAscore IQRANAscore</w:t>
      </w:r>
      <w:r>
        <w:br w:type="textWrapping"/>
      </w:r>
      <w:r>
        <w:rPr>
          <w:rStyle w:val="VerbatimChar"/>
        </w:rPr>
        <w:t xml:space="preserve">#&gt;   &lt;chr&gt;               &lt;dbl&gt;       &lt;dbl&gt;</w:t>
      </w:r>
      <w:r>
        <w:br w:type="textWrapping"/>
      </w:r>
      <w:r>
        <w:rPr>
          <w:rStyle w:val="VerbatimChar"/>
        </w:rPr>
        <w:t xml:space="preserve">#&gt; 1 no                    846        335 </w:t>
      </w:r>
      <w:r>
        <w:br w:type="textWrapping"/>
      </w:r>
      <w:r>
        <w:rPr>
          <w:rStyle w:val="VerbatimChar"/>
        </w:rPr>
        <w:t xml:space="preserve">#&gt; 2 yes                   846        310.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3-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mast-cell-burden---mastocytosis"/>
      <w:bookmarkEnd w:id="39"/>
      <w:r>
        <w:t xml:space="preserve">mast cell burden - mastocytosis</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q_410_masto_cur</w:t>
      </w:r>
      <w:r>
        <w:br w:type="textWrapping"/>
      </w:r>
      <w:r>
        <w:rPr>
          <w:rStyle w:val="VerbatimChar"/>
        </w:rPr>
        <w:t xml:space="preserve">#&gt; W = 13914, p-value = 0.04887</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q_410_masto_cur medianVAS IQRVAS</w:t>
      </w:r>
      <w:r>
        <w:br w:type="textWrapping"/>
      </w:r>
      <w:r>
        <w:rPr>
          <w:rStyle w:val="VerbatimChar"/>
        </w:rPr>
        <w:t xml:space="preserve">#&gt;   &lt;chr&gt;               &lt;dbl&gt;  &lt;dbl&gt;</w:t>
      </w:r>
      <w:r>
        <w:br w:type="textWrapping"/>
      </w:r>
      <w:r>
        <w:rPr>
          <w:rStyle w:val="VerbatimChar"/>
        </w:rPr>
        <w:t xml:space="preserve">#&gt; 1 no                      7      2</w:t>
      </w:r>
      <w:r>
        <w:br w:type="textWrapping"/>
      </w:r>
      <w:r>
        <w:rPr>
          <w:rStyle w:val="VerbatimChar"/>
        </w:rPr>
        <w:t xml:space="preserve">#&gt; 2 yes                     8      3</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q_410_masto_cur</w:t>
      </w:r>
      <w:r>
        <w:br w:type="textWrapping"/>
      </w:r>
      <w:r>
        <w:rPr>
          <w:rStyle w:val="VerbatimChar"/>
        </w:rPr>
        <w:t xml:space="preserve">#&gt; W = 233890, p-value = 6.782e-15</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4-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q_410_masto_cur medianANAscore IQRANAscore</w:t>
      </w:r>
      <w:r>
        <w:br w:type="textWrapping"/>
      </w:r>
      <w:r>
        <w:rPr>
          <w:rStyle w:val="VerbatimChar"/>
        </w:rPr>
        <w:t xml:space="preserve">#&gt;   &lt;chr&gt;                    &lt;dbl&gt;       &lt;dbl&gt;</w:t>
      </w:r>
      <w:r>
        <w:br w:type="textWrapping"/>
      </w:r>
      <w:r>
        <w:rPr>
          <w:rStyle w:val="VerbatimChar"/>
        </w:rPr>
        <w:t xml:space="preserve">#&gt; 1 no                         846        335 </w:t>
      </w:r>
      <w:r>
        <w:br w:type="textWrapping"/>
      </w:r>
      <w:r>
        <w:rPr>
          <w:rStyle w:val="VerbatimChar"/>
        </w:rPr>
        <w:t xml:space="preserve">#&gt; 2 yes                        887        148.</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4-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unnamed-chunk-5-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put the mastocytosis and baseline serum tryptase as the evaluation of severe risk</w:t>
      </w:r>
      <w:r>
        <w:t xml:space="preserve"> </w:t>
      </w:r>
      <w:r>
        <w:t xml:space="preserve">Here it is crucial to compare to even these reactions that had nearly no reactions</w:t>
      </w:r>
    </w:p>
    <w:p>
      <w:pPr>
        <w:pStyle w:val="Heading3"/>
      </w:pPr>
      <w:bookmarkStart w:id="45" w:name="model-the-risk-of-severity-of-a-severe-reaction-in-iva"/>
      <w:bookmarkEnd w:id="45"/>
      <w:r>
        <w:t xml:space="preserve">Model the risk of severity of a severe reaction in IVA</w:t>
      </w:r>
    </w:p>
    <w:p>
      <w:pPr>
        <w:pStyle w:val="FirstParagraph"/>
      </w:pPr>
      <w:r>
        <w:t xml:space="preserve">USe the model from our previous paper</w:t>
      </w:r>
    </w:p>
    <w:p>
      <w:pPr>
        <w:pStyle w:val="Heading2"/>
      </w:pPr>
      <w:bookmarkStart w:id="46" w:name="managment"/>
      <w:bookmarkEnd w:id="46"/>
      <w:r>
        <w:t xml:space="preserve">Managment</w:t>
      </w:r>
    </w:p>
    <w:p>
      <w:pPr>
        <w:pStyle w:val="Heading3"/>
      </w:pPr>
      <w:bookmarkStart w:id="47" w:name="adrenaline-is-less-often-used-in-patients-with-iva-compared-to-other-anaphylaxis-cases"/>
      <w:bookmarkEnd w:id="47"/>
      <w:r>
        <w:t xml:space="preserve">Adrenaline is less often used in patients with IVA compared to other anaphylaxis cases</w:t>
      </w:r>
    </w:p>
    <w:p>
      <w:pPr>
        <w:pStyle w:val="FigureWithCaption"/>
      </w:pPr>
      <w:r>
        <w:drawing>
          <wp:inline>
            <wp:extent cx="4620126" cy="3696101"/>
            <wp:effectExtent b="0" l="0" r="0" t="0"/>
            <wp:docPr descr="Figure 1 Therapy of IVA cases. A: General managment methods in IVA and non-IVA. B: Reasons for not administering adrenaline in both IVA and non-IVA cases. C,D,E: Age, sex and severity distribution was matched in cases in both groups to allow for comparable results between IVA and non_IVA cases" title="" id="1" name="Picture"/>
            <a:graphic>
              <a:graphicData uri="http://schemas.openxmlformats.org/drawingml/2006/picture">
                <pic:pic>
                  <pic:nvPicPr>
                    <pic:cNvPr descr="../figures/adrenuse-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Therapy of IVA cases.</w:t>
      </w:r>
      <w:r>
        <w:t xml:space="preserve"> </w:t>
      </w:r>
      <w:r>
        <w:t xml:space="preserve">A: General managment methods in IVA and non-IVA. B: Reasons for not administering adrenaline in both IVA and non-IVA cases. C,D,E: Age, sex and severity distribution was matched in cases in both groups to allow for comparable results between IVA and non_IVA cases</w:t>
      </w:r>
    </w:p>
    <w:p>
      <w:pPr>
        <w:pStyle w:val="BodyText"/>
      </w:pPr>
      <w:r>
        <w:t xml:space="preserve">Patients who underwent IVA significantly less often recived adrenaline treatment than in other adrenaline cases (0.3653846, 0.1346154, 0.3286943, 0.1713057, p &lt; 0.001). After adjusting both groups for simmilar age, sex and severity distribution - the difference in adrenaline use was still significant irrespective of the route of administration. Antihistaminic drugs on the other had were given more often in cases of IVA when compared to non-IVA.</w:t>
      </w:r>
    </w:p>
    <w:p>
      <w:pPr>
        <w:pStyle w:val="BodyText"/>
      </w:pPr>
      <w:r>
        <w:t xml:space="preserve">IVA was most often treated with corticosteroids and antihistamines (significantly more frequent than in other anaphylaxis cases). On the other hand adrenaline, beta-2 mimetics and oxygen were given more often in non-IVA.</w:t>
      </w:r>
    </w:p>
    <w:p>
      <w:pPr>
        <w:pStyle w:val="Heading2"/>
      </w:pPr>
      <w:bookmarkStart w:id="49" w:name="diagnostics"/>
      <w:bookmarkEnd w:id="49"/>
      <w:r>
        <w:t xml:space="preserve">Diagnostics</w:t>
      </w:r>
    </w:p>
    <w:p>
      <w:pPr>
        <w:pStyle w:val="Heading2"/>
      </w:pPr>
      <w:bookmarkStart w:id="50" w:name="repeated-reactions"/>
      <w:bookmarkEnd w:id="50"/>
      <w:r>
        <w:t xml:space="preserve">Repeated reactions</w:t>
      </w:r>
    </w:p>
    <w:p>
      <w:pPr>
        <w:pStyle w:val="FirstParagraph"/>
      </w:pPr>
      <w:r>
        <w:t xml:space="preserve">In general 28.6060606% patient with insect allergy had experienced anaphylaxis in the past which is less than if the reaction is elicited by other elcitors (35.6891767%, p = 9.2014568</w:t>
      </w:r>
      <w:r>
        <w:t xml:space="preserve">10^{-12}). We documented 227 patients with two documented reactions in our registry.</w:t>
      </w:r>
      <w:r>
        <w:t xml:space="preserve"> </w:t>
      </w:r>
      <w:r>
        <w:t xml:space="preserve">Out of these 59 (25.9911894%) had Insect elicited anaphylaxis and in 16 (27.1186441) The follwoeing reaction was more severe than before.</w:t>
      </w:r>
    </w:p>
    <w:p>
      <w:pPr>
        <w:pStyle w:val="Heading3"/>
      </w:pPr>
      <w:bookmarkStart w:id="51" w:name="do-we-know-how-mnay-beekeepers-were-in-our-dataset"/>
      <w:bookmarkEnd w:id="51"/>
      <w:r>
        <w:t xml:space="preserve">Do we know how mnay beekeepers were in our dataset?</w:t>
      </w:r>
    </w:p>
    <w:p>
      <w:pPr>
        <w:pStyle w:val="FirstParagraph"/>
      </w:pPr>
      <w:r>
        <w:t xml:space="preserve">We were unable to estimate the fraction of cases that were elicited in bee-keepers as this information is not asked in the questionnaire.</w:t>
      </w:r>
    </w:p>
    <w:p>
      <w:pPr>
        <w:pStyle w:val="Heading3"/>
      </w:pPr>
      <w:bookmarkStart w:id="52" w:name="hypothesis-wasp-stings-are-more-severe-than-bee-stings"/>
      <w:bookmarkEnd w:id="52"/>
      <w:r>
        <w:t xml:space="preserve">Hypothesis: Wasp stings are more severe than bee stings</w:t>
      </w:r>
    </w:p>
    <w:p>
      <w:pPr>
        <w:pStyle w:val="FirstParagraph"/>
      </w:pPr>
      <w:r>
        <w:t xml:space="preserve">We previously saw that refractory anaphylaxis cases come from bees. Here we see no difference in the severity of cases elicited by bees and wasps (in the RM).</w:t>
      </w:r>
    </w:p>
    <w:p>
      <w:pPr>
        <w:pStyle w:val="BodyText"/>
      </w:pPr>
      <w:r>
        <w:drawing>
          <wp:inline>
            <wp:extent cx="4620126" cy="7392202"/>
            <wp:effectExtent b="0" l="0" r="0" t="0"/>
            <wp:docPr descr="" title="" id="1" name="Picture"/>
            <a:graphic>
              <a:graphicData uri="http://schemas.openxmlformats.org/drawingml/2006/picture">
                <pic:pic>
                  <pic:nvPicPr>
                    <pic:cNvPr descr="../figures/unnamed-chunk-7-1.png" id="0" name="Picture"/>
                    <pic:cNvPicPr>
                      <a:picLocks noChangeArrowheads="1" noChangeAspect="1"/>
                    </pic:cNvPicPr>
                  </pic:nvPicPr>
                  <pic:blipFill>
                    <a:blip r:embed="rId5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figures/unnamed-chunk-7-2.png" id="0" name="Picture"/>
                    <pic:cNvPicPr>
                      <a:picLocks noChangeArrowheads="1" noChangeAspect="1"/>
                    </pic:cNvPicPr>
                  </pic:nvPicPr>
                  <pic:blipFill>
                    <a:blip r:embed="rId54"/>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Based on the above graphs of patients matched according to sex and age we cannot say that the severity of their reaction differ between yellow-jackets and bees in any of the models except ANAscore - where yellow jacket were linked to a slightly more severe reaction.</w:t>
      </w:r>
    </w:p>
    <w:p>
      <w:pPr>
        <w:pStyle w:val="BodyText"/>
      </w:pPr>
      <w:r>
        <w:t xml:space="preserve">But in the ANAscore variable it shows up to be significant ! Yellow-jackets stings are more severe than the bee stings. This is however very hard to compare to refractory cases. Maybe we can use the refractory case identifier to say in which group we see more refractory cases?</w:t>
      </w:r>
    </w:p>
    <w:p>
      <w:pPr>
        <w:pStyle w:val="Heading3"/>
      </w:pPr>
      <w:bookmarkStart w:id="55" w:name="increased-btsc-develops-in-the-normal-range-8"/>
      <w:bookmarkEnd w:id="55"/>
      <w:r>
        <w:t xml:space="preserve">Increased BTSC develops in the normal range &lt;8</w:t>
      </w:r>
    </w:p>
    <w:p>
      <w:pPr>
        <w:pStyle w:val="FirstParagraph"/>
      </w:pPr>
      <w:r>
        <w:drawing>
          <wp:inline>
            <wp:extent cx="4620126" cy="7392202"/>
            <wp:effectExtent b="0" l="0" r="0" t="0"/>
            <wp:docPr descr="" title="" id="1" name="Picture"/>
            <a:graphic>
              <a:graphicData uri="http://schemas.openxmlformats.org/drawingml/2006/picture">
                <pic:pic>
                  <pic:nvPicPr>
                    <pic:cNvPr descr="../figures/unnamed-chunk-8-1.png" id="0" name="Picture"/>
                    <pic:cNvPicPr>
                      <a:picLocks noChangeArrowheads="1" noChangeAspect="1"/>
                    </pic:cNvPicPr>
                  </pic:nvPicPr>
                  <pic:blipFill>
                    <a:blip r:embed="rId56"/>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Based on the above we see that the severity of anaphylaxis significantly depends on tryptase concentration (here under 8 µg/ml). Only in the VAS scale this did not sho as significant.</w:t>
      </w:r>
      <w:r>
        <w:t xml:space="preserve"> </w:t>
      </w:r>
      <w:r>
        <w:t xml:space="preserve">There might be problems with the vas scale…</w:t>
      </w:r>
    </w:p>
    <w:p>
      <w:pPr>
        <w:pStyle w:val="Heading3"/>
      </w:pPr>
      <w:bookmarkStart w:id="57" w:name="mastocytosis"/>
      <w:bookmarkEnd w:id="57"/>
      <w:r>
        <w:t xml:space="preserve">Mastocytosis</w:t>
      </w:r>
    </w:p>
    <w:p>
      <w:pPr>
        <w:pStyle w:val="Heading3"/>
      </w:pPr>
      <w:bookmarkStart w:id="58" w:name="older-age"/>
      <w:bookmarkEnd w:id="58"/>
      <w:r>
        <w:t xml:space="preserve">Older Age</w:t>
      </w:r>
    </w:p>
    <w:p>
      <w:pPr>
        <w:pStyle w:val="Heading3"/>
      </w:pPr>
      <w:bookmarkStart w:id="59" w:name="ace---i"/>
      <w:bookmarkEnd w:id="59"/>
      <w:r>
        <w:t xml:space="preserve">ACE - I</w:t>
      </w:r>
    </w:p>
    <w:p>
      <w:pPr>
        <w:pStyle w:val="Heading3"/>
      </w:pPr>
      <w:bookmarkStart w:id="60" w:name="previous-reactions-severe"/>
      <w:bookmarkEnd w:id="60"/>
      <w:r>
        <w:t xml:space="preserve">previous reactions (severe)</w:t>
      </w:r>
    </w:p>
    <w:p>
      <w:pPr>
        <w:pStyle w:val="Heading3"/>
      </w:pPr>
      <w:bookmarkStart w:id="61" w:name="male-sex"/>
      <w:bookmarkEnd w:id="61"/>
      <w:r>
        <w:t xml:space="preserve">Male sex</w:t>
      </w:r>
    </w:p>
    <w:p>
      <w:pPr>
        <w:pStyle w:val="Heading3"/>
      </w:pPr>
      <w:bookmarkStart w:id="62" w:name="beta-blockers-and-cardioselective-blockers"/>
      <w:bookmarkEnd w:id="62"/>
      <w:r>
        <w:t xml:space="preserve">Beta blockers and CARDIOSELECTIVE BLOCKERS</w:t>
      </w:r>
    </w:p>
    <w:p>
      <w:pPr>
        <w:pStyle w:val="Heading3"/>
      </w:pPr>
      <w:bookmarkStart w:id="63" w:name="evaluate-the-pediatric-population-separately"/>
      <w:bookmarkEnd w:id="63"/>
      <w:r>
        <w:t xml:space="preserve">Evaluate the pediatric population separately</w:t>
      </w:r>
    </w:p>
    <w:p>
      <w:pPr>
        <w:pStyle w:val="Heading3"/>
      </w:pPr>
      <w:bookmarkStart w:id="64" w:name="number-of-sar-during-vit-compare-to-other-hypos"/>
      <w:bookmarkEnd w:id="64"/>
      <w:r>
        <w:t xml:space="preserve">Number of SAR during VIT compare to other hypos</w:t>
      </w:r>
    </w:p>
    <w:p>
      <w:pPr>
        <w:pStyle w:val="Heading4"/>
      </w:pPr>
      <w:bookmarkStart w:id="65" w:name="compare-bee-sit-to-wasp-sit-for-aes"/>
      <w:bookmarkEnd w:id="65"/>
      <w:r>
        <w:t xml:space="preserve">Compare bee sit to wasp sit for AEs</w:t>
      </w:r>
    </w:p>
    <w:p>
      <w:pPr>
        <w:pStyle w:val="Heading4"/>
      </w:pPr>
      <w:bookmarkStart w:id="66" w:name="correlate-the-tryptase-value-with-sit-types-and-severity"/>
      <w:bookmarkEnd w:id="66"/>
      <w:r>
        <w:t xml:space="preserve">correlate the tryptase value with SIT types and severity</w:t>
      </w:r>
    </w:p>
    <w:p>
      <w:pPr>
        <w:pStyle w:val="Heading3"/>
      </w:pPr>
      <w:bookmarkStart w:id="67" w:name="section"/>
      <w:bookmarkEnd w:id="67"/>
    </w:p>
    <w:p>
      <w:pPr>
        <w:pStyle w:val="FirstParagraph"/>
      </w:pPr>
      <w:r>
        <w:t xml:space="preserve">they used generalized aditive models (package GAM?)</w:t>
      </w:r>
      <w:r>
        <w:t xml:space="preserve"> </w:t>
      </w:r>
      <w:r>
        <w:t xml:space="preserve">Also ROC curves for confirmation</w:t>
      </w:r>
    </w:p>
    <w:p>
      <w:pPr>
        <w:pStyle w:val="Heading1"/>
      </w:pPr>
      <w:bookmarkStart w:id="68" w:name="discussion"/>
      <w:bookmarkEnd w:id="68"/>
      <w:r>
        <w:t xml:space="preserve">Discussion</w:t>
      </w:r>
    </w:p>
    <w:p>
      <w:pPr>
        <w:pStyle w:val="FirstParagraph"/>
      </w:pPr>
      <w:r>
        <w:t xml:space="preserve">Cardiologic symptoms and hypotensive collapse might be associated with vanom anaphylaxis due to the vaso-vagal reflex. As seen in patients undrgoing blood sampling needles (and probably also insect stings) may elicit a hypotensive response due to extreme emotional distress with bradycardia, limiting the bloodflow to the brain and causing a syncope. This mechanism may contribute to the ongoing histamin-induced vasodialation and may worsen the symptoms of an allergic reaction.</w:t>
      </w:r>
    </w:p>
    <w:p>
      <w:pPr>
        <w:pStyle w:val="Heading1"/>
      </w:pPr>
      <w:bookmarkStart w:id="69" w:name="conclusion"/>
      <w:bookmarkEnd w:id="69"/>
      <w:r>
        <w:t xml:space="preserve">Conclusion</w:t>
      </w:r>
    </w:p>
    <w:p>
      <w:pPr>
        <w:pStyle w:val="Heading1"/>
      </w:pPr>
      <w:bookmarkStart w:id="70" w:name="acknowledgements"/>
      <w:bookmarkEnd w:id="70"/>
      <w:r>
        <w:t xml:space="preserve">Acknowledgements</w:t>
      </w:r>
    </w:p>
    <w:p>
      <w:pPr>
        <w:pStyle w:val="Heading5"/>
      </w:pPr>
      <w:bookmarkStart w:id="71" w:name="pagebreak"/>
      <w:bookmarkEnd w:id="71"/>
      <w:r>
        <w:t xml:space="preserve">pagebreak</w:t>
      </w:r>
    </w:p>
    <w:p>
      <w:pPr>
        <w:pStyle w:val="Heading1"/>
      </w:pPr>
      <w:bookmarkStart w:id="72" w:name="references"/>
      <w:bookmarkEnd w:id="72"/>
      <w:r>
        <w:t xml:space="preserve">References</w:t>
      </w:r>
    </w:p>
    <w:p>
      <w:pPr>
        <w:pStyle w:val="Heading5"/>
      </w:pPr>
      <w:bookmarkStart w:id="73" w:name="pagebreak-1"/>
      <w:bookmarkEnd w:id="73"/>
      <w:r>
        <w:t xml:space="preserve">pagebreak</w:t>
      </w:r>
    </w:p>
    <w:p>
      <w:pPr>
        <w:pStyle w:val="Heading1"/>
      </w:pPr>
      <w:bookmarkStart w:id="74" w:name="figures"/>
      <w:bookmarkEnd w:id="74"/>
      <w:r>
        <w:t xml:space="preserve">Figures</w:t>
      </w:r>
    </w:p>
    <w:p>
      <w:pPr>
        <w:pStyle w:val="FirstParagraph"/>
      </w:pPr>
      <w:r>
        <w:drawing>
          <wp:inline>
            <wp:extent cx="5943600" cy="4426351"/>
            <wp:effectExtent b="0" l="0" r="0" t="0"/>
            <wp:docPr descr="" title="" id="1" name="Picture"/>
            <a:graphic>
              <a:graphicData uri="http://schemas.openxmlformats.org/drawingml/2006/picture">
                <pic:pic>
                  <pic:nvPicPr>
                    <pic:cNvPr descr="../figures/flow.png" id="0" name="Picture"/>
                    <pic:cNvPicPr>
                      <a:picLocks noChangeArrowheads="1" noChangeAspect="1"/>
                    </pic:cNvPicPr>
                  </pic:nvPicPr>
                  <pic:blipFill>
                    <a:blip r:embed="rId75"/>
                    <a:stretch>
                      <a:fillRect/>
                    </a:stretch>
                  </pic:blipFill>
                  <pic:spPr bwMode="auto">
                    <a:xfrm>
                      <a:off x="0" y="0"/>
                      <a:ext cx="5943600" cy="4426351"/>
                    </a:xfrm>
                    <a:prstGeom prst="rect">
                      <a:avLst/>
                    </a:prstGeom>
                    <a:noFill/>
                    <a:ln w="9525">
                      <a:noFill/>
                      <a:headEnd/>
                      <a:tailEnd/>
                    </a:ln>
                  </pic:spPr>
                </pic:pic>
              </a:graphicData>
            </a:graphic>
          </wp:inline>
        </w:drawing>
      </w:r>
    </w:p>
    <w:p>
      <w:pPr>
        <w:pStyle w:val="Heading5"/>
      </w:pPr>
      <w:bookmarkStart w:id="76" w:name="pagebreak-2"/>
      <w:bookmarkEnd w:id="76"/>
      <w:r>
        <w:t xml:space="preserve">pagebreak</w:t>
      </w:r>
    </w:p>
    <w:p>
      <w:pPr>
        <w:pStyle w:val="FigureWithCaption"/>
      </w:pPr>
      <w:r>
        <w:drawing>
          <wp:inline>
            <wp:extent cx="5943600" cy="3396342"/>
            <wp:effectExtent b="0" l="0" r="0" t="0"/>
            <wp:docPr descr="Figure 2 A: Proportion of anaphylaxis cases elicited by specific insects according to the month in which the reaction occured. Less frequent insects were groupeped together as other. B: The proportion of insect elicited cases to ceses elicited by other triggers considering patient’s age. C: Geographical differences in the most common eliciotors of IVA. Countries which reported less than 10 cases of anaphylaxis due to insect venom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7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A: Proportion of anaphylaxis cases elicited by specific insects according to the month in which the reaction occured. Less frequent insects were groupeped together as</w:t>
      </w:r>
      <w:r>
        <w:t xml:space="preserve"> </w:t>
      </w:r>
      <w:r>
        <w:t xml:space="preserve">‘</w:t>
      </w:r>
      <w:r>
        <w:t xml:space="preserve">other</w:t>
      </w:r>
      <w:r>
        <w:t xml:space="preserve">’</w:t>
      </w:r>
      <w:r>
        <w:t xml:space="preserve">. B: The proportion of insect elicited cases to ceses elicited by other triggers considering patient’s age. C: Geographical differences in the most common eliciotors of IVA. Countries which reported less than 10 cases of anaphylaxis due to insect venom were not illustrated in this figure.</w:t>
      </w:r>
    </w:p>
    <w:p>
      <w:pPr>
        <w:pStyle w:val="Heading5"/>
      </w:pPr>
      <w:bookmarkStart w:id="78" w:name="pagebreak-3"/>
      <w:bookmarkEnd w:id="78"/>
      <w:r>
        <w:t xml:space="preserve">pagebreak</w:t>
      </w:r>
    </w:p>
    <w:p>
      <w:pPr>
        <w:pStyle w:val="FigureWithCaption"/>
      </w:pPr>
      <w:r>
        <w:drawing>
          <wp:inline>
            <wp:extent cx="5544151" cy="3696101"/>
            <wp:effectExtent b="0" l="0" r="0" t="0"/>
            <wp:docPr descr="Figure 3 The proportion of insect venom elicited anaphylaxis cases that were treated with adrenaline in comparison to other elicitors." title="" id="1" name="Picture"/>
            <a:graphic>
              <a:graphicData uri="http://schemas.openxmlformats.org/drawingml/2006/picture">
                <pic:pic>
                  <pic:nvPicPr>
                    <pic:cNvPr descr="../figures/adrenalineuse-1.png" id="0" name="Picture"/>
                    <pic:cNvPicPr>
                      <a:picLocks noChangeArrowheads="1" noChangeAspect="1"/>
                    </pic:cNvPicPr>
                  </pic:nvPicPr>
                  <pic:blipFill>
                    <a:blip r:embed="rId7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3 The proportion of insect venom elicited anaphylaxis cases that were treated with adrenaline in comparison to other elicitors.</w:t>
      </w:r>
    </w:p>
    <w:p>
      <w:pPr>
        <w:pStyle w:val="Heading5"/>
      </w:pPr>
      <w:bookmarkStart w:id="80" w:name="pagebreak-4"/>
      <w:bookmarkEnd w:id="80"/>
      <w:r>
        <w:t xml:space="preserve">pagebreak</w:t>
      </w:r>
    </w:p>
    <w:p>
      <w:pPr>
        <w:pStyle w:val="FigureWithCaption"/>
      </w:pPr>
      <w:r>
        <w:drawing>
          <wp:inline>
            <wp:extent cx="5943600" cy="3753852"/>
            <wp:effectExtent b="0" l="0" r="0" t="0"/>
            <wp:docPr descr="Figure 4 Symptoms of insect venom anaphylaxis (IVA) compared to other elicitors" title="" id="1" name="Picture"/>
            <a:graphic>
              <a:graphicData uri="http://schemas.openxmlformats.org/drawingml/2006/picture">
                <pic:pic>
                  <pic:nvPicPr>
                    <pic:cNvPr descr="../figures/figsymptoms-1.png" id="0" name="Picture"/>
                    <pic:cNvPicPr>
                      <a:picLocks noChangeArrowheads="1" noChangeAspect="1"/>
                    </pic:cNvPicPr>
                  </pic:nvPicPr>
                  <pic:blipFill>
                    <a:blip r:embed="rId81"/>
                    <a:stretch>
                      <a:fillRect/>
                    </a:stretch>
                  </pic:blipFill>
                  <pic:spPr bwMode="auto">
                    <a:xfrm>
                      <a:off x="0" y="0"/>
                      <a:ext cx="5943600" cy="3753852"/>
                    </a:xfrm>
                    <a:prstGeom prst="rect">
                      <a:avLst/>
                    </a:prstGeom>
                    <a:noFill/>
                    <a:ln w="9525">
                      <a:noFill/>
                      <a:headEnd/>
                      <a:tailEnd/>
                    </a:ln>
                  </pic:spPr>
                </pic:pic>
              </a:graphicData>
            </a:graphic>
          </wp:inline>
        </w:drawing>
      </w:r>
    </w:p>
    <w:p>
      <w:pPr>
        <w:pStyle w:val="ImageCaption"/>
      </w:pPr>
      <w:r>
        <w:t xml:space="preserve">Figure 4 Symptoms of insect venom anaphylaxis (IVA) compared to other elicitors</w:t>
      </w:r>
    </w:p>
    <w:p>
      <w:pPr>
        <w:pStyle w:val="Heading5"/>
      </w:pPr>
      <w:bookmarkStart w:id="82" w:name="pagebreak-5"/>
      <w:bookmarkEnd w:id="82"/>
      <w:r>
        <w:t xml:space="preserve">pagebreak</w:t>
      </w:r>
    </w:p>
    <w:p>
      <w:pPr>
        <w:pStyle w:val="FigureWithCaption"/>
      </w:pPr>
      <w:r>
        <w:drawing>
          <wp:inline>
            <wp:extent cx="3878981" cy="5544151"/>
            <wp:effectExtent b="0" l="0" r="0" t="0"/>
            <wp:docPr descr="Figure 5 Cofactors of insect venom anaphylaxis ad their relationship to severity of a reaction" title="" id="1" name="Picture"/>
            <a:graphic>
              <a:graphicData uri="http://schemas.openxmlformats.org/drawingml/2006/picture">
                <pic:pic>
                  <pic:nvPicPr>
                    <pic:cNvPr descr="../figures/figcofactors-1.png" id="0" name="Picture"/>
                    <pic:cNvPicPr>
                      <a:picLocks noChangeArrowheads="1" noChangeAspect="1"/>
                    </pic:cNvPicPr>
                  </pic:nvPicPr>
                  <pic:blipFill>
                    <a:blip r:embed="rId83"/>
                    <a:stretch>
                      <a:fillRect/>
                    </a:stretch>
                  </pic:blipFill>
                  <pic:spPr bwMode="auto">
                    <a:xfrm>
                      <a:off x="0" y="0"/>
                      <a:ext cx="3878981" cy="5544151"/>
                    </a:xfrm>
                    <a:prstGeom prst="rect">
                      <a:avLst/>
                    </a:prstGeom>
                    <a:noFill/>
                    <a:ln w="9525">
                      <a:noFill/>
                      <a:headEnd/>
                      <a:tailEnd/>
                    </a:ln>
                  </pic:spPr>
                </pic:pic>
              </a:graphicData>
            </a:graphic>
          </wp:inline>
        </w:drawing>
      </w:r>
    </w:p>
    <w:p>
      <w:pPr>
        <w:pStyle w:val="ImageCaption"/>
      </w:pPr>
      <w:r>
        <w:t xml:space="preserve">Figure 5 Cofactors of insect venom anaphylaxis ad their relationship to severity of a reaction</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7309e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9" Target="media/rId79.png" /><Relationship Type="http://schemas.openxmlformats.org/officeDocument/2006/relationships/image" Id="rId48" Target="media/rId48.png" /><Relationship Type="http://schemas.openxmlformats.org/officeDocument/2006/relationships/image" Id="rId83" Target="media/rId83.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2019-05-24T10:05:47Z</dcterms:created>
  <dcterms:modified xsi:type="dcterms:W3CDTF">2019-05-24T10:05:47Z</dcterms:modified>
</cp:coreProperties>
</file>