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7367" w:rsidRPr="00317B2C" w:rsidRDefault="00317B2C">
      <w:pPr>
        <w:rPr>
          <w:lang w:val="en-GB"/>
        </w:rPr>
      </w:pPr>
      <w:r w:rsidRPr="00317B2C">
        <w:rPr>
          <w:lang w:val="en-GB"/>
        </w:rPr>
        <w:t xml:space="preserve">Dear </w:t>
      </w:r>
      <w:proofErr w:type="spellStart"/>
      <w:r w:rsidRPr="00317B2C">
        <w:rPr>
          <w:lang w:val="en-GB"/>
        </w:rPr>
        <w:t>Volodymyr</w:t>
      </w:r>
      <w:proofErr w:type="spellEnd"/>
      <w:r w:rsidRPr="00317B2C">
        <w:rPr>
          <w:lang w:val="en-GB"/>
        </w:rPr>
        <w:t>,</w:t>
      </w:r>
    </w:p>
    <w:p w:rsidR="00317B2C" w:rsidRDefault="00317B2C" w:rsidP="00317B2C">
      <w:pPr>
        <w:spacing w:after="240" w:line="240" w:lineRule="auto"/>
        <w:rPr>
          <w:lang w:val="en-GB"/>
        </w:rPr>
      </w:pPr>
      <w:r w:rsidRPr="00317B2C">
        <w:rPr>
          <w:lang w:val="en-GB"/>
        </w:rPr>
        <w:t>Thank you for your message and your interest in Eurostat’s data.</w:t>
      </w:r>
    </w:p>
    <w:p w:rsidR="00317B2C" w:rsidRPr="00317B2C" w:rsidRDefault="00317B2C" w:rsidP="00317B2C">
      <w:pPr>
        <w:rPr>
          <w:lang w:val="en-GB"/>
        </w:rPr>
      </w:pPr>
      <w:r>
        <w:rPr>
          <w:lang w:val="en-GB"/>
        </w:rPr>
        <w:t>We regret to inform you that unfortunately, at Eurostat database</w:t>
      </w:r>
      <w:r w:rsidRPr="00317B2C">
        <w:rPr>
          <w:lang w:val="en-GB"/>
        </w:rPr>
        <w:t xml:space="preserve"> </w:t>
      </w:r>
      <w:r>
        <w:rPr>
          <w:lang w:val="en-GB"/>
        </w:rPr>
        <w:t xml:space="preserve">there is no specific dataset on </w:t>
      </w:r>
      <w:r w:rsidRPr="00317B2C">
        <w:rPr>
          <w:lang w:val="en-GB"/>
        </w:rPr>
        <w:t xml:space="preserve">the percentage of population (households) </w:t>
      </w:r>
      <w:r w:rsidRPr="00317B2C">
        <w:rPr>
          <w:b/>
          <w:lang w:val="en-GB"/>
        </w:rPr>
        <w:t xml:space="preserve">assessed itself </w:t>
      </w:r>
      <w:r w:rsidRPr="00317B2C">
        <w:rPr>
          <w:lang w:val="en-GB"/>
        </w:rPr>
        <w:t>in terms of ‘rich / middle class / poor'</w:t>
      </w:r>
    </w:p>
    <w:p w:rsidR="00317B2C" w:rsidRDefault="00317B2C" w:rsidP="00317B2C">
      <w:pPr>
        <w:spacing w:after="240" w:line="240" w:lineRule="auto"/>
        <w:rPr>
          <w:noProof/>
          <w:lang w:val="en-GB" w:eastAsia="en-GB"/>
        </w:rPr>
      </w:pPr>
      <w:r>
        <w:rPr>
          <w:lang w:val="en-GB"/>
        </w:rPr>
        <w:t>However, you can find numerous indicators on “income distributions and monetary poverty” and “people at risk of poverty or social exclusion” under the “</w:t>
      </w:r>
      <w:hyperlink r:id="rId4" w:history="1">
        <w:r w:rsidRPr="00317B2C">
          <w:rPr>
            <w:rStyle w:val="Hyperlink"/>
            <w:lang w:val="en-GB"/>
          </w:rPr>
          <w:t>Income and Living conditions</w:t>
        </w:r>
      </w:hyperlink>
      <w:r>
        <w:rPr>
          <w:lang w:val="en-GB"/>
        </w:rPr>
        <w:t>” section that might interest you.</w:t>
      </w:r>
      <w:r w:rsidRPr="00317B2C">
        <w:rPr>
          <w:noProof/>
          <w:lang w:val="en-GB" w:eastAsia="en-GB"/>
        </w:rPr>
        <w:t xml:space="preserve"> </w:t>
      </w:r>
    </w:p>
    <w:p w:rsidR="00317B2C" w:rsidRDefault="00317B2C" w:rsidP="00317B2C">
      <w:pPr>
        <w:spacing w:after="240" w:line="240" w:lineRule="auto"/>
        <w:rPr>
          <w:lang w:val="en-GB"/>
        </w:rPr>
      </w:pPr>
      <w:r>
        <w:rPr>
          <w:noProof/>
          <w:lang w:val="en-GB" w:eastAsia="en-GB"/>
        </w:rPr>
        <w:drawing>
          <wp:inline distT="0" distB="0" distL="0" distR="0" wp14:anchorId="77D74306" wp14:editId="1833257C">
            <wp:extent cx="5760720" cy="3493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493770"/>
                    </a:xfrm>
                    <a:prstGeom prst="rect">
                      <a:avLst/>
                    </a:prstGeom>
                  </pic:spPr>
                </pic:pic>
              </a:graphicData>
            </a:graphic>
          </wp:inline>
        </w:drawing>
      </w:r>
    </w:p>
    <w:p w:rsidR="00317B2C" w:rsidRDefault="00317B2C" w:rsidP="00317B2C">
      <w:pPr>
        <w:spacing w:after="240" w:line="240" w:lineRule="auto"/>
        <w:rPr>
          <w:lang w:val="en-GB"/>
        </w:rPr>
      </w:pPr>
    </w:p>
    <w:p w:rsidR="00317B2C" w:rsidRPr="00317B2C" w:rsidRDefault="00317B2C" w:rsidP="00317B2C">
      <w:pPr>
        <w:spacing w:after="240" w:line="240" w:lineRule="auto"/>
        <w:rPr>
          <w:lang w:val="en-GB"/>
        </w:rPr>
      </w:pPr>
      <w:r w:rsidRPr="00317B2C">
        <w:rPr>
          <w:lang w:val="en-GB"/>
        </w:rPr>
        <w:t>The collection "Income distribution and monetary poverty" houses collections of indicators relating to poverty risk, poverty risk of working individuals as well as the distribution of income.</w:t>
      </w:r>
    </w:p>
    <w:p w:rsidR="00317B2C" w:rsidRDefault="00317B2C" w:rsidP="00317B2C">
      <w:pPr>
        <w:spacing w:after="240" w:line="240" w:lineRule="auto"/>
        <w:rPr>
          <w:lang w:val="en-GB"/>
        </w:rPr>
      </w:pPr>
      <w:r w:rsidRPr="00317B2C">
        <w:rPr>
          <w:lang w:val="en-GB"/>
        </w:rPr>
        <w:t>The collection "People at risk of poverty or social exclusion" houses main indicator on risk of poverty or social inclusion included in the Europe 2020 strategy as well as the intersections between sub-populations of all Europe 2020 indicators on poverty and social exclusion.</w:t>
      </w:r>
    </w:p>
    <w:p w:rsidR="00C06ACF" w:rsidRDefault="00C06ACF" w:rsidP="00C06ACF">
      <w:pPr>
        <w:spacing w:after="240" w:line="240" w:lineRule="auto"/>
        <w:rPr>
          <w:rStyle w:val="Hyperlink"/>
          <w:bCs/>
        </w:rPr>
      </w:pPr>
      <w:r w:rsidRPr="00C06ACF">
        <w:rPr>
          <w:lang w:val="en-GB"/>
        </w:rPr>
        <w:t xml:space="preserve">Here is a tutorial for data extraction: </w:t>
      </w:r>
      <w:hyperlink r:id="rId6" w:history="1">
        <w:r w:rsidRPr="00C06ACF">
          <w:rPr>
            <w:rStyle w:val="Hyperlink"/>
            <w:bCs/>
            <w:lang w:val="en-GB"/>
          </w:rPr>
          <w:t>http://ec.europa.eu/eurostat/help/demo-tours</w:t>
        </w:r>
      </w:hyperlink>
    </w:p>
    <w:p w:rsidR="00C06ACF" w:rsidRDefault="00C06ACF" w:rsidP="00C06ACF">
      <w:pPr>
        <w:spacing w:after="240" w:line="240" w:lineRule="auto"/>
        <w:rPr>
          <w:lang w:val="en-GB"/>
        </w:rPr>
      </w:pPr>
      <w:r>
        <w:rPr>
          <w:lang w:val="en-GB"/>
        </w:rPr>
        <w:t xml:space="preserve">Please note that our service can only provide support on data available at Eurostat database. For requests on data from other sources you need to contact them directly. </w:t>
      </w:r>
    </w:p>
    <w:p w:rsidR="00C06ACF" w:rsidRDefault="00C06ACF" w:rsidP="00C06ACF">
      <w:pPr>
        <w:spacing w:after="240" w:line="240" w:lineRule="auto"/>
        <w:rPr>
          <w:lang w:val="en-GB"/>
        </w:rPr>
      </w:pPr>
      <w:r>
        <w:rPr>
          <w:lang w:val="en-GB"/>
        </w:rPr>
        <w:t>Here is the contact from Europe Direct:</w:t>
      </w:r>
      <w:r w:rsidRPr="00C06ACF">
        <w:rPr>
          <w:lang w:val="en-GB"/>
        </w:rPr>
        <w:t xml:space="preserve"> </w:t>
      </w:r>
      <w:hyperlink r:id="rId7" w:history="1">
        <w:r w:rsidRPr="00A05001">
          <w:rPr>
            <w:rStyle w:val="Hyperlink"/>
            <w:lang w:val="en-GB"/>
          </w:rPr>
          <w:t>https://europa.eu/european-union/contact_en</w:t>
        </w:r>
      </w:hyperlink>
      <w:r>
        <w:rPr>
          <w:lang w:val="en-GB"/>
        </w:rPr>
        <w:t xml:space="preserve"> </w:t>
      </w:r>
    </w:p>
    <w:p w:rsidR="00C06ACF" w:rsidRDefault="00C06ACF" w:rsidP="00C06ACF">
      <w:pPr>
        <w:spacing w:after="240" w:line="240" w:lineRule="auto"/>
        <w:rPr>
          <w:lang w:val="en-GB"/>
        </w:rPr>
      </w:pPr>
      <w:r>
        <w:rPr>
          <w:lang w:val="en-GB"/>
        </w:rPr>
        <w:t xml:space="preserve">European Social Survey contact </w:t>
      </w:r>
      <w:proofErr w:type="spellStart"/>
      <w:r>
        <w:rPr>
          <w:lang w:val="en-GB"/>
        </w:rPr>
        <w:t>center</w:t>
      </w:r>
      <w:proofErr w:type="spellEnd"/>
      <w:r>
        <w:rPr>
          <w:lang w:val="en-GB"/>
        </w:rPr>
        <w:t xml:space="preserve">: </w:t>
      </w:r>
      <w:hyperlink r:id="rId8" w:history="1">
        <w:r w:rsidRPr="00A05001">
          <w:rPr>
            <w:rStyle w:val="Hyperlink"/>
            <w:lang w:val="en-GB"/>
          </w:rPr>
          <w:t>http://www.europeansocialsurvey.org/about/contact_information.html</w:t>
        </w:r>
      </w:hyperlink>
      <w:r>
        <w:rPr>
          <w:lang w:val="en-GB"/>
        </w:rPr>
        <w:t xml:space="preserve"> </w:t>
      </w:r>
    </w:p>
    <w:p w:rsidR="00C06ACF" w:rsidRDefault="00C06ACF" w:rsidP="00C06ACF">
      <w:pPr>
        <w:spacing w:after="240" w:line="240" w:lineRule="auto"/>
        <w:rPr>
          <w:lang w:val="en-US"/>
        </w:rPr>
      </w:pPr>
      <w:r w:rsidRPr="00FB7CF1">
        <w:rPr>
          <w:lang w:val="en-GB"/>
        </w:rPr>
        <w:t>We regret not being able to help you entirely</w:t>
      </w:r>
      <w:r>
        <w:rPr>
          <w:lang w:val="en-GB"/>
        </w:rPr>
        <w:t xml:space="preserve"> and </w:t>
      </w:r>
      <w:r>
        <w:rPr>
          <w:lang w:val="en-US"/>
        </w:rPr>
        <w:t>w</w:t>
      </w:r>
      <w:r w:rsidRPr="00FB7CF1">
        <w:rPr>
          <w:lang w:val="en-US"/>
        </w:rPr>
        <w:t>e remain at your disposal should you require further guidance.</w:t>
      </w:r>
    </w:p>
    <w:p w:rsidR="00C06ACF" w:rsidRPr="00E35A79" w:rsidRDefault="00C06ACF" w:rsidP="00E35A79">
      <w:pPr>
        <w:spacing w:after="240" w:line="240" w:lineRule="auto"/>
        <w:rPr>
          <w:lang w:val="en-US"/>
        </w:rPr>
      </w:pPr>
      <w:r w:rsidRPr="00E35A79">
        <w:rPr>
          <w:lang w:val="en-US"/>
        </w:rPr>
        <w:lastRenderedPageBreak/>
        <w:t xml:space="preserve">Please note that it is not necessary to send the </w:t>
      </w:r>
      <w:r w:rsidR="00E35A79" w:rsidRPr="00E35A79">
        <w:rPr>
          <w:lang w:val="en-US"/>
        </w:rPr>
        <w:t xml:space="preserve">same </w:t>
      </w:r>
      <w:r w:rsidRPr="00E35A79">
        <w:rPr>
          <w:lang w:val="en-US"/>
        </w:rPr>
        <w:t xml:space="preserve">request </w:t>
      </w:r>
      <w:r w:rsidRPr="00E35A79">
        <w:rPr>
          <w:lang w:val="en-US"/>
        </w:rPr>
        <w:t>by e-mail and by the on-line form</w:t>
      </w:r>
      <w:r w:rsidRPr="00E35A79">
        <w:rPr>
          <w:lang w:val="en-US"/>
        </w:rPr>
        <w:t xml:space="preserve"> in order to avoid double work.</w:t>
      </w:r>
    </w:p>
    <w:p w:rsidR="00E35A79" w:rsidRPr="00E35A79" w:rsidRDefault="00E35A79" w:rsidP="00E35A79">
      <w:pPr>
        <w:spacing w:after="240" w:line="240" w:lineRule="auto"/>
        <w:rPr>
          <w:lang w:val="en-US"/>
        </w:rPr>
      </w:pPr>
      <w:r w:rsidRPr="00E35A79">
        <w:rPr>
          <w:lang w:val="en-US"/>
        </w:rPr>
        <w:t>Best regards,</w:t>
      </w:r>
    </w:p>
    <w:p w:rsidR="00E35A79" w:rsidRPr="00E35A79" w:rsidRDefault="00E35A79" w:rsidP="00E35A79">
      <w:pPr>
        <w:rPr>
          <w:b/>
          <w:bCs/>
          <w:lang w:val="en-GB"/>
        </w:rPr>
      </w:pPr>
      <w:r w:rsidRPr="00E35A79">
        <w:rPr>
          <w:b/>
          <w:bCs/>
          <w:lang w:val="en-GB"/>
        </w:rPr>
        <w:t>Laia Guinovart</w:t>
      </w:r>
    </w:p>
    <w:p w:rsidR="00E35A79" w:rsidRPr="00E35A79" w:rsidRDefault="00E35A79" w:rsidP="00E35A79">
      <w:pPr>
        <w:rPr>
          <w:b/>
          <w:bCs/>
          <w:color w:val="000000"/>
          <w:lang w:val="en-GB" w:eastAsia="zh-CN"/>
        </w:rPr>
      </w:pPr>
      <w:r w:rsidRPr="00E35A79">
        <w:rPr>
          <w:b/>
          <w:bCs/>
          <w:lang w:val="en-GB"/>
        </w:rPr>
        <w:t>Eurostat User Support – English Language</w:t>
      </w:r>
      <w:r w:rsidRPr="00E35A79">
        <w:rPr>
          <w:b/>
          <w:bCs/>
          <w:color w:val="000000"/>
          <w:lang w:val="en-GB" w:eastAsia="zh-CN"/>
        </w:rPr>
        <w:t> </w:t>
      </w:r>
      <w:r w:rsidRPr="00E35A79">
        <w:rPr>
          <w:b/>
          <w:bCs/>
          <w:color w:val="000000"/>
          <w:lang w:val="en-GB" w:eastAsia="zh-CN"/>
        </w:rPr>
        <w:br/>
      </w:r>
      <w:r w:rsidRPr="00E35A79">
        <w:rPr>
          <w:color w:val="000000"/>
          <w:lang w:val="en-GB" w:eastAsia="zh-CN"/>
        </w:rPr>
        <w:t>Web site: </w:t>
      </w:r>
      <w:hyperlink r:id="rId9" w:tgtFrame="_blank" w:history="1">
        <w:r w:rsidRPr="00E35A79">
          <w:rPr>
            <w:rStyle w:val="Hyperlink"/>
            <w:lang w:val="en-GB" w:eastAsia="zh-CN"/>
          </w:rPr>
          <w:t>http://ec.europa.eu/eurostat</w:t>
        </w:r>
      </w:hyperlink>
      <w:r w:rsidRPr="00E35A79">
        <w:rPr>
          <w:color w:val="000000"/>
          <w:lang w:val="en-GB" w:eastAsia="zh-CN"/>
        </w:rPr>
        <w:t>   </w:t>
      </w:r>
      <w:r w:rsidRPr="00E35A79">
        <w:rPr>
          <w:color w:val="000000"/>
          <w:lang w:val="en-GB" w:eastAsia="zh-CN"/>
        </w:rPr>
        <w:br/>
        <w:t>Email: </w:t>
      </w:r>
      <w:hyperlink r:id="rId10" w:tgtFrame="_blank" w:history="1">
        <w:r w:rsidRPr="00E35A79">
          <w:rPr>
            <w:rStyle w:val="Hyperlink"/>
            <w:lang w:val="en-GB" w:eastAsia="zh-CN"/>
          </w:rPr>
          <w:t>eurostat.helpdesk_EN@sogeti.lu</w:t>
        </w:r>
      </w:hyperlink>
      <w:r w:rsidRPr="00E35A79">
        <w:rPr>
          <w:color w:val="000000"/>
          <w:lang w:val="en-GB" w:eastAsia="zh-CN"/>
        </w:rPr>
        <w:t xml:space="preserve"> </w:t>
      </w:r>
    </w:p>
    <w:p w:rsidR="00E35A79" w:rsidRPr="00E35A79" w:rsidRDefault="00E35A79" w:rsidP="00E35A79">
      <w:pPr>
        <w:shd w:val="clear" w:color="auto" w:fill="FFFFFF"/>
        <w:rPr>
          <w:color w:val="000000"/>
          <w:lang w:val="en-GB" w:eastAsia="zh-CN"/>
        </w:rPr>
      </w:pPr>
      <w:r w:rsidRPr="00E35A79">
        <w:rPr>
          <w:color w:val="000000"/>
          <w:lang w:val="en-GB" w:eastAsia="zh-CN"/>
        </w:rPr>
        <w:t>Phone:           Ireland: +353 151 33080</w:t>
      </w:r>
    </w:p>
    <w:p w:rsidR="00E35A79" w:rsidRPr="00E35A79" w:rsidRDefault="00E35A79" w:rsidP="00E35A79">
      <w:pPr>
        <w:shd w:val="clear" w:color="auto" w:fill="FFFFFF"/>
        <w:rPr>
          <w:color w:val="000000"/>
          <w:lang w:val="en-GB" w:eastAsia="zh-CN"/>
        </w:rPr>
      </w:pPr>
      <w:r w:rsidRPr="00E35A79">
        <w:rPr>
          <w:color w:val="000000"/>
          <w:lang w:val="en-GB" w:eastAsia="zh-CN"/>
        </w:rPr>
        <w:t>                        Malta: +356 277 803 07</w:t>
      </w:r>
    </w:p>
    <w:p w:rsidR="00E35A79" w:rsidRPr="00E35A79" w:rsidRDefault="00E35A79" w:rsidP="00E35A79">
      <w:pPr>
        <w:shd w:val="clear" w:color="auto" w:fill="FFFFFF"/>
        <w:rPr>
          <w:color w:val="000000"/>
          <w:lang w:val="en-GB" w:eastAsia="zh-CN"/>
        </w:rPr>
      </w:pPr>
      <w:r w:rsidRPr="00E35A79">
        <w:rPr>
          <w:color w:val="000000"/>
          <w:lang w:val="en-GB" w:eastAsia="zh-CN"/>
        </w:rPr>
        <w:t>                        United Kingdom: +44 20 300 63103</w:t>
      </w:r>
    </w:p>
    <w:p w:rsidR="00E35A79" w:rsidRPr="00E35A79" w:rsidRDefault="00E35A79" w:rsidP="00E35A79">
      <w:pPr>
        <w:shd w:val="clear" w:color="auto" w:fill="FFFFFF"/>
        <w:rPr>
          <w:color w:val="000000"/>
          <w:lang w:val="en-GB" w:eastAsia="zh-CN"/>
        </w:rPr>
      </w:pPr>
      <w:r w:rsidRPr="00E35A79">
        <w:rPr>
          <w:color w:val="000000"/>
          <w:shd w:val="clear" w:color="auto" w:fill="FFFFFF"/>
          <w:lang w:val="en-GB" w:eastAsia="zh-CN"/>
        </w:rPr>
        <w:t>You can reach us from Mo-Fr, 09:30-12:00 and 13:00-17:00 (CET).</w:t>
      </w:r>
    </w:p>
    <w:p w:rsidR="00E35A79" w:rsidRPr="00E35A79" w:rsidRDefault="00E35A79" w:rsidP="00E35A79">
      <w:pPr>
        <w:shd w:val="clear" w:color="auto" w:fill="FFFFFF"/>
        <w:rPr>
          <w:color w:val="000000"/>
          <w:lang w:val="en-GB" w:eastAsia="zh-CN"/>
        </w:rPr>
      </w:pPr>
      <w:r w:rsidRPr="00E35A79">
        <w:rPr>
          <w:color w:val="000000"/>
          <w:lang w:val="en-GB" w:eastAsia="zh-CN"/>
        </w:rPr>
        <w:t>Legal Notice/Disclaimer: </w:t>
      </w:r>
      <w:hyperlink r:id="rId11" w:tgtFrame="_blank" w:history="1">
        <w:r w:rsidRPr="00E35A79">
          <w:rPr>
            <w:rStyle w:val="Hyperlink"/>
            <w:lang w:val="en-GB" w:eastAsia="zh-CN"/>
          </w:rPr>
          <w:t>http://europa.eu/geninfo/legal_notices_en.htm</w:t>
        </w:r>
      </w:hyperlink>
    </w:p>
    <w:p w:rsidR="00E35A79" w:rsidRPr="00E35A79" w:rsidRDefault="00E35A79" w:rsidP="00E35A79">
      <w:pPr>
        <w:shd w:val="clear" w:color="auto" w:fill="FFFFFF"/>
        <w:rPr>
          <w:color w:val="000000"/>
          <w:lang w:val="en-GB" w:eastAsia="zh-CN"/>
        </w:rPr>
      </w:pPr>
      <w:r w:rsidRPr="00E35A79">
        <w:rPr>
          <w:lang w:val="en-GB" w:eastAsia="zh-CN"/>
        </w:rPr>
        <w:t xml:space="preserve">Copyright notice and free re-use of data: </w:t>
      </w:r>
      <w:hyperlink r:id="rId12" w:tgtFrame="_blank" w:history="1">
        <w:r w:rsidRPr="00E35A79">
          <w:rPr>
            <w:rStyle w:val="Hyperlink"/>
            <w:lang w:val="en-GB" w:eastAsia="zh-CN"/>
          </w:rPr>
          <w:t>http://ec.europa.eu/eurostat/web/main/about/our-partners/copyright</w:t>
        </w:r>
      </w:hyperlink>
      <w:r w:rsidRPr="00E35A79">
        <w:rPr>
          <w:color w:val="000000"/>
          <w:lang w:val="en-GB" w:eastAsia="zh-CN"/>
        </w:rPr>
        <w:t xml:space="preserve"> </w:t>
      </w:r>
    </w:p>
    <w:p w:rsidR="00E35A79" w:rsidRDefault="00E35A79" w:rsidP="00E35A79">
      <w:pPr>
        <w:shd w:val="clear" w:color="auto" w:fill="FFFFFF"/>
        <w:rPr>
          <w:color w:val="000000"/>
          <w:lang w:eastAsia="zh-CN"/>
        </w:rPr>
      </w:pPr>
      <w:r>
        <w:rPr>
          <w:noProof/>
          <w:lang w:val="en-GB" w:eastAsia="en-GB"/>
        </w:rPr>
        <w:drawing>
          <wp:inline distT="0" distB="0" distL="0" distR="0" wp14:anchorId="2783B133" wp14:editId="0231B26B">
            <wp:extent cx="400050" cy="400050"/>
            <wp:effectExtent l="0" t="0" r="0" b="0"/>
            <wp:docPr id="29" name="Picture 29" descr="cid:image001.jpg@01D1D38F.C57B47F0">
              <a:hlinkClick xmlns:a="http://schemas.openxmlformats.org/drawingml/2006/main" r:id="rId13"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1.jpg@01D1D38F.C57B47F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inline>
        </w:drawing>
      </w:r>
      <w:r>
        <w:rPr>
          <w:color w:val="000000"/>
          <w:lang w:eastAsia="zh-CN"/>
        </w:rPr>
        <w:t>  </w:t>
      </w:r>
      <w:r>
        <w:rPr>
          <w:noProof/>
          <w:lang w:val="en-GB" w:eastAsia="en-GB"/>
        </w:rPr>
        <w:drawing>
          <wp:inline distT="0" distB="0" distL="0" distR="0" wp14:anchorId="479671E3" wp14:editId="719BE216">
            <wp:extent cx="400050" cy="400050"/>
            <wp:effectExtent l="0" t="0" r="0" b="0"/>
            <wp:docPr id="28" name="Picture 28" descr="cid:image002.jpg@01D1D38F.C57B47F0">
              <a:hlinkClick xmlns:a="http://schemas.openxmlformats.org/drawingml/2006/main" r:id="rId1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2.jpg@01D1D38F.C57B47F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inline>
        </w:drawing>
      </w:r>
      <w:r>
        <w:rPr>
          <w:color w:val="000000"/>
          <w:lang w:eastAsia="zh-CN"/>
        </w:rPr>
        <w:t>   </w:t>
      </w:r>
      <w:r>
        <w:rPr>
          <w:noProof/>
          <w:color w:val="000000"/>
          <w:lang w:val="en-GB" w:eastAsia="en-GB"/>
        </w:rPr>
        <w:drawing>
          <wp:inline distT="0" distB="0" distL="0" distR="0" wp14:anchorId="043D67EC" wp14:editId="42C87B03">
            <wp:extent cx="438150" cy="400050"/>
            <wp:effectExtent l="0" t="0" r="0" b="0"/>
            <wp:docPr id="20" name="Picture 20">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l="1640" t="8203" r="3200" b="3143"/>
                    <a:stretch>
                      <a:fillRect/>
                    </a:stretch>
                  </pic:blipFill>
                  <pic:spPr bwMode="auto">
                    <a:xfrm>
                      <a:off x="0" y="0"/>
                      <a:ext cx="438150" cy="400050"/>
                    </a:xfrm>
                    <a:prstGeom prst="rect">
                      <a:avLst/>
                    </a:prstGeom>
                    <a:noFill/>
                    <a:ln>
                      <a:noFill/>
                    </a:ln>
                  </pic:spPr>
                </pic:pic>
              </a:graphicData>
            </a:graphic>
          </wp:inline>
        </w:drawing>
      </w:r>
      <w:r>
        <w:rPr>
          <w:color w:val="000000"/>
          <w:lang w:eastAsia="zh-CN"/>
        </w:rPr>
        <w:t xml:space="preserve">           </w:t>
      </w:r>
    </w:p>
    <w:p w:rsidR="00E35A79" w:rsidRDefault="00E35A79" w:rsidP="00E35A79">
      <w:pPr>
        <w:shd w:val="clear" w:color="auto" w:fill="FFFFFF"/>
      </w:pPr>
      <w:r>
        <w:rPr>
          <w:noProof/>
          <w:lang w:val="en-GB" w:eastAsia="en-GB"/>
        </w:rPr>
        <w:drawing>
          <wp:anchor distT="0" distB="0" distL="114300" distR="114300" simplePos="0" relativeHeight="251659264" behindDoc="0" locked="0" layoutInCell="1" allowOverlap="0" wp14:anchorId="2023F75C" wp14:editId="1ED55306">
            <wp:simplePos x="0" y="0"/>
            <wp:positionH relativeFrom="column">
              <wp:align>left</wp:align>
            </wp:positionH>
            <wp:positionV relativeFrom="line">
              <wp:posOffset>0</wp:posOffset>
            </wp:positionV>
            <wp:extent cx="3143250" cy="466725"/>
            <wp:effectExtent l="0" t="0" r="0" b="9525"/>
            <wp:wrapSquare wrapText="bothSides"/>
            <wp:docPr id="39" name="Picture 39" descr="Description: estat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estat RGB"/>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43250" cy="466725"/>
                    </a:xfrm>
                    <a:prstGeom prst="rect">
                      <a:avLst/>
                    </a:prstGeom>
                    <a:noFill/>
                  </pic:spPr>
                </pic:pic>
              </a:graphicData>
            </a:graphic>
            <wp14:sizeRelH relativeFrom="page">
              <wp14:pctWidth>0</wp14:pctWidth>
            </wp14:sizeRelH>
            <wp14:sizeRelV relativeFrom="page">
              <wp14:pctHeight>0</wp14:pctHeight>
            </wp14:sizeRelV>
          </wp:anchor>
        </w:drawing>
      </w:r>
    </w:p>
    <w:p w:rsidR="00E35A79" w:rsidRDefault="00E35A79" w:rsidP="00E35A79">
      <w:pPr>
        <w:rPr>
          <w:i/>
          <w:iCs/>
          <w:color w:val="1F497D"/>
          <w:lang w:eastAsia="zh-CN"/>
        </w:rPr>
      </w:pPr>
    </w:p>
    <w:p w:rsidR="00E35A79" w:rsidRDefault="00E35A79" w:rsidP="00E35A79">
      <w:pPr>
        <w:pStyle w:val="NormalWeb"/>
        <w:spacing w:before="120" w:beforeAutospacing="0" w:after="120" w:afterAutospacing="0"/>
        <w:rPr>
          <w:rFonts w:ascii="Arial" w:hAnsi="Arial" w:cs="Arial"/>
          <w:color w:val="000000"/>
          <w:sz w:val="20"/>
          <w:szCs w:val="20"/>
        </w:rPr>
      </w:pPr>
      <w:bookmarkStart w:id="0" w:name="_GoBack"/>
      <w:r>
        <w:rPr>
          <w:noProof/>
          <w:color w:val="1F497D"/>
        </w:rPr>
        <w:drawing>
          <wp:inline distT="0" distB="0" distL="0" distR="0" wp14:anchorId="78DED568" wp14:editId="17ADFAE2">
            <wp:extent cx="3124200" cy="1789907"/>
            <wp:effectExtent l="0" t="0" r="0" b="1270"/>
            <wp:docPr id="18" name="Picture 18" descr="cid:image011.jpg@01D354AE.44DEC850">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11.jpg@01D354AE.44DEC850"/>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162547" cy="1811877"/>
                    </a:xfrm>
                    <a:prstGeom prst="rect">
                      <a:avLst/>
                    </a:prstGeom>
                    <a:noFill/>
                    <a:ln>
                      <a:noFill/>
                    </a:ln>
                  </pic:spPr>
                </pic:pic>
              </a:graphicData>
            </a:graphic>
          </wp:inline>
        </w:drawing>
      </w:r>
    </w:p>
    <w:bookmarkEnd w:id="0"/>
    <w:p w:rsidR="00E35A79" w:rsidRDefault="00E35A79" w:rsidP="00E35A79">
      <w:pPr>
        <w:pStyle w:val="NormalWeb"/>
        <w:spacing w:before="120" w:beforeAutospacing="0" w:after="120" w:afterAutospacing="0"/>
        <w:rPr>
          <w:rFonts w:ascii="Arial" w:hAnsi="Arial" w:cs="Arial"/>
          <w:color w:val="000000"/>
          <w:sz w:val="20"/>
          <w:szCs w:val="20"/>
        </w:rPr>
      </w:pPr>
    </w:p>
    <w:p w:rsidR="00E35A79" w:rsidRPr="00262668" w:rsidRDefault="00E35A79" w:rsidP="00C06ACF">
      <w:pPr>
        <w:pStyle w:val="NormalWeb"/>
      </w:pPr>
    </w:p>
    <w:p w:rsidR="00C06ACF" w:rsidRPr="00C06ACF" w:rsidRDefault="00C06ACF" w:rsidP="00C06ACF">
      <w:pPr>
        <w:spacing w:after="240" w:line="240" w:lineRule="auto"/>
        <w:rPr>
          <w:lang w:val="en-GB"/>
        </w:rPr>
      </w:pPr>
    </w:p>
    <w:p w:rsidR="00317B2C" w:rsidRPr="00317B2C" w:rsidRDefault="00317B2C" w:rsidP="00317B2C">
      <w:pPr>
        <w:rPr>
          <w:lang w:val="en-GB"/>
        </w:rPr>
      </w:pPr>
    </w:p>
    <w:sectPr w:rsidR="00317B2C" w:rsidRPr="00317B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B2C"/>
    <w:rsid w:val="00317B2C"/>
    <w:rsid w:val="00A47367"/>
    <w:rsid w:val="00C06ACF"/>
    <w:rsid w:val="00E35A7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3682AB-475C-49BD-8988-992CEE184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7B2C"/>
    <w:rPr>
      <w:color w:val="0563C1" w:themeColor="hyperlink"/>
      <w:u w:val="single"/>
    </w:rPr>
  </w:style>
  <w:style w:type="paragraph" w:styleId="NormalWeb">
    <w:name w:val="Normal (Web)"/>
    <w:basedOn w:val="Normal"/>
    <w:uiPriority w:val="99"/>
    <w:unhideWhenUsed/>
    <w:rsid w:val="00317B2C"/>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426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uropeansocialsurvey.org/about/contact_information.html" TargetMode="External"/><Relationship Id="rId13" Type="http://schemas.openxmlformats.org/officeDocument/2006/relationships/hyperlink" Target="https://twitter.com/eu_eurostat" TargetMode="External"/><Relationship Id="rId18" Type="http://schemas.openxmlformats.org/officeDocument/2006/relationships/image" Target="cid:image002.jpg@01D1D38F.C57B47F0"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5.png"/><Relationship Id="rId7" Type="http://schemas.openxmlformats.org/officeDocument/2006/relationships/hyperlink" Target="https://europa.eu/european-union/contact_en" TargetMode="External"/><Relationship Id="rId12" Type="http://schemas.openxmlformats.org/officeDocument/2006/relationships/hyperlink" Target="http://ec.europa.eu/eurostat/web/main/about/our-partners/copyright" TargetMode="External"/><Relationship Id="rId17" Type="http://schemas.openxmlformats.org/officeDocument/2006/relationships/image" Target="media/image3.jpe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ec.europa.eu/eurostat/web/rss/about-rss" TargetMode="External"/><Relationship Id="rId20" Type="http://schemas.openxmlformats.org/officeDocument/2006/relationships/image" Target="media/image4.png"/><Relationship Id="rId1" Type="http://schemas.openxmlformats.org/officeDocument/2006/relationships/styles" Target="styles.xml"/><Relationship Id="rId6" Type="http://schemas.openxmlformats.org/officeDocument/2006/relationships/hyperlink" Target="http://ec.europa.eu/eurostat/help/demo-tours" TargetMode="External"/><Relationship Id="rId11" Type="http://schemas.openxmlformats.org/officeDocument/2006/relationships/hyperlink" Target="http://europa.eu/geninfo/legal_notices_en.htm" TargetMode="External"/><Relationship Id="rId24" Type="http://schemas.openxmlformats.org/officeDocument/2006/relationships/image" Target="cid:image011.jpg@01D354AE.44DEC850" TargetMode="External"/><Relationship Id="rId5" Type="http://schemas.openxmlformats.org/officeDocument/2006/relationships/image" Target="media/image1.png"/><Relationship Id="rId15" Type="http://schemas.openxmlformats.org/officeDocument/2006/relationships/image" Target="cid:image001.jpg@01D1D38F.C57B47F0" TargetMode="External"/><Relationship Id="rId23" Type="http://schemas.openxmlformats.org/officeDocument/2006/relationships/image" Target="media/image6.jpeg"/><Relationship Id="rId10" Type="http://schemas.openxmlformats.org/officeDocument/2006/relationships/hyperlink" Target="mailto:eurostat.helpdesk_EN@sogeti.lu" TargetMode="External"/><Relationship Id="rId19" Type="http://schemas.openxmlformats.org/officeDocument/2006/relationships/hyperlink" Target="https://www.facebook.com/EurostatStatistics/" TargetMode="External"/><Relationship Id="rId4" Type="http://schemas.openxmlformats.org/officeDocument/2006/relationships/hyperlink" Target="http://ec.europa.eu/eurostat/web/income-and-living-conditions/data/database" TargetMode="External"/><Relationship Id="rId9" Type="http://schemas.openxmlformats.org/officeDocument/2006/relationships/hyperlink" Target="http://ec.europa.eu/eurostat" TargetMode="External"/><Relationship Id="rId14" Type="http://schemas.openxmlformats.org/officeDocument/2006/relationships/image" Target="media/image2.jpeg"/><Relationship Id="rId22" Type="http://schemas.openxmlformats.org/officeDocument/2006/relationships/hyperlink" Target="https://na01.safelinks.protection.outlook.com/?url=http%3A%2F%2Fec.europa.eu%2Feurostat%2Fproduct%3Fcode%3DKS-02-17-602&amp;data=02%7C01%7Cdpapapostolou%40staffingindustry.com%7C98377f2c2abc4ebfea7508d522a7ab37%7C2c6dce2dd43a4e78905e80e15b0a4b44%7C0%7C0%7C636453026206422693&amp;sdata=xFrCiojhbw3AiYSl6bTHsLAFZf0fRvZxRenXnN%2BFzps%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ITICS - Sogeti Luxembourg</Company>
  <LinksUpToDate>false</LinksUpToDate>
  <CharactersWithSpaces>2808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Laia Guinovart</dc:creator>
  <cp:keywords/>
  <dc:description/>
  <cp:lastModifiedBy>Laia Guinovart</cp:lastModifiedBy>
  <cp:revision>1</cp:revision>
  <dcterms:created xsi:type="dcterms:W3CDTF">2017-11-08T09:54:00Z</dcterms:created>
  <dcterms:modified xsi:type="dcterms:W3CDTF">2017-11-08T10:18:00Z</dcterms:modified>
</cp:coreProperties>
</file>