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 Patent Landscape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OpenBraille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Validation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official Phase 1C specification defines OpenBraille as a low-cost, refreshable Braille display module that deliberately substitutes the expensive incumbent piezoelectric-bimorph actuation approach with an alternative physical mechanism. The system relies on embedded control logic tightly coupled to the actuator to enable individually addressable, rapid pin refreshes. The official scope explicitly bounds the concept to a single refreshable Braille cell (6-8 dots) and deliberately excludes electromyography (EMG) or prosthetic applications to remain within the engineering team's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analysis confirms complete alignment with the Phase 1C definition, and all subsequent patent evaluations proceed under this strict definition.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Concept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OpenBraille addresses a fundamentally stagnant mechanical cost problem in assistive technology. For decades, commercial refreshable Braille displays have retailed at prohibitive price points due to their reliance on delicate, hand-assembled piezoelectric components. By exploring alternative micro-actuation mechanisms driven by a constrained microcontroller, OpenBraille seeks to provide a viable apparatus-plus-method combination that drastically lowers the cost of a single tactile cell, thereby enabling massive scalability for visually impaired individuals in underserved global markets.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Technology Classification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architecture of OpenBraille spans multiple interconnected engineering disciplines, requiring independent analysis of its structural and control elements.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Identified Domains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Technology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Haptic interfaces, tactile displays, assistive communication technologies.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Technology Domains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Micro-electromechanical systems (MEMS), electromagnetic actuation, shape memory alloys (SMA), polymeric actuators.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Disciplines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systems control, precision mechanical engineering, electromagnetics, materials science.</w:t>
            </w:r>
          </w:p>
        </w:tc>
      </w:tr>
    </w:tbl>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Existing Patent Landscape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patent landscape surrounding refreshable Braille displays is highly bifurcated into two distinct eras. Foundational patents, spanning the late 1990s through the 2010s, are overwhelmingly concentrated on piezoelectric bimorph actuators.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patents focus on the precise application of high-voltage fields to generate minute mechanical deflections. However, within the last five to ten years, filing trends have shifted aggressively. The contemporary active patent landscape is heavily dominated by alternative micro-actuators, specifically Shape Memory Alloys (SMA)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and electromagnetic or magnetic latching systems.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Geographically, there is a pronounced concentration of recent intellectual property originating from South Korea and the United States, driven largely by specialized accessibility startups rather than broad consumer electronics conglomerates.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crucial evolutionary pattern has emerged in recent filings: early non-piezoelectric patents focused purely on generating sufficient actuation force, whereas the most recent, highly cited patents emphasize passive latching mechanisms.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Passive latching allows a pin to hold its physical state without drawing continuous electrical current, fundamentally solving the battery drain and thermal dissipation issues that plagued early alternative designs.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Existing Commercial Ecosystem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ecosystem reflects the patent landscape's shift toward alternative actuation.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 Product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OpenBraille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Dot Incorporation (Dot Pad / Dot Module 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Micro-electromagnetic actuators with passive latching.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Holds over 110 patents on electromagnetic cells. Demonstrates the exact commercial viability of non-piezo actuation OpenBraille targets.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Orbit Research (Orbit Reader 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Disruptive, proprietary signage technology.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Sets the current global commercial baseline for "affordable" refreshable Braille displays.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Innovision (BrailleMe)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Magnetic actuation.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Originating from India, this startup directly targets the highly price-sensitive demographic OpenBraille aims to serve, utilizing magnetic control.</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entities have successfully commercialized the non-piezoelectric approach OpenBraille seeks to explore, achieving significant cost and weight reductions while heavily patenting their specific mechanical geometries.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Prior-Art Analysis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closest prior art encompasses devices utilizing electromagnetic coils placed adjacent to permanent magnets to facilitate mechanical latching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 well as systems employing SMA wires connected to cantilever strips with integrated active cooling mechanisms.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Major similarities between OpenBraille and this prior art include the fundamental objective of driving individual pins via embedded microcontroller logic and the explicit rejection of piezoelectric materials to reduce manufacturing costs.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major differences will depend entirely on the specific physical actuator geometry the engineering team ultimately selects. However, the field appears exceptionally crowded. For example, Dot Inc. holds highly restrictive, multi-jurisdictional patents on the specific spatial arrangement of micro-electromagnetic components designed to prevent magnetic crosstalk between densely packed pins.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Similarly, the use of soft ferromagnets embedded within 3D-printed or MEMS-fabricated tactile pixels has already been explicitly claimed in recent European filings.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Existing Solution Limitations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limitations of incumbent solutions are thoroughly documented across both technical literature and patent backgrounds. Piezoelectric systems suffer from exorbitant material costs, tedious hand-assembly requirements, and high manufacturing scrap rates, historically pricing full-page displays out of reach for average consumers.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SMA actuators offer a low-cost alternative, they struggle with severe thermal lag; repeated actuations generate latent heat that slows refresh rates, often requiring complex, failure-prone cooling fans to mitigate.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Electromagnetic systems solve both the cost and speed issues but introduce intense manufacturing challenges regarding micro-coil winding and the management of electromagnetic interference between adjacent pins in a standard 8-dot Braille cell.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Patent Saturation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Classification: HIGH</w:t>
      </w:r>
      <w:r w:rsidDel="00000000" w:rsidR="00000000" w:rsidRPr="00000000">
        <w:rPr>
          <w:rFonts w:ascii="Google Sans" w:cs="Google Sans" w:eastAsia="Google Sans" w:hAnsi="Google Sans"/>
          <w:color w:val="1f1f1f"/>
          <w:rtl w:val="0"/>
        </w:rPr>
        <w:t xml:space="preserve"> The technological pivot away from piezoelectric materials is not an undiscovered frontier; it is currently the most heavily funded and patented trajectory in accessibility hardware. Companies like Dot Inc. and Innovision have already saturated the electromagnetic and magnetic-latching spaces with comprehensive, defensive patent portfolios covering the exact mechanical configurations required to make these systems viable.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SMA-based actuation is similarly well-documented and saturated in both academic literature and global patent databases.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White-Space Analysis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Technical White Space:</w:t>
      </w:r>
      <w:r w:rsidDel="00000000" w:rsidR="00000000" w:rsidRPr="00000000">
        <w:rPr>
          <w:rFonts w:ascii="Google Sans" w:cs="Google Sans" w:eastAsia="Google Sans" w:hAnsi="Google Sans"/>
          <w:color w:val="1f1f1f"/>
          <w:rtl w:val="0"/>
        </w:rPr>
        <w:t xml:space="preserve"> While magnetics and SMAs are heavily crowded, the use of electroactive polymers (EAPs) or fluidic micro-hydraulics controlled by embedded micro-pumps remains largely experimental and under-patented for Braille applications. Furthermore, opportunities exist in monolithic fabrication techniques. Patents exist for fully 3D-printed functional mechatronic devices.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Developing a Braille cell that can be printed in a single additive manufacturing pass—incorporating conductive, dielectric, and structural polymers simultaneously—would entirely bypass the mechanical assembly patents held by incumbents. Finally, firmware-level innovations utilizing adaptive overdrive logic (using precise pulse-width modulation to overdrive sub-optimal, ultra-cheap commodity relays to mimic high-end tactile feedback) represent an unexplored software approach to a hardware problem.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Application White Space:</w:t>
      </w:r>
      <w:r w:rsidDel="00000000" w:rsidR="00000000" w:rsidRPr="00000000">
        <w:rPr>
          <w:rFonts w:ascii="Google Sans" w:cs="Google Sans" w:eastAsia="Google Sans" w:hAnsi="Google Sans"/>
          <w:color w:val="1f1f1f"/>
          <w:rtl w:val="0"/>
        </w:rPr>
        <w:t xml:space="preserve"> Most active patents focus strictly on personal consumer reading devices, such as tablets and laptops.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Significant white space exists in ruggedized, single-cell modules meant for integration into public infrastructure, such as automated teller machines, elevator panels, and public transit kiosks, where environmental robustness and vandal resistance supersede the need for ultra-high refresh rates. Additionally, designing a low-cost cell specifically as an open-architecture, plug-and-play STEM educational tool rather than a consumer reading device opens new licensing pathways.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Obviousness Risk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Estimate: HIGH</w:t>
      </w:r>
      <w:r w:rsidDel="00000000" w:rsidR="00000000" w:rsidRPr="00000000">
        <w:rPr>
          <w:rFonts w:ascii="Google Sans" w:cs="Google Sans" w:eastAsia="Google Sans" w:hAnsi="Google Sans"/>
          <w:color w:val="1f1f1f"/>
          <w:rtl w:val="0"/>
        </w:rPr>
        <w:t xml:space="preserve"> Substituting an expensive piezoelectric actuator with a cheaper electromagnetic coil or an SMA wire is explicitly documented as the primary motivation in dozens of recent patents.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Unless OpenBraille utilizes a fundamentally novel physical phenomenon or a radically different geometric arrangement, the simple substitution of known actuator types controlled by a standard microcontroller is highly susceptible to an obviousness rejection under standard patent examination guidelines.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Freedom-to-Operate (High-Level)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Freedom-to-Operate (FTO) carries significant and immediate risk in both the electromagnetic and SMA domains. Navigating around the 110+ patents held by Dot Inc.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and the fundamental mechanical latching patents held by independent inventors and startups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will be highly complex. If the engineering team attempts to build a standard coil-and-magnet latching cell, they will almost certainly infringe on active, highly specific apparatus claims.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Initial Novelty Assessment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Meaningful apparatus innovation opportunities are highly constrained. Unless the team invents a completely novel material application or an unpatented monolithic manufacturing process, physical novelty is low. However, method claims related to the embedded control software—such as a unique closed-loop feedback algorithm ensuring reliable pin deployment using highly variable, off-the-shelf commodity components—offer marginal but viable novelty.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Recommendation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Continue with refinement.</w:t>
      </w:r>
      <w:r w:rsidDel="00000000" w:rsidR="00000000" w:rsidRPr="00000000">
        <w:rPr>
          <w:rFonts w:ascii="Google Sans" w:cs="Google Sans" w:eastAsia="Google Sans" w:hAnsi="Google Sans"/>
          <w:color w:val="1f1f1f"/>
          <w:rtl w:val="0"/>
        </w:rPr>
        <w:t xml:space="preserve"> While the patent space for the physical actuator is heavily saturated, the social and academic demonstration value of this concept remains exceptional.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generate patentable intellectual property, the engineering team must pivot away from mimicking incumbent magnetic latching designs. The refinement must focus entirely on firmware-level control mechanisms for highly unconventional commodity actuators or explore experimental monolithic 3D-printing fabrication methods to bypass existing apparatus claims.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VibeGuard</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Validation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official Phase 1C specification defines VibeGuard as a low-cost, spatially-isolated bearing fault early-warning node targeting Small and Medium Enterprises (SMEs). The core technical directive requires the use of a single accelerometer node running local frequency-domain analysis to isolate the specific fault signature of a target motor by actively filtering out the background vibration noise of neighboring machinery on a shared, acoustically noisy factory floor.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analysis confirms complete alignment with the Phase 1C definition, treating the single-node spatial isolation constraint as the primary technical differentiator.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Concept Overview</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VibeGuard addresses the economic barrier that prevents SMEs from adopting predictive maintenance. Traditional continuous vibration monitoring systems are priced for massive enterprise deployments, leaving small machine shops reliant on reactive maintenance or periodic manual checks. VibeGuard proposes a continuous, real-time, on-device spectral analysis system that learns to isolate the mechanical signature of its host machine from the chaotic ambient noise of adjacent equipment. By performing all complex signal isolation on the edge, the device drastically reduces cloud computing and bandwidth costs, making continuous monitoring economically viable for smaller operators.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Technology Classification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relies on the intersection of industrial hardware and advanced edge computing.</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Identified Domains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Technology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maintenance, condition-based monitoring, industrial asset tracking.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Technology Domains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Signal Processing (DSP), Edge AI / TinyML, Industrial Internet of Things (IIoT).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Disciplines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software engineering, acoustics and vibration analysis, machine learning algorithm design.</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Existing Patent Landscape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predictive maintenance patent landscape has evolved rapidly over the last decade, transitioning from analog frequency filtering to cloud-based machine learning, and currently moving toward edge-computed sensor fusion.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Foundational historical patents cover the extraction of basic statistical parameters of vibration—such as root mean square (RMS), kurtosis, and crest factor—to determine overall mechanical condition.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patent families have matured significantly, currently dominated by methodologies utilizing time-frequency domain transformations (such as Fast Fourier Transforms) paired with Deep Neural Networks (DNN) or Long Short-Term Memory (LSTM) networks to isolate specific defect frequencies like bearing wear or rotor imbalance.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Geographic distribution is globally diverse, with intense recent filing activity in the United States, China, and Europe.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major technology evolution is evident: the industry is moving away from simply transmitting raw vibration data to a centralized server and is heavily patenting methods that execute inference directly on the sensor node to minimize latency.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Existing Commercial Ecosystem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ecosystem is dominated by highly funded enterprises and advanced AI startups.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 Product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VibeGuard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Tractian (Smart Trac)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 AI with patented ML fingerprinting.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industry leader actively commercializing edge-processed vibration anomaly detection. Tractian holds specific USPTO patents for models that generate unique "fingerprint" signals of error conditions and prescribe specific maintenance actions.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Augury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AI-powered machine health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Sets the industry standard for AI-driven vibration analysis, utilizing edge sensing combined with massive historical datasets (100M+ hours).</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KCF Technologies / Senseye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Wireless vibration sensors with cloud/edge analytics.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competitors providing high-end industrial monitoring solutions.</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Prior-Art Analysis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closest prior art includes broad patents detailing predictive maintenance systems using distributed data acquisition nodes to poll machine health.</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More specifically, recent patents explicitly utilize LSTM architectures to filter raw vibration data and remove systemic mechanical noise before classification.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patents exist that address the exact problem of isolating pump or motor vibration data from adjacent environmental noise, utilizing bypassable analog RC filters or digital FIR filters.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Major similarities include the fundamental objective of extracting a clean, actionable vibration signal free from adjacent machine noise.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However, the major difference VibeGuard proposes is substantial: achieving dynamic, learned spatial isolation using a </w:t>
      </w:r>
      <w:r w:rsidDel="00000000" w:rsidR="00000000" w:rsidRPr="00000000">
        <w:rPr>
          <w:rFonts w:ascii="Google Sans" w:cs="Google Sans" w:eastAsia="Google Sans" w:hAnsi="Google Sans"/>
          <w:i w:val="1"/>
          <w:iCs w:val="1"/>
          <w:color w:val="1f1f1f"/>
          <w:rtl w:val="0"/>
        </w:rPr>
        <w:t xml:space="preserve">single</w:t>
      </w:r>
      <w:r w:rsidDel="00000000" w:rsidR="00000000" w:rsidRPr="00000000">
        <w:rPr>
          <w:rFonts w:ascii="Google Sans" w:cs="Google Sans" w:eastAsia="Google Sans" w:hAnsi="Google Sans"/>
          <w:color w:val="1f1f1f"/>
          <w:rtl w:val="0"/>
        </w:rPr>
        <w:t xml:space="preserve"> accelerometer node. Current state-of-the-art solutions for spatial localization typically require complex, multi-sensor microphone arrays or point-lasers to triangulate specific frequencies.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Existing Solution Limitations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solutions cost thousands of dollars per monitoring point, entirely locking out SMEs with tight capital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Technical limitations of low-cost alternatives are severe; they often rely on static cloud-computing models that introduce unacceptable latency and bandwidth costs when streaming high-frequency vibration data.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More critically, cheaper single-node sensors are highly vulnerable to false positives generated by neighboring machines shutting on and off.</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As noted in the prior art, accurate spatial localization of sound or vibration currently requires high frames-per-second industrial cameras or synchronized multi-node arrays, which are economically unfeasible for the target market.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Patent Saturation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Classification: MEDIUM</w:t>
      </w:r>
      <w:r w:rsidDel="00000000" w:rsidR="00000000" w:rsidRPr="00000000">
        <w:rPr>
          <w:rFonts w:ascii="Google Sans" w:cs="Google Sans" w:eastAsia="Google Sans" w:hAnsi="Google Sans"/>
          <w:color w:val="1f1f1f"/>
          <w:rtl w:val="0"/>
        </w:rPr>
        <w:t xml:space="preserve"> While the broad concept of vibration-based predictive maintenance and anomaly detection is highly saturated (HIGH)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specific algorithmic niche of </w:t>
      </w:r>
      <w:r w:rsidDel="00000000" w:rsidR="00000000" w:rsidRPr="00000000">
        <w:rPr>
          <w:rFonts w:ascii="Google Sans" w:cs="Google Sans" w:eastAsia="Google Sans" w:hAnsi="Google Sans"/>
          <w:i w:val="1"/>
          <w:iCs w:val="1"/>
          <w:color w:val="1f1f1f"/>
          <w:rtl w:val="0"/>
        </w:rPr>
        <w:t xml:space="preserve">single-node, edge-computed spatial noise isolation</w:t>
      </w:r>
      <w:r w:rsidDel="00000000" w:rsidR="00000000" w:rsidRPr="00000000">
        <w:rPr>
          <w:rFonts w:ascii="Google Sans" w:cs="Google Sans" w:eastAsia="Google Sans" w:hAnsi="Google Sans"/>
          <w:color w:val="1f1f1f"/>
          <w:rtl w:val="0"/>
        </w:rPr>
        <w:t xml:space="preserve"> using adaptive background filtering remains only moderately active. Most patented noise-filtering techniques focus on intrinsic mechanical noise within the closed system of the motor itself, or they rely on multi-node correlation across a factory network to cancel out ambient interference.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White-Space Analysis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Technical White Space:</w:t>
      </w:r>
      <w:r w:rsidDel="00000000" w:rsidR="00000000" w:rsidRPr="00000000">
        <w:rPr>
          <w:rFonts w:ascii="Google Sans" w:cs="Google Sans" w:eastAsia="Google Sans" w:hAnsi="Google Sans"/>
          <w:color w:val="1f1f1f"/>
          <w:rtl w:val="0"/>
        </w:rPr>
        <w:t xml:space="preserve"> A highly promising technical white space exists in Dynamic Asymmetric Noise Cancellation. This involves using edge AI to build a live, stochastic model of a neighboring machine's changing operational states, and actively subtracting this complex, non-linear signature from the primary machine's signal entirely on a single constrained microcontroller. Furthermore, there is significant opportunity in Explainable Edge AI (XAI) for Diagnostics. Developing a lightweight, rule-based diagnostic output that runs on the edge and links model outputs directly to physical signal characteristics bypasses the opaque, heavily patented "black box" deep learning models utilized by competitors like Tractian.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Finally, Adaptive Weighting Algorithms—preprocessing logic that adjusts sampling rates and filtering strictness dynamically based on the detected presence of transient background factory noise—represent a clear intellectual property target.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White Space: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white space is concentrated in SME-specific retrofitting. Targeting legacy, un-networked rotating machinery in highly dense, acoustically polluted environments (e.g., textile mills, small CNC shops, or printing presses) where multi-sensor arrays are physically impossible to install provides a strong use-case constraint. Additionally, applying isolated vibration monitoring to rural agricultural processing equipment, where ambient mechanical noise is high and cloud connectivity is non-existent, represents an untapped deployment vector.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Obviousness Risk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Estimate: LOW</w:t>
      </w:r>
      <w:r w:rsidDel="00000000" w:rsidR="00000000" w:rsidRPr="00000000">
        <w:rPr>
          <w:rFonts w:ascii="Google Sans" w:cs="Google Sans" w:eastAsia="Google Sans" w:hAnsi="Google Sans"/>
          <w:color w:val="1f1f1f"/>
          <w:rtl w:val="0"/>
        </w:rPr>
        <w:t xml:space="preserve"> Applying a simple static low-pass or high-pass filter to remove generalized high-frequency noise is standard engineering practice and widely patented.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However, developing a single-sensor algorithm capable of actively learning, characterizing, and mathematically subtracting a shifting, non-linear adjacent machine signature in real-time on a resource-constrained edge device requires significant, non-obvious algorithmic innovation that escapes standard predictive maintenance paradigms.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Freedom-to-Operate (High-Level)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FTO risk is present but highly navigable. Industry leaders like Tractian aggressively protect their specific machine learning fingerprinting techniques and their automated prescriptive insight generation methodologies.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Establishing FTO requires strictly avoiding cloud-tethered neural network updates that are triggered by remote alerts.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focusing purely on the </w:t>
      </w:r>
      <w:r w:rsidDel="00000000" w:rsidR="00000000" w:rsidRPr="00000000">
        <w:rPr>
          <w:rFonts w:ascii="Google Sans" w:cs="Google Sans" w:eastAsia="Google Sans" w:hAnsi="Google Sans"/>
          <w:i w:val="1"/>
          <w:iCs w:val="1"/>
          <w:color w:val="1f1f1f"/>
          <w:rtl w:val="0"/>
        </w:rPr>
        <w:t xml:space="preserve">local signal isolation phase</w:t>
      </w:r>
      <w:r w:rsidDel="00000000" w:rsidR="00000000" w:rsidRPr="00000000">
        <w:rPr>
          <w:rFonts w:ascii="Google Sans" w:cs="Google Sans" w:eastAsia="Google Sans" w:hAnsi="Google Sans"/>
          <w:color w:val="1f1f1f"/>
          <w:rtl w:val="0"/>
        </w:rPr>
        <w:t xml:space="preserve">, VibeGuard can operate freely. If the node outputs a cleanly filtered vibration signal or a basic threshold alert rather than a prescriptive diagnostic instruction set, it is highly likely to circumvent the broadest claims of incumbent competitors.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Initial Novelty Assessment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Meaningful innovation opportunities are readily available. The physical hardware lacks novelty, but the specific algorithmic method of teaching a solitary embedded node to characterize and dynamically subtract an adjacent, independent vibration source on the edge possesses exceptionally strong novelty potential and clear patentability.</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Recommendation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VibeGuard targets a clearly defined technical gap (single-node spatial filtering) in a massive, thoroughly validated commercial application (SME manufacturing). The FTO risks are cleanly bounded by focusing on edge-level digital signal processing rather than cloud-based machine learning, and the patent white space for adaptive edge algorithms remains fertile and highly defensible.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TrueMoist</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Validation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Phase 1C specification defines TrueMoist as a drift-self-correcting soil moisture controller. The concept leverages an on-node, regression-based correction model to dynamically adjust capacitive moisture readings by utilizing simultaneous, co-located electrical conductivity (salinity) and temperature measurements. This embedded correction logic aims to maintain accuracy as field conditions shift, entirely avoiding the need for manual laboratory recalibration or downstream cloud dependency.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understanding aligns perfectly with the official definition, establishing the edge-computed regression model as the core investigative target.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Concept Overview</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TrueMoist seeks to solve a fundamental physics problem in precision agriculture. Capacitive soil-moisture sensors, which form the economic backbone of affordable irrigation, suffer from severe signal drift when soil salinity and temperature fluctuate. This drift undermines the accuracy of the entire irrigation system. TrueMoist proposes integrating temperature and salinity measurements directly into a localized regression model running on the sensor node itself. By dynamically correcting the drifted dielectric signal before it ever leaves the device, TrueMoist provides reference-grade accuracy at a price point accessible to smallholder farmers, without requiring connection to complex cloud-calibration databases.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Technology Classification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bridges agricultural sciences with advanced embedded hardware design.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Identified Domains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Technology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agriculture, environmental sensing, smart irrigation.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Technology Domains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Capacitive dielectric sensing, edge computing, sensor fusion.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Disciplines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systems architecture, soil physics, analog signal processing.</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Existing Patent Landscape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patent landscape for soil moisture sensing is highly mature, heavily populated, and frequently litigated by major agricultural technology firms. Foundational patents detailing the physical relationships between dielectric permittivity, capacitance, soil moisture, salinity, and temperature have been established since the 1970s.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Active patent families exhaustively cover specific methods for deconvolving direct current (DC) electrical resistance (salinity) from dielectric sensor responses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sophisticated RLC circuit configurations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and automated calibration routines.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almost all viable physical hardware configurations—including specific printed circuit board electrode shapes, parallel stainless steel rods, and protective epoxy housings—are heavily protected by thickets of utility and design patents.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Existing Commercial Ecosystem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landscape features a massive disparity between high-end compensated sensors and low-end raw sensors.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 Product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TrueMoist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Meter Group (TEROS 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multi-parameter sensor (70 MHz).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the industry gold standard. It measures volumetric water content, temperature, and electrical conductivity, using internal circuitry and proprietary factory calibrations to minimize salinity effects.</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Campbell Scientific (CS655)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multiparameter sensor (SDI-12 output).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Directly competes with the TrueMoist concept by specifically correcting moisture measurements for the effects of soil texture and electrical conductivity internally.</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DFRobot / Commodity Sensors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Bare capacitive RLC circuits.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Produces the ultra-low-cost, uncompensated capacitive sensors that drift wildly, serving as the baseline technology TrueMoist aims to improve.</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Prior-Art Analysis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closest prior art unequivocally includes the TEROS 12 and CS655 sensors, both of which inherently execute complex internal compensation algorithms before outputting data. Patent filings explicitly describe architectures featuring microcontrollers embedded directly within capacitive probes that process raw temperature and EC data to refine the final moisture output.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Methodologies for performing multi-point calibration approaches to account for temperature effects on the bound water fraction in clay soils are heavily documented in recent literature.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similarities are foundational: TrueMoist utilizes the exact same three parameters (dielectric, EC, temp) to produce a corrected signal. The major difference proposed by TrueMoist is the use of a novel "regression-based" or edge-AI correction model implemented on low-cost commodity hardware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contrasting with the high-end commercial systems that rely on static, proprietary factory calibration curves programmed into expensive proprietary silicon.</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Existing Solution Limitations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High-end commercial sensors like those from Meter Group and Campbell Scientific are phenomenally accurate but cost hundreds of dollars per monitoring node, economically excluding the vast majority of global smallholder farmers.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Furthermore, even premium sensors experience severe "generalization crises" where their static factory calibrations fail unpredictably in highly specific fine-textured (clay) soils due to anomalous, non-linear temperature-dielectric relationships.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Conversely, low-cost sensors simply drift wildly and become useless the moment fertilizer (which increases salinity) is added to the soil, requiring constant, manual laboratory recalibration that field farmers cannot perform.</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Patent Saturation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Classification: HIGH</w:t>
      </w:r>
      <w:r w:rsidDel="00000000" w:rsidR="00000000" w:rsidRPr="00000000">
        <w:rPr>
          <w:rFonts w:ascii="Google Sans" w:cs="Google Sans" w:eastAsia="Google Sans" w:hAnsi="Google Sans"/>
          <w:color w:val="1f1f1f"/>
          <w:rtl w:val="0"/>
        </w:rPr>
        <w:t xml:space="preserve"> The conceptual framework of utilizing co-located temperature and salinity readings to compensate for capacitive drift in soil sensors is universally understood and exhaustively patented.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Furthermore, the hardware integration of these three disparate sensors into a single physical probe managed by a local microcontroller is equally saturated, with dozens of active patents covering various circuit designs.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White-Space Analysis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Technical White Space:</w:t>
      </w:r>
      <w:r w:rsidDel="00000000" w:rsidR="00000000" w:rsidRPr="00000000">
        <w:rPr>
          <w:rFonts w:ascii="Google Sans" w:cs="Google Sans" w:eastAsia="Google Sans" w:hAnsi="Google Sans"/>
          <w:color w:val="1f1f1f"/>
          <w:rtl w:val="0"/>
        </w:rPr>
        <w:t xml:space="preserve"> Because the hardware space is saturated, technical white space exists exclusively in advanced algorithmic approaches. Transfer Learning at the Edge represents a significant opportunity. Current compensation models are static; developing a lightweight machine learning algorithm that runs directly on the MCU allows the sensor to autonomously adapt its regression curve over time by comparing diurnal temperature swings with steady-state moisture decay, effectively teaching itself the specific soil profile it is buried in.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Additionally, there is white space in Multi-frequency Interrogation. Instead of using a static 70 MHz frequency, a low-cost MCU could rapidly sweep multiple frequencies to map the complex dispersion curve of the soil, isolating salinity drift mathematically without needing a dedicated DC-resistance sensor. Finally, Physical Decoupling—designing a novel electrode geometry that physically limits the interference of EC on the high-frequency dielectric field rather than fixing it purely in software—remains relatively unexplored.</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Application White Space:</w:t>
      </w:r>
      <w:r w:rsidDel="00000000" w:rsidR="00000000" w:rsidRPr="00000000">
        <w:rPr>
          <w:rFonts w:ascii="Google Sans" w:cs="Google Sans" w:eastAsia="Google Sans" w:hAnsi="Google Sans"/>
          <w:color w:val="1f1f1f"/>
          <w:rtl w:val="0"/>
        </w:rPr>
        <w:t xml:space="preserve"> Application opportunities involve pushing the intelligence further out to the extreme edge. Direct integration of the drift-corrected sensor into a localized, ultra-low-power drip irrigation valve actuator designed specifically for emerging markets bypasses the need for external data loggers entirely. Another strong application vector is Hydroponic Substrate Profiling. Adapting the adaptive regression model to highly porous, artificial soilless matrices (e.g., rockwool, coco coir) presents entirely different EC drift profiles than traditional mineral soils, representing a growing and less-patented niche.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Obviousness Risk</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Estimate: HIGH</w:t>
      </w:r>
      <w:r w:rsidDel="00000000" w:rsidR="00000000" w:rsidRPr="00000000">
        <w:rPr>
          <w:rFonts w:ascii="Google Sans" w:cs="Google Sans" w:eastAsia="Google Sans" w:hAnsi="Google Sans"/>
          <w:color w:val="1f1f1f"/>
          <w:rtl w:val="0"/>
        </w:rPr>
        <w:t xml:space="preserve"> Taking a universally known method for compensating soil sensors (salinity and temperature correction)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and executing it on a modern, low-cost microcontroller is standard engineering practice. The use of standard regression modeling to calibrate sensor data is a fundamental mathematical approach and is generally unpatentable unless tied to a highly specific, non-obvious hardware interaction or an entirely novel machine-learning architecture.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Freedom-to-Operate (High-Level)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Freedom-to-Operate presents a massive operational hazard regarding the physical hardware. Designing a custom probe with integrated EC, temperature, and capacitive traces closely mirrors active, aggressively defended patents held by companies like Toro, Meter Group, and Campbell Scientific.</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To maintain FTO, TrueMoist must rely entirely on unmodified, off-the-shelf commodity sensors, strictly confining all claims and engineering efforts to the edge-computed algorithmic software layer.</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Initial Novelty Assessment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hardware architecture possesses virtually zero patentable novelty. Meaningful innovation exists exclusively in the software domain. If the engineering team can pioneer an adaptive, self-updating machine-learning calibration strategy (such as transfer learning) that demonstrably outperforms the static factory curves of high-end sensors on resource-constrained hardware, a novel method claim is achievable.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Recommendation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Continue with refinement.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justify continued engineering investment for the explicit purpose of IP generation, TrueMoist must strictly pivot away from custom hardware design. The required refinement must focus entirely on developing a novel, edge-AI adaptive calibration algorithm (e.g., transfer learning or neural-network-based decoupling) that solves the widely documented generalization crisis in clay soils, establishing a highly protectable method claim independent of the physical sensor.</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TrustLatch</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Validation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1C defines TrustLatch as a simplified, verifiably-correct reference approach to secure boot and authenticated Over-The-Air (OTA) updates, specifically tailored for constrained (Cortex-M0/M3 class) microcontrollers. The concept aims to package existing, complex cryptographic primitives into an accessible toolkit for student-level developers and SMEs, preventing malicious firmware flashing and unauthorized rollbacks without requiring enterprise-grade engineering resources.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analysis confirms this definition, noting that the concept relies on the </w:t>
      </w:r>
      <w:r w:rsidDel="00000000" w:rsidR="00000000" w:rsidRPr="00000000">
        <w:rPr>
          <w:rFonts w:ascii="Google Sans" w:cs="Google Sans" w:eastAsia="Google Sans" w:hAnsi="Google Sans"/>
          <w:i w:val="1"/>
          <w:iCs w:val="1"/>
          <w:color w:val="1f1f1f"/>
          <w:rtl w:val="0"/>
        </w:rPr>
        <w:t xml:space="preserve">simplification and packaging</w:t>
      </w:r>
      <w:r w:rsidDel="00000000" w:rsidR="00000000" w:rsidRPr="00000000">
        <w:rPr>
          <w:rFonts w:ascii="Google Sans" w:cs="Google Sans" w:eastAsia="Google Sans" w:hAnsi="Google Sans"/>
          <w:color w:val="1f1f1f"/>
          <w:rtl w:val="0"/>
        </w:rPr>
        <w:t xml:space="preserve"> of existing security protocols rather than the invention of new cryptographic math.</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Concept Overview</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TrustLatch addresses a chronic implementation gap in Internet of Things (IoT) security. While robust cryptographic algorithms exist, integrating them into the boot sequence of resource-constrained microcontrollers requires specialized expertise. Consequently, many low-cost devices ship with these features disabled, leaving them vulnerable to firmware spoofing and unauthorized code execution. TrustLatch proposes an overarching, highly accessible toolkit that ensures an immutable hardware root-of-trust, verifies digital signatures before executing code, and seamlessly manages OTA staging and rollback protection, effectively democratizing enterprise-grade security for basic edge devices.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Technology Classification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sits at the core of embedded software security.</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Identified Domains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Technology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Cybersecurity, IoT infrastructure security.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Technology Domains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Firmware engineering, cryptographic key management, bootloader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Disciplines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 science, hardware-level programming, network security.</w:t>
            </w:r>
          </w:p>
        </w:tc>
      </w:tr>
    </w:tbl>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Existing Patent Landscape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patent landscape for secure boot sequences and OTA firmware updates is foundational, exhaustively mature, and completely saturated by major silicon vendors and software enterprises. Foundational patents dating back to the late 1990s cover the fundamental use of shared secret keys to encrypt and decrypt boot-up instructions embedded in modifiable non-volatile memory.</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and recent patent families are incredibly dense, exhaustively covering virtually every permutation of digital signature verification (e.g., ECDSA, AES-GCM), key provisioning workflows, symmetric key storage, rollback protection mechanics, and multi-stage bootloader handoffs.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Major patent holders include global silicon giants like ARM, STMicroelectronics, Infineon, and various tier-one automotive OEMs who actively patent OTA upgrade methods for vehicle systems.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Existing Commercial Ecosystem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ecosystem provides exact, fully realized versions of the TrustLatch concept.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 Product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TrustLatch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STMicroelectronics (X-CUBE-SBSFU)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Proprietary Secure Boot / OTA expansion package.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Offers a comprehensive, highly documented Secure Boot and Firmware Update package for STM32 microcontrollers, featuring anti-rollback, cryptography, and immutable Root of Trust.</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shd w:fill="auto" w:val="clear"/>
                <w:rtl w:val="0"/>
              </w:rPr>
              <w:t xml:space="preserve"> Directly serves the exact function TrustLatch proposes on the exact target hardware.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MCUboot (Zephyr / TrustedFirmware)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secure bootloader for 32-bit MCUs.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hardware-agnostic image authentication, version-based rollback protection, and dual-slot update mechanics, supported by a massive open-source consortium.</w:t>
            </w:r>
            <w:r w:rsidDel="00000000" w:rsidR="00000000" w:rsidRPr="00000000">
              <w:rPr>
                <w:rFonts w:ascii="Google Sans" w:cs="Google Sans" w:eastAsia="Google Sans" w:hAnsi="Google Sans"/>
                <w:color w:val="444746"/>
                <w:sz w:val="24"/>
                <w:szCs w:val="24"/>
                <w:vertAlign w:val="superscript"/>
                <w:rtl w:val="0"/>
              </w:rPr>
              <w:t xml:space="preserve">68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ARM (Platform Security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Industry-standard guidelines and reference code (PSA-TBFU).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absolute industry standards for trusted boot and rollback protection for Cortex-M processors.</w:t>
            </w:r>
            <w:r w:rsidDel="00000000" w:rsidR="00000000" w:rsidRPr="00000000">
              <w:rPr>
                <w:rFonts w:ascii="Google Sans" w:cs="Google Sans" w:eastAsia="Google Sans" w:hAnsi="Google Sans"/>
                <w:color w:val="444746"/>
                <w:sz w:val="24"/>
                <w:szCs w:val="24"/>
                <w:vertAlign w:val="superscript"/>
                <w:rtl w:val="0"/>
              </w:rPr>
              <w:t xml:space="preserve">66</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Prior-Art Analysis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prior art surrounding secure boot is impenetrable. Existing systems like MCUboot and X-CUBE-SBSFU already flawlessly achieve the technical goals of TrustLatch, including ECDSA signature verification, seamless OTA image staging, and rollback prevention via version counters or hardware eFuses.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Furthermore, active patents explicitly claim the exact procedural methods of receiving an image, authenticating the source, and reflashing memory only if the authentication is successful.</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 proposed differentiator for TrustLatch is "accessibility" and "simplification" for student-level developers.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simplification of an already existing, patented process through better documentation or the removal of advanced features is inherently not a patentable invention.</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Existing Solution Limitations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limitation of existing solutions like X-CUBE-SBSFU or MCUboot is usability, not technical capability. Configuring precise memory linker scripts, managing primary and secondary flash slots, securely provisioning keys in factory environments without exposure, and establishing a trusted Certificate Authority (CA) require highly specialized, esoteric knowledge.</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Resource-constrained MCUs often lack dedicated hardware crypto-accelerators. Consequently, executing complex algorithms in software consumes unacceptable amounts of limited flash memory and dramatically increases boot time, causing many developers to abandon the implementation entirely.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Patent Saturation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Classification: HIGH</w:t>
      </w:r>
      <w:r w:rsidDel="00000000" w:rsidR="00000000" w:rsidRPr="00000000">
        <w:rPr>
          <w:rFonts w:ascii="Google Sans" w:cs="Google Sans" w:eastAsia="Google Sans" w:hAnsi="Google Sans"/>
          <w:color w:val="1f1f1f"/>
          <w:rtl w:val="0"/>
        </w:rPr>
        <w:t xml:space="preserve"> The technical methods required to establish a hardware root-of-trust, verify cryptographic signatures, and physically prevent memory rollbacks on constrained microcontrollers are entirely claimed by existing utility patents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or have been committed permanently to the public domain via massive open-source consortiums like TrustedFirmware (MCUboot).</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White-Space Analysis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Technical White Space:</w:t>
      </w:r>
      <w:r w:rsidDel="00000000" w:rsidR="00000000" w:rsidRPr="00000000">
        <w:rPr>
          <w:rFonts w:ascii="Google Sans" w:cs="Google Sans" w:eastAsia="Google Sans" w:hAnsi="Google Sans"/>
          <w:color w:val="1f1f1f"/>
          <w:rtl w:val="0"/>
        </w:rPr>
        <w:t xml:space="preserve"> Technical white space in fundamental embedded secure boot is effectively zero. Every sequence of hashing, signing, memory locking, and pointer-swapping has been claimed in multiple jurisdictions.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Minimal, highly theoretical white space may exist in extremely novel side-channel attack mitigations during the boot process—for example, intentionally masking the power consumption profile of the MCU during the ECDSA verification step on a specific Cortex-M0 architecture to prevent oscilloscope-based key extraction.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White Space: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core technology cannot be patented, application white space centers on software tooling. Automated Provisioning Toolchains present an opportunity: developing an overarching desktop software application that automatically generates the complex linker scripts, C-headers, and factory key-injection payloads for legacy MCUs, effectively shielding the developer from the underlying cryptographic mechanics. Additionally, creating purely Pedagogical Platforms—educational frameworks used exclusively to teach IoT security compliance (e.g., EU Cyber Resilience Act or NIS2 mandates) without commercial deployment intent—represents a viable non-patented application.</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Obviousness Risk</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Estimate: HIGH</w:t>
      </w:r>
      <w:r w:rsidDel="00000000" w:rsidR="00000000" w:rsidRPr="00000000">
        <w:rPr>
          <w:rFonts w:ascii="Google Sans" w:cs="Google Sans" w:eastAsia="Google Sans" w:hAnsi="Google Sans"/>
          <w:color w:val="1f1f1f"/>
          <w:rtl w:val="0"/>
        </w:rPr>
        <w:t xml:space="preserve"> Combining standard, universally recognized cryptographic primitives (AES, ECDSA, SHA) into a basic bootloader architecture to verify an incoming OTA update is the exact definition of a predictable use of prior art elements according to their established functions.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It fails the non-obviousness test completely under all major patent jurisdictions.</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Freedom-to-Operate (High-Level)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FTO is highly restrictive if the engineering team attempts to manipulate proprietary hardware features (like STMicroelectronics' proprietary firewall, secure memory areas, or ARM TrustZone configurations) in ways already covered by their defensive patents.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Utilizing existing open-source libraries (like MCUboot) ensures FTO for academic development, but attempting to commercialize a new, proprietary bootloader toolkit from scratch would inevitably intersect with broad method claims held by aggressive automotive and IoT security firms.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Initial Novelty Assessment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possesses practically zero patentable novelty. While it is a highly valuable engineering exercise that addresses a critical, well-documented market gap (developer accessibility), it relies entirely on packaging existing math and protocols. It does not constitute a novel technical invention under IP law.</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Recommendation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Risk (for Patenting) / Pause (for IP R&amp;D).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assessment board recommends pausing TrustLatch as a vehicle for intellectual property generation. The landscape is fundamentally saturated by silicon giants and open-source standards. Continued engineering investment is justified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if the project's primary objective is academic publication, student cybersecurity training, or the creation of an open-source development tool. It will not yield defensible patents.</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ColdTrace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Validation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Phase 1C specification details ColdTrace as a multi-modal cold-chain integrity logger designed to monitor highly sensitive pharmaceuticals and vaccines. The technical mandate requires the fusion of thermal-mass modeling (to differentiate between brief, harmless ambient air-temperature spikes and genuine, sustained liquid excursions) with mechanical shock and vibration sensing. These disparate data streams must be processed locally into a single, unified compliance signal, augmented with automatic wireless offload to remove manual download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understanding aligns exactly with the Phase 1C definition.</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Concept Overview</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ColdTrace targets the massive financial and humanitarian losses caused by vaccine and pharmaceutical spoilage during transit. Traditional data loggers trigger alarms based purely on the ambient air temperature inside a container, leading to severe "alarm fatigue" when brief door openings trigger false positives. By modeling the actual thermal mass of the liquid inside the vials, and dynamically combining that thermodynamic data with kinetic shock events (which can alter the physical stability of complex protein structures), ColdTrace generates a highly accurate, deterministic model of actual product viability entirely on the edge node.</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Technology Classification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ColdTrace operates at the intersection of supply chain logistics and complex thermodynamic physics.</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Identified Domains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Technology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Cold-chain logistics, pharmaceutical supply chain monitoring.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Technology Domains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Thermodynamic modeling, multi-sensor data fusion, wireless telemetry.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Disciplines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systems design, thermodynamics, packaging engineering.</w:t>
            </w:r>
          </w:p>
        </w:tc>
      </w:tr>
    </w:tbl>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Existing Patent Landscape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cold-chain temperature logger patent landscape is exceptionally deep, driven by stringent pharmaceutical compliance regulations (GxP, FDA) and the multi-billion-dollar cost of high-value cargo losses. Foundational historical patents comprehensively describe visual time-temperature integrators, basic electronic data loggers, and reprogrammable thermal stability profiles.</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filing trends focus heavily on wireless telemetry (RFID, NFC, 5G), edge analytics, and advanced tamper-proof features.</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Independent shock and vibration logging during transit are also widely patented.</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The geographic distribution of patents is heavily centered in the United States and Europe, dominated by specialized logistics technology companies rather than broad consumer electronics firms. The technology is rapidly evolving from simple periodic logging toward continuous, real-time wireless monitoring.</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Existing Commercial Ecosystem</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landscape is dominated by highly established, compliance-certified incumbents.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 Product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ColdTrace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Sensitech (TempTale)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Industry-standard temperature and humidity monitors.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global market leader. Sensitech devices provide NIST-traceable validation </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shd w:fill="auto" w:val="clear"/>
                <w:rtl w:val="0"/>
              </w:rPr>
              <w:t xml:space="preserve">, and the company holds major foundational patents in time-temperature alarms and integration.</w:t>
            </w:r>
            <w:r w:rsidDel="00000000" w:rsidR="00000000" w:rsidRPr="00000000">
              <w:rPr>
                <w:rFonts w:ascii="Google Sans" w:cs="Google Sans" w:eastAsia="Google Sans" w:hAnsi="Google Sans"/>
                <w:color w:val="444746"/>
                <w:sz w:val="24"/>
                <w:szCs w:val="24"/>
                <w:vertAlign w:val="superscript"/>
                <w:rtl w:val="0"/>
              </w:rPr>
              <w:t xml:space="preserve">79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Tec4med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 multi-sensor pharmaceutical data loggers.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Monitors temperature, humidity, GPS, and mechanical shock simultaneously, featuring real-time 5G/LTE cloud offloading.</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shd w:fill="auto" w:val="clear"/>
                <w:rtl w:val="0"/>
              </w:rPr>
              <w:t xml:space="preserve"> Directly competes with the multi-sensor hardware aspect.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Geo-Tag LLC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NFC/RFID temperature logging sensors.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Holds active patents on self-activating, energy-harvesting sensors for end-to-end cold chain tracking.</w:t>
            </w:r>
            <w:r w:rsidDel="00000000" w:rsidR="00000000" w:rsidRPr="00000000">
              <w:rPr>
                <w:rFonts w:ascii="Google Sans" w:cs="Google Sans" w:eastAsia="Google Sans" w:hAnsi="Google Sans"/>
                <w:color w:val="444746"/>
                <w:sz w:val="24"/>
                <w:szCs w:val="24"/>
                <w:vertAlign w:val="superscript"/>
                <w:rtl w:val="0"/>
              </w:rPr>
              <w:t xml:space="preserve">81</w:t>
            </w:r>
          </w:p>
        </w:tc>
      </w:tr>
    </w:tbl>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Prior-Art Analysis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art heavily covers the independent measurement of temperature and shock during transit.</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Crucially, highly specific patents exist outlining complex thermal models used within insulated transport units to estimate the actual core temperature of cargo rather than the ambient air </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which explicitly addresses the "door-opening spike" problem highlighted in the concept definition.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Alarm logic that aggregates multiple threshold violations (e.g., calculating time at Temperature A plus time at Temperature B) is also explicitly outlined in Sensitech's patents.</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major similarity is the use of multiple high-accuracy sensors to ensure cargo integrity. The major difference ColdTrace proposes is the </w:t>
      </w:r>
      <w:r w:rsidDel="00000000" w:rsidR="00000000" w:rsidRPr="00000000">
        <w:rPr>
          <w:rFonts w:ascii="Google Sans" w:cs="Google Sans" w:eastAsia="Google Sans" w:hAnsi="Google Sans"/>
          <w:i w:val="1"/>
          <w:iCs w:val="1"/>
          <w:color w:val="1f1f1f"/>
          <w:rtl w:val="0"/>
        </w:rPr>
        <w:t xml:space="preserve">algorithmic fusion</w:t>
      </w:r>
      <w:r w:rsidDel="00000000" w:rsidR="00000000" w:rsidRPr="00000000">
        <w:rPr>
          <w:rFonts w:ascii="Google Sans" w:cs="Google Sans" w:eastAsia="Google Sans" w:hAnsi="Google Sans"/>
          <w:color w:val="1f1f1f"/>
          <w:rtl w:val="0"/>
        </w:rPr>
        <w:t xml:space="preserve"> of thermodynamic state estimation with kinetic shock data into a </w:t>
      </w:r>
      <w:r w:rsidDel="00000000" w:rsidR="00000000" w:rsidRPr="00000000">
        <w:rPr>
          <w:rFonts w:ascii="Google Sans" w:cs="Google Sans" w:eastAsia="Google Sans" w:hAnsi="Google Sans"/>
          <w:i w:val="1"/>
          <w:iCs w:val="1"/>
          <w:color w:val="1f1f1f"/>
          <w:rtl w:val="0"/>
        </w:rPr>
        <w:t xml:space="preserve">single, deterministic compliance score</w:t>
      </w:r>
      <w:r w:rsidDel="00000000" w:rsidR="00000000" w:rsidRPr="00000000">
        <w:rPr>
          <w:rFonts w:ascii="Google Sans" w:cs="Google Sans" w:eastAsia="Google Sans" w:hAnsi="Google Sans"/>
          <w:color w:val="1f1f1f"/>
          <w:rtl w:val="0"/>
        </w:rPr>
        <w:t xml:space="preserve"> computed locally on the device, rather than merely outputting independent, raw data streams for downstream cloud analysis.</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Existing Solution Limitations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commercial loggers suffer heavily from alarm fatigue; simple air-temperature sensors routinely trigger false positives during routine pallet handling or customs inspections.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advanced devices that measure both shock and temperature typically report them as entirely disparate datasets. This requires expensive human intervention or complex downstream cloud software to interpret whether a moderate kinetic shock combined with a moderate temperature deviation resulted in a critical product failure.</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Finally, the reliance on manual USB offloads at the destination remains a major point of human failure, particularly in remote or chaotic clinical settings.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Patent Saturation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Classification: MEDIUM-HIGH</w:t>
      </w:r>
      <w:r w:rsidDel="00000000" w:rsidR="00000000" w:rsidRPr="00000000">
        <w:rPr>
          <w:rFonts w:ascii="Google Sans" w:cs="Google Sans" w:eastAsia="Google Sans" w:hAnsi="Google Sans"/>
          <w:color w:val="1f1f1f"/>
          <w:rtl w:val="0"/>
        </w:rPr>
        <w:t xml:space="preserve"> The fundamental hardware components (NIST-traceable temperature sensors, MEMS accelerometers, wireless radios) and the standard heuristic alerting methods are highly saturated.</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However, the specific mathematical fusion of thermodynamic state estimation with kinetic shock modeling into a unified, edge-computed degradation algorithm remains only moderately explored in current filings.</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White-Space Analysis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White Space: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 opportunity exists in Compound Failure Condition Modeling. This involves developing an embedded state-machine that continuously calculates a multi-dimensional degradation vector. For instance, computing how severe mechanical agitation dynamically lowers the acceptable thermal stability threshold of a specific, fragile protein complex (like an mRNA vaccine), fusing these non-linear variables into one "viability percentage" entirely on the node. Adaptive Thermal Mass Estimation also presents white space: algorithms that analyze the initial cooling curve of the package inside a refrigerator to autonomously deduce the thermal mass (liquid volume) of the cargo, without requiring the user to manually program the logger beforehand. Finally, Mesh-Offload Protocols—proprietary, ultra-low-power networking protocols allowing deeply buried pallets to relay compliance signals through adjacent boxes to a master gateway without requiring independent cellular connectivity for every box.</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Application White Space:</w:t>
      </w:r>
      <w:r w:rsidDel="00000000" w:rsidR="00000000" w:rsidRPr="00000000">
        <w:rPr>
          <w:rFonts w:ascii="Google Sans" w:cs="Google Sans" w:eastAsia="Google Sans" w:hAnsi="Google Sans"/>
          <w:color w:val="1f1f1f"/>
          <w:rtl w:val="0"/>
        </w:rPr>
        <w:t xml:space="preserve"> Last-Mile Rural Deployment offers strong application white space. Tailoring the compliance output not for complex corporate data dashboards, but as a simple, undeniable red/green indicator validated cryptographically for community health workers handling vaccines in off-grid locations.</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Blood Product Micro-Logistics is another highly specialized niche, specifically modeling the hemolysis of red blood cells—which are highly sensitive to both thermal excursions and mechanical shear stress/shock—during drone delivery or off-road transport.</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Obviousness Risk</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Estimate: MEDIUM</w:t>
      </w:r>
      <w:r w:rsidDel="00000000" w:rsidR="00000000" w:rsidRPr="00000000">
        <w:rPr>
          <w:rFonts w:ascii="Google Sans" w:cs="Google Sans" w:eastAsia="Google Sans" w:hAnsi="Google Sans"/>
          <w:color w:val="1f1f1f"/>
          <w:rtl w:val="0"/>
        </w:rPr>
        <w:t xml:space="preserve"> Simply placing a temperature logger and a shock logger inside the same plastic housing is obvious and heavily documented.</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Utilizing a thermal mass model to estimate liquid temperature is also known in the prior art.</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However, the specific synergistic algorithm—where live kinetic shock data mathematically alters the acceptable parameters of the thermal mass model in real-time to generate a singular, integrated compliance score—presents a non-obvious leap in supply chain monitoring.</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Freedom-to-Operate (High-Level)</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FTO must be carefully and meticulously managed. Incumbents like Sensitech and Cold Chain Technologies aggressively protect their proprietary time-temperature integration methods and alerting heuristics.</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To maintain FTO, the engineering team must use open-source or completely independently derived mathematical algorithms for thermal mass calculations. FTO is generally clear if the device utilizes standard, off-the-shelf hardware and focuses strictly on the novel fusion algorithm, avoiding previously patented data-logging hardware architectures and physical form factors.</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Initial Novelty Assessment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novelty exists within the data-fusion methodology. While the physical sensors and the broad logistical goals are common, the embedded, multi-variable deterministic modeling of actual product degradation on a low-cost microcontroller provides a clear, defensible patentable claim if the algorithm can be proven empirically effective.</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Recommendation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Continue with refinement.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ColdTrace addresses a massive, quantified global problem with a technically viable solution. To secure robust patentable IP, the team must heavily refine the concept away from basic "data logging" and concentrate entirely on developing the compound thermal-kinetic degradation algorithm, proving that the localized fusion of these two variables detects catastrophic product failures that individual, independent thresholds miss.</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PORTFOLIO ANALYSIS</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Patent Matrix</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synthesizes the individual assessments to provide a high-level comparison of all five concepts against the core intellectual property criteria.</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OpenBraille (OC-08)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VibeGuard (OC-10)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TrueMoist (OC-15)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TrustLatch (OC-21)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ColdTrace (OC-05)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 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IoT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Agriculture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 Supply Chain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Patent Saturation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(Piezo) / Med (Mag)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White Space Potential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Low-cost Latching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Single-node spatial DSP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Edge-AI Calibration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to Minimal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Compound fusion modeling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Existing Competition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Dot Inc., Orbit, Innovision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Tractian, Augury, Senseye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Meter Group, Campbell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STMicro, Zephyr, 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Sensitech, Tec4med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Prior-Art Density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Obviousness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FTO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(Dot Inc. patents)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(Tractian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(Meter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Low/Med (Open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(Sensitech)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Innovation Opportunity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(unless novel 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(Edge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(AI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(Implementation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Medium-High (Fusion algo)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Recommendation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 w/ Refinement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 w/ Refinement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Risk (Pause)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 w/ Refinement</w:t>
            </w:r>
          </w:p>
        </w:tc>
      </w:tr>
    </w:tbl>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Cross-Concept Analysis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Shared Technology Regions: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five concepts, despite targeting vastly different industries, are intrinsically unified by their reliance on </w:t>
      </w:r>
      <w:r w:rsidDel="00000000" w:rsidR="00000000" w:rsidRPr="00000000">
        <w:rPr>
          <w:rFonts w:ascii="Google Sans" w:cs="Google Sans" w:eastAsia="Google Sans" w:hAnsi="Google Sans"/>
          <w:b w:val="1"/>
          <w:bCs w:val="1"/>
          <w:color w:val="1f1f1f"/>
          <w:rtl w:val="0"/>
        </w:rPr>
        <w:t xml:space="preserve">Edge Computing and Constrained Embedded Systems</w:t>
      </w:r>
      <w:r w:rsidDel="00000000" w:rsidR="00000000" w:rsidRPr="00000000">
        <w:rPr>
          <w:rFonts w:ascii="Google Sans" w:cs="Google Sans" w:eastAsia="Google Sans" w:hAnsi="Google Sans"/>
          <w:color w:val="1f1f1f"/>
          <w:rtl w:val="0"/>
        </w:rPr>
        <w:t xml:space="preserve">. Specifically, VibeGuard, TrueMoist, and ColdTrace heavily overlap in their core technological objective: executing complex data processing (spatial noise filtering, regression compensation, multi-modal data fusion) directly on the edge node. This shared architecture is designed explicitly to bypass cloud latency, connectivity issues, and ongoing operational data costs.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Shared Patent Spaces:</w:t>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VibeGuard and TrueMoist</w:t>
      </w:r>
      <w:r w:rsidDel="00000000" w:rsidR="00000000" w:rsidRPr="00000000">
        <w:rPr>
          <w:rFonts w:ascii="Google Sans" w:cs="Google Sans" w:eastAsia="Google Sans" w:hAnsi="Google Sans"/>
          <w:color w:val="1f1f1f"/>
          <w:rtl w:val="0"/>
        </w:rPr>
        <w:t xml:space="preserve"> share a conceptual patent space regarding </w:t>
      </w:r>
      <w:r w:rsidDel="00000000" w:rsidR="00000000" w:rsidRPr="00000000">
        <w:rPr>
          <w:rFonts w:ascii="Google Sans" w:cs="Google Sans" w:eastAsia="Google Sans" w:hAnsi="Google Sans"/>
          <w:i w:val="1"/>
          <w:iCs w:val="1"/>
          <w:color w:val="1f1f1f"/>
          <w:rtl w:val="0"/>
        </w:rPr>
        <w:t xml:space="preserve">environmental interference mitigation</w:t>
      </w:r>
      <w:r w:rsidDel="00000000" w:rsidR="00000000" w:rsidRPr="00000000">
        <w:rPr>
          <w:rFonts w:ascii="Google Sans" w:cs="Google Sans" w:eastAsia="Google Sans" w:hAnsi="Google Sans"/>
          <w:color w:val="1f1f1f"/>
          <w:rtl w:val="0"/>
        </w:rPr>
        <w:t xml:space="preserve">. VibeGuard filters acoustic and vibration interference from adjacent machines; TrueMoist filters dielectric and salinity interference from the soil. Both rely on advanced signal processing algorithms executed on constrained MCUs to output a clean, accurate signal.</w:t>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TrustLatch</w:t>
      </w:r>
      <w:r w:rsidDel="00000000" w:rsidR="00000000" w:rsidRPr="00000000">
        <w:rPr>
          <w:rFonts w:ascii="Google Sans" w:cs="Google Sans" w:eastAsia="Google Sans" w:hAnsi="Google Sans"/>
          <w:color w:val="1f1f1f"/>
          <w:rtl w:val="0"/>
        </w:rPr>
        <w:t xml:space="preserve">, while isolated in its direct application, represents the fundamental security baseline required for the commercial viability of the other four concepts. If VibeGuard or TrueMoist were ever commercialized, they would inherently require the secure boot and OTA mechanics outlined in TrustLatch to prevent corporate IP theft and malicious firmware spoofing.</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Complementary Opportunities: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 algorithmic modeling approach developed for ColdTrace (fusing non-linear thermal and kinetic variables) could conceptually be applied to VibeGuard (for example, fusing the acoustic vibration profile and the thermal load of a failing bearing to predict time-to-failure). Similarly, the edge-AI transfer learning proposed in TrueMoist's white space could be adapted for VibeGuard's background noise isolation to allow the sensor to learn factory patterns dynamically.</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Competing Concepts &amp; Shared Risks:</w:t>
      </w:r>
      <w:r w:rsidDel="00000000" w:rsidR="00000000" w:rsidRPr="00000000">
        <w:rPr>
          <w:rFonts w:ascii="Google Sans" w:cs="Google Sans" w:eastAsia="Google Sans" w:hAnsi="Google Sans"/>
          <w:color w:val="1f1f1f"/>
          <w:rtl w:val="0"/>
        </w:rPr>
        <w:t xml:space="preserve"> None of the concepts compete directly with one another in the marketplace. However, they share a critical </w:t>
      </w:r>
      <w:r w:rsidDel="00000000" w:rsidR="00000000" w:rsidRPr="00000000">
        <w:rPr>
          <w:rFonts w:ascii="Google Sans" w:cs="Google Sans" w:eastAsia="Google Sans" w:hAnsi="Google Sans"/>
          <w:b w:val="1"/>
          <w:bCs w:val="1"/>
          <w:color w:val="1f1f1f"/>
          <w:rtl w:val="0"/>
        </w:rPr>
        <w:t xml:space="preserve">Freedom-to-Operate Risk</w:t>
      </w:r>
      <w:r w:rsidDel="00000000" w:rsidR="00000000" w:rsidRPr="00000000">
        <w:rPr>
          <w:rFonts w:ascii="Google Sans" w:cs="Google Sans" w:eastAsia="Google Sans" w:hAnsi="Google Sans"/>
          <w:color w:val="1f1f1f"/>
          <w:rtl w:val="0"/>
        </w:rPr>
        <w:t xml:space="preserve"> regarding the use of proprietary hardware platforms. Silicon vendors hold broad, restrictive patents on how their MCUs handle secure memory, analog-to-digital conversions, and power management states.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Furthermore, a shared, overarching risk across VibeGuard, TrueMoist, and ColdTrace is their heavy reliance on </w:t>
      </w:r>
      <w:r w:rsidDel="00000000" w:rsidR="00000000" w:rsidRPr="00000000">
        <w:rPr>
          <w:rFonts w:ascii="Google Sans" w:cs="Google Sans" w:eastAsia="Google Sans" w:hAnsi="Google Sans"/>
          <w:i w:val="1"/>
          <w:iCs w:val="1"/>
          <w:color w:val="1f1f1f"/>
          <w:rtl w:val="0"/>
        </w:rPr>
        <w:t xml:space="preserve">algorithmic and software patents</w:t>
      </w:r>
      <w:r w:rsidDel="00000000" w:rsidR="00000000" w:rsidRPr="00000000">
        <w:rPr>
          <w:rFonts w:ascii="Google Sans" w:cs="Google Sans" w:eastAsia="Google Sans" w:hAnsi="Google Sans"/>
          <w:color w:val="1f1f1f"/>
          <w:rtl w:val="0"/>
        </w:rPr>
        <w:t xml:space="preserve">. Under current global patent frameworks, software and method claims face significantly higher scrutiny and obviousness challenges (such as Alice Corp. rejections in the US) compared to tangible, physical apparatus claims.</w:t>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Portfolio-Level Assessment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portfolio exhibits exceptionally strong domain diversity, comprehensively addressing healthcare/logistics, accessibility, industrial manufacturing, agriculture, and cybersecurity. However, the technology concentration is highly skewed toward algorithmic edge-processing rather than the invention of novel physical hardware architectures. The commercial outlook across the board is extremely robust, as every concept addresses proven, deeply quantified market gaps (SME manufacturing, smallholder farming, visual impairment, vaccine spoilage).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Concept Ranking (Prioritizing Patentability &amp; IP Opportunity):</w:t>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VibeGuard (OC-10):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Strongest overall IP prospect.</w:t>
      </w:r>
      <w:r w:rsidDel="00000000" w:rsidR="00000000" w:rsidRPr="00000000">
        <w:rPr>
          <w:rFonts w:ascii="Google Sans" w:cs="Google Sans" w:eastAsia="Google Sans" w:hAnsi="Google Sans"/>
          <w:color w:val="1f1f1f"/>
          <w:rtl w:val="0"/>
        </w:rPr>
        <w:t xml:space="preserve"> Offers the most definitive technical white space (single-node, edge-computed dynamic background isolation) coupled with the lowest obviousness risk. FTO is highly manageable provided the engineering design strictly avoids replicating prescriptive cloud-ML architectures.</w:t>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ColdTrace (OC-05):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Solid method-claim potential.</w:t>
      </w:r>
      <w:r w:rsidDel="00000000" w:rsidR="00000000" w:rsidRPr="00000000">
        <w:rPr>
          <w:rFonts w:ascii="Google Sans" w:cs="Google Sans" w:eastAsia="Google Sans" w:hAnsi="Google Sans"/>
          <w:color w:val="1f1f1f"/>
          <w:rtl w:val="0"/>
        </w:rPr>
        <w:t xml:space="preserve"> While physical data loggers are common, designing a synergistic, compound thermodynamic-kinetic degradation algorithm executed entirely on-node provides a distinct, highly protectable method claim with immense commercial viability in the pharmaceutical sector.</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TrueMoist (OC-15):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Viable only via an aggressive software pivot.</w:t>
      </w:r>
      <w:r w:rsidDel="00000000" w:rsidR="00000000" w:rsidRPr="00000000">
        <w:rPr>
          <w:rFonts w:ascii="Google Sans" w:cs="Google Sans" w:eastAsia="Google Sans" w:hAnsi="Google Sans"/>
          <w:color w:val="1f1f1f"/>
          <w:rtl w:val="0"/>
        </w:rPr>
        <w:t xml:space="preserve"> The physical sensor hardware landscape is entirely saturated. IP viability relies entirely on pivoting to advanced edge-AI/transfer learning algorithms to achieve calibration-free generalization across varying soil profiles.</w:t>
      </w:r>
    </w:p>
    <w:p w:rsidR="00000000" w:rsidDel="00000000" w:rsidP="00000000" w:rsidRDefault="00000000" w:rsidRPr="00000000" w14:paraId="000001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OpenBraille (OC-08):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High academic value, highly challenging IP path.</w:t>
      </w:r>
      <w:r w:rsidDel="00000000" w:rsidR="00000000" w:rsidRPr="00000000">
        <w:rPr>
          <w:rFonts w:ascii="Google Sans" w:cs="Google Sans" w:eastAsia="Google Sans" w:hAnsi="Google Sans"/>
          <w:color w:val="1f1f1f"/>
          <w:rtl w:val="0"/>
        </w:rPr>
        <w:t xml:space="preserve"> The shift to magnetic latching is heavily patented by aggressive incumbents (e.g., Dot Inc.). While it generates immense social value, securing defensible, non-infringing FTO for the physical actuator will require exceptional, unanticipated engineering novelty.</w:t>
      </w:r>
    </w:p>
    <w:p w:rsidR="00000000" w:rsidDel="00000000" w:rsidP="00000000" w:rsidRDefault="00000000" w:rsidRPr="00000000" w14:paraId="000001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TrustLatch (OC-21):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Unviable for Patent Generation.</w:t>
      </w:r>
      <w:r w:rsidDel="00000000" w:rsidR="00000000" w:rsidRPr="00000000">
        <w:rPr>
          <w:rFonts w:ascii="Google Sans" w:cs="Google Sans" w:eastAsia="Google Sans" w:hAnsi="Google Sans"/>
          <w:color w:val="1f1f1f"/>
          <w:rtl w:val="0"/>
        </w:rPr>
        <w:t xml:space="preserve"> The field of constrained MCU secure boot and OTA architectures is fundamentally saturated by massive silicon vendors and open-source standards. While highly valuable for skill-building, it presents the highest risk of yielding zero patentable white space and should not be pursued if intellectual property generation is the primary goal.</w:t>
      </w:r>
    </w:p>
    <w:p w:rsidR="00000000" w:rsidDel="00000000" w:rsidP="00000000" w:rsidRDefault="00000000" w:rsidRPr="00000000" w14:paraId="0000015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Phase1C_Concept_Synthesis.pdf</w:t>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US6743021B2 - Refreshable braille display system with a flexible surface - Google Patents, accessed on July 16, 2026, </w:t>
      </w:r>
      <w:hyperlink r:id="rId6">
        <w:r w:rsidDel="00000000" w:rsidR="00000000" w:rsidRPr="00000000">
          <w:rPr>
            <w:rFonts w:ascii="Google Sans" w:cs="Google Sans" w:eastAsia="Google Sans" w:hAnsi="Google Sans"/>
            <w:color w:val="0000ee"/>
            <w:sz w:val="24"/>
            <w:szCs w:val="24"/>
            <w:u w:val="single"/>
            <w:rtl w:val="0"/>
          </w:rPr>
          <w:t xml:space="preserve">https://patents.google.com/patent/US6743021B2/en</w:t>
        </w:r>
      </w:hyperlink>
      <w:r w:rsidDel="00000000" w:rsidR="00000000" w:rsidRPr="00000000">
        <w:rPr>
          <w:rtl w:val="0"/>
        </w:rPr>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US8770981B2 - Actuation mechanism for braille displays - Google Patents, accessed on July 16, 2026, </w:t>
      </w:r>
      <w:hyperlink r:id="rId7">
        <w:r w:rsidDel="00000000" w:rsidR="00000000" w:rsidRPr="00000000">
          <w:rPr>
            <w:rFonts w:ascii="Google Sans" w:cs="Google Sans" w:eastAsia="Google Sans" w:hAnsi="Google Sans"/>
            <w:color w:val="0000ee"/>
            <w:sz w:val="24"/>
            <w:szCs w:val="24"/>
            <w:u w:val="single"/>
            <w:rtl w:val="0"/>
          </w:rPr>
          <w:t xml:space="preserve">https://patents.google.com/patent/US8770981B2/en</w:t>
        </w:r>
      </w:hyperlink>
      <w:r w:rsidDel="00000000" w:rsidR="00000000" w:rsidRPr="00000000">
        <w:rPr>
          <w:rtl w:val="0"/>
        </w:rPr>
      </w:r>
    </w:p>
    <w:p w:rsidR="00000000" w:rsidDel="00000000" w:rsidP="00000000" w:rsidRDefault="00000000" w:rsidRPr="00000000" w14:paraId="000001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US20130203022A1 - Refreshable braille display - Google Patents, accessed on July 16, 2026, </w:t>
      </w:r>
      <w:hyperlink r:id="rId8">
        <w:r w:rsidDel="00000000" w:rsidR="00000000" w:rsidRPr="00000000">
          <w:rPr>
            <w:rFonts w:ascii="Google Sans" w:cs="Google Sans" w:eastAsia="Google Sans" w:hAnsi="Google Sans"/>
            <w:color w:val="0000ee"/>
            <w:sz w:val="24"/>
            <w:szCs w:val="24"/>
            <w:u w:val="single"/>
            <w:rtl w:val="0"/>
          </w:rPr>
          <w:t xml:space="preserve">https://patents.google.com/patent/US20130203022A1/en</w:t>
        </w:r>
      </w:hyperlink>
      <w:r w:rsidDel="00000000" w:rsidR="00000000" w:rsidRPr="00000000">
        <w:rPr>
          <w:rtl w:val="0"/>
        </w:rPr>
      </w:r>
    </w:p>
    <w:p w:rsidR="00000000" w:rsidDel="00000000" w:rsidP="00000000" w:rsidRDefault="00000000" w:rsidRPr="00000000" w14:paraId="000001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WO2015189863A2 - A compliant mechanism for refreshable braille display using shape memory alloy - Google Patents, accessed on July 16, 2026, </w:t>
      </w:r>
      <w:hyperlink r:id="rId9">
        <w:r w:rsidDel="00000000" w:rsidR="00000000" w:rsidRPr="00000000">
          <w:rPr>
            <w:rFonts w:ascii="Google Sans" w:cs="Google Sans" w:eastAsia="Google Sans" w:hAnsi="Google Sans"/>
            <w:color w:val="0000ee"/>
            <w:sz w:val="24"/>
            <w:szCs w:val="24"/>
            <w:u w:val="single"/>
            <w:rtl w:val="0"/>
          </w:rPr>
          <w:t xml:space="preserve">https://patents.google.com/patent/WO2015189863A2/en</w:t>
        </w:r>
      </w:hyperlink>
      <w:r w:rsidDel="00000000" w:rsidR="00000000" w:rsidRPr="00000000">
        <w:rPr>
          <w:rtl w:val="0"/>
        </w:rPr>
      </w:r>
    </w:p>
    <w:p w:rsidR="00000000" w:rsidDel="00000000" w:rsidP="00000000" w:rsidRDefault="00000000" w:rsidRPr="00000000" w14:paraId="000001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DETC2013-13159 - Soundability Lab, accessed on July 16, 2026, </w:t>
      </w:r>
      <w:hyperlink r:id="rId10">
        <w:r w:rsidDel="00000000" w:rsidR="00000000" w:rsidRPr="00000000">
          <w:rPr>
            <w:rFonts w:ascii="Google Sans" w:cs="Google Sans" w:eastAsia="Google Sans" w:hAnsi="Google Sans"/>
            <w:color w:val="0000ee"/>
            <w:sz w:val="24"/>
            <w:szCs w:val="24"/>
            <w:u w:val="single"/>
            <w:rtl w:val="0"/>
          </w:rPr>
          <w:t xml:space="preserve">https://soundability.eecs.umich.edu/img/portfolio/Jain_Tacread_MESA2013.pdf</w:t>
        </w:r>
      </w:hyperlink>
      <w:r w:rsidDel="00000000" w:rsidR="00000000" w:rsidRPr="00000000">
        <w:rPr>
          <w:rtl w:val="0"/>
        </w:rPr>
      </w:r>
    </w:p>
    <w:p w:rsidR="00000000" w:rsidDel="00000000" w:rsidP="00000000" w:rsidRDefault="00000000" w:rsidRPr="00000000" w14:paraId="000001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CA3120784A1 - Electro magnetic refreshable braille reader - Google Patents, accessed on July 16, 2026, </w:t>
      </w:r>
      <w:hyperlink r:id="rId11">
        <w:r w:rsidDel="00000000" w:rsidR="00000000" w:rsidRPr="00000000">
          <w:rPr>
            <w:rFonts w:ascii="Google Sans" w:cs="Google Sans" w:eastAsia="Google Sans" w:hAnsi="Google Sans"/>
            <w:color w:val="0000ee"/>
            <w:sz w:val="24"/>
            <w:szCs w:val="24"/>
            <w:u w:val="single"/>
            <w:rtl w:val="0"/>
          </w:rPr>
          <w:t xml:space="preserve">https://patents.google.com/patent/CA3120784A1/en</w:t>
        </w:r>
      </w:hyperlink>
      <w:r w:rsidDel="00000000" w:rsidR="00000000" w:rsidRPr="00000000">
        <w:rPr>
          <w:rtl w:val="0"/>
        </w:rPr>
      </w:r>
    </w:p>
    <w:p w:rsidR="00000000" w:rsidDel="00000000" w:rsidP="00000000" w:rsidRDefault="00000000" w:rsidRPr="00000000" w14:paraId="000001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US11854423B1 - Refreshable braille display - Google Patents, accessed on July 16, 2026, </w:t>
      </w:r>
      <w:hyperlink r:id="rId12">
        <w:r w:rsidDel="00000000" w:rsidR="00000000" w:rsidRPr="00000000">
          <w:rPr>
            <w:rFonts w:ascii="Google Sans" w:cs="Google Sans" w:eastAsia="Google Sans" w:hAnsi="Google Sans"/>
            <w:color w:val="0000ee"/>
            <w:sz w:val="24"/>
            <w:szCs w:val="24"/>
            <w:u w:val="single"/>
            <w:rtl w:val="0"/>
          </w:rPr>
          <w:t xml:space="preserve">https://patents.google.com/patent/US11854423B1/en</w:t>
        </w:r>
      </w:hyperlink>
      <w:r w:rsidDel="00000000" w:rsidR="00000000" w:rsidRPr="00000000">
        <w:rPr>
          <w:rtl w:val="0"/>
        </w:rPr>
      </w:r>
    </w:p>
    <w:p w:rsidR="00000000" w:rsidDel="00000000" w:rsidP="00000000" w:rsidRDefault="00000000" w:rsidRPr="00000000" w14:paraId="000001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Tactile pixels - EP4049116A1 - Google Patents, accessed on July 16, 2026, </w:t>
      </w:r>
      <w:hyperlink r:id="rId13">
        <w:r w:rsidDel="00000000" w:rsidR="00000000" w:rsidRPr="00000000">
          <w:rPr>
            <w:rFonts w:ascii="Google Sans" w:cs="Google Sans" w:eastAsia="Google Sans" w:hAnsi="Google Sans"/>
            <w:color w:val="0000ee"/>
            <w:sz w:val="24"/>
            <w:szCs w:val="24"/>
            <w:u w:val="single"/>
            <w:rtl w:val="0"/>
          </w:rPr>
          <w:t xml:space="preserve">https://patents.google.com/patent/EP4049116A1/en</w:t>
        </w:r>
      </w:hyperlink>
      <w:r w:rsidDel="00000000" w:rsidR="00000000" w:rsidRPr="00000000">
        <w:rPr>
          <w:rtl w:val="0"/>
        </w:rPr>
      </w:r>
    </w:p>
    <w:p w:rsidR="00000000" w:rsidDel="00000000" w:rsidP="00000000" w:rsidRDefault="00000000" w:rsidRPr="00000000" w14:paraId="000001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Dot Incorporation | Korean-Electronics.com, accessed on July 16, 2026, </w:t>
      </w:r>
      <w:hyperlink r:id="rId14">
        <w:r w:rsidDel="00000000" w:rsidR="00000000" w:rsidRPr="00000000">
          <w:rPr>
            <w:rFonts w:ascii="Google Sans" w:cs="Google Sans" w:eastAsia="Google Sans" w:hAnsi="Google Sans"/>
            <w:color w:val="0000ee"/>
            <w:sz w:val="24"/>
            <w:szCs w:val="24"/>
            <w:u w:val="single"/>
            <w:rtl w:val="0"/>
          </w:rPr>
          <w:t xml:space="preserve">https://korean-electronics.com/tag/dot-incorporation/</w:t>
        </w:r>
      </w:hyperlink>
      <w:r w:rsidDel="00000000" w:rsidR="00000000" w:rsidRPr="00000000">
        <w:rPr>
          <w:rtl w:val="0"/>
        </w:rPr>
      </w:r>
    </w:p>
    <w:p w:rsidR="00000000" w:rsidDel="00000000" w:rsidP="00000000" w:rsidRDefault="00000000" w:rsidRPr="00000000" w14:paraId="000001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Innovative Dot Pad from South Korea Makes Images Touchable for the Visually Impaired, accessed on July 16, 2026, </w:t>
      </w:r>
      <w:hyperlink r:id="rId15">
        <w:r w:rsidDel="00000000" w:rsidR="00000000" w:rsidRPr="00000000">
          <w:rPr>
            <w:rFonts w:ascii="Google Sans" w:cs="Google Sans" w:eastAsia="Google Sans" w:hAnsi="Google Sans"/>
            <w:color w:val="0000ee"/>
            <w:sz w:val="24"/>
            <w:szCs w:val="24"/>
            <w:u w:val="single"/>
            <w:rtl w:val="0"/>
          </w:rPr>
          <w:t xml:space="preserve">https://www.brandinginasia.com/innovative-dot-pad-from-south-korea-makes-images-touchable-for-the-visually-impaired/</w:t>
        </w:r>
      </w:hyperlink>
      <w:r w:rsidDel="00000000" w:rsidR="00000000" w:rsidRPr="00000000">
        <w:rPr>
          <w:rtl w:val="0"/>
        </w:rPr>
      </w:r>
    </w:p>
    <w:p w:rsidR="00000000" w:rsidDel="00000000" w:rsidP="00000000" w:rsidRDefault="00000000" w:rsidRPr="00000000" w14:paraId="000001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People with vision impairments: The Dot Pad bridges the information gap - Rehacare, accessed on July 16, 2026, </w:t>
      </w:r>
      <w:hyperlink r:id="rId16">
        <w:r w:rsidDel="00000000" w:rsidR="00000000" w:rsidRPr="00000000">
          <w:rPr>
            <w:rFonts w:ascii="Google Sans" w:cs="Google Sans" w:eastAsia="Google Sans" w:hAnsi="Google Sans"/>
            <w:color w:val="0000ee"/>
            <w:sz w:val="24"/>
            <w:szCs w:val="24"/>
            <w:u w:val="single"/>
            <w:rtl w:val="0"/>
          </w:rPr>
          <w:t xml:space="preserve">https://www.rehacare.com/en/media-news/emag/lifestyle/dot-pad-vision-impairment</w:t>
        </w:r>
      </w:hyperlink>
      <w:r w:rsidDel="00000000" w:rsidR="00000000" w:rsidRPr="00000000">
        <w:rPr>
          <w:rtl w:val="0"/>
        </w:rPr>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Orbit Research and the Transforming Braille Group Introduce the World's Most Affordable Refreshable Braille Display, accessed on July 16, 2026, </w:t>
      </w:r>
      <w:hyperlink r:id="rId17">
        <w:r w:rsidDel="00000000" w:rsidR="00000000" w:rsidRPr="00000000">
          <w:rPr>
            <w:rFonts w:ascii="Google Sans" w:cs="Google Sans" w:eastAsia="Google Sans" w:hAnsi="Google Sans"/>
            <w:color w:val="0000ee"/>
            <w:sz w:val="24"/>
            <w:szCs w:val="24"/>
            <w:u w:val="single"/>
            <w:rtl w:val="0"/>
          </w:rPr>
          <w:t xml:space="preserve">https://www.orbitresearch.com/orbit-research-and-the-transforming-braille-group-introduce-the-worlds-most-affordable-refreshable-braille-display/</w:t>
        </w:r>
      </w:hyperlink>
      <w:r w:rsidDel="00000000" w:rsidR="00000000" w:rsidRPr="00000000">
        <w:rPr>
          <w:rtl w:val="0"/>
        </w:rPr>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Graphiti Plus® - Interactive Tactile Graphics and Braille Computer - Orbit Research, accessed on July 16, 2026, </w:t>
      </w:r>
      <w:hyperlink r:id="rId18">
        <w:r w:rsidDel="00000000" w:rsidR="00000000" w:rsidRPr="00000000">
          <w:rPr>
            <w:rFonts w:ascii="Google Sans" w:cs="Google Sans" w:eastAsia="Google Sans" w:hAnsi="Google Sans"/>
            <w:color w:val="0000ee"/>
            <w:sz w:val="24"/>
            <w:szCs w:val="24"/>
            <w:u w:val="single"/>
            <w:rtl w:val="0"/>
          </w:rPr>
          <w:t xml:space="preserve">https://www.orbitresearch.com/products/blindness-products/tactile-graphic-displays/graphiti-plus-interactive-tactile-graphics-and-braille-computer/</w:t>
        </w:r>
      </w:hyperlink>
      <w:r w:rsidDel="00000000" w:rsidR="00000000" w:rsidRPr="00000000">
        <w:rPr>
          <w:rtl w:val="0"/>
        </w:rPr>
      </w:r>
    </w:p>
    <w:p w:rsidR="00000000" w:rsidDel="00000000" w:rsidP="00000000" w:rsidRDefault="00000000" w:rsidRPr="00000000" w14:paraId="000001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Orbit Research Introduces the Graphiti Plus Interactive Tactile Graphic and Braille Display, accessed on July 16, 2026, </w:t>
      </w:r>
      <w:hyperlink r:id="rId19">
        <w:r w:rsidDel="00000000" w:rsidR="00000000" w:rsidRPr="00000000">
          <w:rPr>
            <w:rFonts w:ascii="Google Sans" w:cs="Google Sans" w:eastAsia="Google Sans" w:hAnsi="Google Sans"/>
            <w:color w:val="0000ee"/>
            <w:sz w:val="24"/>
            <w:szCs w:val="24"/>
            <w:u w:val="single"/>
            <w:rtl w:val="0"/>
          </w:rPr>
          <w:t xml:space="preserve">https://www.orbitresearch.com/orbit-research-introduces-the-graphiti-plus-interactive-tactile-graphic-and-braille-display/</w:t>
        </w:r>
      </w:hyperlink>
      <w:r w:rsidDel="00000000" w:rsidR="00000000" w:rsidRPr="00000000">
        <w:rPr>
          <w:rtl w:val="0"/>
        </w:rPr>
      </w:r>
    </w:p>
    <w:p w:rsidR="00000000" w:rsidDel="00000000" w:rsidP="00000000" w:rsidRDefault="00000000" w:rsidRPr="00000000" w14:paraId="000001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BrailleMe - MIT Solve, accessed on July 16, 2026, </w:t>
      </w:r>
      <w:hyperlink r:id="rId20">
        <w:r w:rsidDel="00000000" w:rsidR="00000000" w:rsidRPr="00000000">
          <w:rPr>
            <w:rFonts w:ascii="Google Sans" w:cs="Google Sans" w:eastAsia="Google Sans" w:hAnsi="Google Sans"/>
            <w:color w:val="0000ee"/>
            <w:sz w:val="24"/>
            <w:szCs w:val="24"/>
            <w:u w:val="single"/>
            <w:rtl w:val="0"/>
          </w:rPr>
          <w:t xml:space="preserve">https://solve.mit.edu/challenges/community-driven-innovation/solutions/10672</w:t>
        </w:r>
      </w:hyperlink>
      <w:r w:rsidDel="00000000" w:rsidR="00000000" w:rsidRPr="00000000">
        <w:rPr>
          <w:rtl w:val="0"/>
        </w:rPr>
      </w:r>
    </w:p>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Shyam Shah &amp; Surabhi Srivastava – Team Innovision Revolutionizes Smart Braille Displays With BrailleMe - KnowYourStar.com, accessed on July 16, 2026, </w:t>
      </w:r>
      <w:hyperlink r:id="rId21">
        <w:r w:rsidDel="00000000" w:rsidR="00000000" w:rsidRPr="00000000">
          <w:rPr>
            <w:rFonts w:ascii="Google Sans" w:cs="Google Sans" w:eastAsia="Google Sans" w:hAnsi="Google Sans"/>
            <w:color w:val="0000ee"/>
            <w:sz w:val="24"/>
            <w:szCs w:val="24"/>
            <w:u w:val="single"/>
            <w:rtl w:val="0"/>
          </w:rPr>
          <w:t xml:space="preserve">https://www.knowyourstar.com/team-innovision-brailleme/</w:t>
        </w:r>
      </w:hyperlink>
      <w:r w:rsidDel="00000000" w:rsidR="00000000" w:rsidRPr="00000000">
        <w:rPr>
          <w:rtl w:val="0"/>
        </w:rPr>
      </w:r>
    </w:p>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Braille Displays Market Size &amp; Forecast 2026–2034 - For Insights Consultancy, accessed on July 16, 2026, </w:t>
      </w:r>
      <w:hyperlink r:id="rId22">
        <w:r w:rsidDel="00000000" w:rsidR="00000000" w:rsidRPr="00000000">
          <w:rPr>
            <w:rFonts w:ascii="Google Sans" w:cs="Google Sans" w:eastAsia="Google Sans" w:hAnsi="Google Sans"/>
            <w:color w:val="0000ee"/>
            <w:sz w:val="24"/>
            <w:szCs w:val="24"/>
            <w:u w:val="single"/>
            <w:rtl w:val="0"/>
          </w:rPr>
          <w:t xml:space="preserve">https://www.forinsightsconsultancy.com/reports/digital-braille-displays-market</w:t>
        </w:r>
      </w:hyperlink>
      <w:r w:rsidDel="00000000" w:rsidR="00000000" w:rsidRPr="00000000">
        <w:rPr>
          <w:rtl w:val="0"/>
        </w:rPr>
      </w:r>
    </w:p>
    <w:p w:rsidR="00000000" w:rsidDel="00000000" w:rsidP="00000000" w:rsidRDefault="00000000" w:rsidRPr="00000000" w14:paraId="000001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Dot Inc. | Tactile Braille Displays and Breaking Barriers with Technology, accessed on July 16, 2026, </w:t>
      </w:r>
      <w:hyperlink r:id="rId23">
        <w:r w:rsidDel="00000000" w:rsidR="00000000" w:rsidRPr="00000000">
          <w:rPr>
            <w:rFonts w:ascii="Google Sans" w:cs="Google Sans" w:eastAsia="Google Sans" w:hAnsi="Google Sans"/>
            <w:color w:val="0000ee"/>
            <w:sz w:val="24"/>
            <w:szCs w:val="24"/>
            <w:u w:val="single"/>
            <w:rtl w:val="0"/>
          </w:rPr>
          <w:t xml:space="preserve">https://www.dotincorp.com/en/news/95</w:t>
        </w:r>
      </w:hyperlink>
      <w:r w:rsidDel="00000000" w:rsidR="00000000" w:rsidRPr="00000000">
        <w:rPr>
          <w:rtl w:val="0"/>
        </w:rPr>
      </w:r>
    </w:p>
    <w:p w:rsidR="00000000" w:rsidDel="00000000" w:rsidP="00000000" w:rsidRDefault="00000000" w:rsidRPr="00000000" w14:paraId="000001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refresh braille display device - GoVeda, accessed on July 16, 2026, </w:t>
      </w:r>
      <w:hyperlink r:id="rId24">
        <w:r w:rsidDel="00000000" w:rsidR="00000000" w:rsidRPr="00000000">
          <w:rPr>
            <w:rFonts w:ascii="Google Sans" w:cs="Google Sans" w:eastAsia="Google Sans" w:hAnsi="Google Sans"/>
            <w:color w:val="0000ee"/>
            <w:sz w:val="24"/>
            <w:szCs w:val="24"/>
            <w:u w:val="single"/>
            <w:rtl w:val="0"/>
          </w:rPr>
          <w:t xml:space="preserve">https://www.goveda.com/patent/CN-116612680-A</w:t>
        </w:r>
      </w:hyperlink>
      <w:r w:rsidDel="00000000" w:rsidR="00000000" w:rsidRPr="00000000">
        <w:rPr>
          <w:rtl w:val="0"/>
        </w:rPr>
      </w:r>
    </w:p>
    <w:p w:rsidR="00000000" w:rsidDel="00000000" w:rsidP="00000000" w:rsidRDefault="00000000" w:rsidRPr="00000000" w14:paraId="000001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US10254499B1 - Additive manufacturing of active devices using dielectric, conductive and magnetic materials - Google Patents, accessed on July 16, 2026, </w:t>
      </w:r>
      <w:hyperlink r:id="rId25">
        <w:r w:rsidDel="00000000" w:rsidR="00000000" w:rsidRPr="00000000">
          <w:rPr>
            <w:rFonts w:ascii="Google Sans" w:cs="Google Sans" w:eastAsia="Google Sans" w:hAnsi="Google Sans"/>
            <w:color w:val="0000ee"/>
            <w:sz w:val="24"/>
            <w:szCs w:val="24"/>
            <w:u w:val="single"/>
            <w:rtl w:val="0"/>
          </w:rPr>
          <w:t xml:space="preserve">https://patents.google.com/patent/US10254499B1/en</w:t>
        </w:r>
      </w:hyperlink>
      <w:r w:rsidDel="00000000" w:rsidR="00000000" w:rsidRPr="00000000">
        <w:rPr>
          <w:rtl w:val="0"/>
        </w:rPr>
      </w:r>
    </w:p>
    <w:p w:rsidR="00000000" w:rsidDel="00000000" w:rsidP="00000000" w:rsidRDefault="00000000" w:rsidRPr="00000000" w14:paraId="000001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 fusion predictive maintenance patents 2025 - Patsnap, accessed on July 16, 2026, </w:t>
      </w:r>
      <w:hyperlink r:id="rId26">
        <w:r w:rsidDel="00000000" w:rsidR="00000000" w:rsidRPr="00000000">
          <w:rPr>
            <w:rFonts w:ascii="Google Sans" w:cs="Google Sans" w:eastAsia="Google Sans" w:hAnsi="Google Sans"/>
            <w:color w:val="0000ee"/>
            <w:sz w:val="24"/>
            <w:szCs w:val="24"/>
            <w:u w:val="single"/>
            <w:rtl w:val="0"/>
          </w:rPr>
          <w:t xml:space="preserve">https://www.patsnap.com/resources/blog/articles/sensor-fusion-predictive-maintenance-patents-2025/</w:t>
        </w:r>
      </w:hyperlink>
      <w:r w:rsidDel="00000000" w:rsidR="00000000" w:rsidRPr="00000000">
        <w:rPr>
          <w:rtl w:val="0"/>
        </w:rPr>
      </w:r>
    </w:p>
    <w:p w:rsidR="00000000" w:rsidDel="00000000" w:rsidP="00000000" w:rsidRDefault="00000000" w:rsidRPr="00000000" w14:paraId="000001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US6370957B1 - Vibration analysis for predictive maintenance of rotating machines - Google Patents, accessed on July 16, 2026, </w:t>
      </w:r>
      <w:hyperlink r:id="rId27">
        <w:r w:rsidDel="00000000" w:rsidR="00000000" w:rsidRPr="00000000">
          <w:rPr>
            <w:rFonts w:ascii="Google Sans" w:cs="Google Sans" w:eastAsia="Google Sans" w:hAnsi="Google Sans"/>
            <w:color w:val="0000ee"/>
            <w:sz w:val="24"/>
            <w:szCs w:val="24"/>
            <w:u w:val="single"/>
            <w:rtl w:val="0"/>
          </w:rPr>
          <w:t xml:space="preserve">https://patents.google.com/patent/US6370957B1/en</w:t>
        </w:r>
      </w:hyperlink>
      <w:r w:rsidDel="00000000" w:rsidR="00000000" w:rsidRPr="00000000">
        <w:rPr>
          <w:rtl w:val="0"/>
        </w:rPr>
      </w:r>
    </w:p>
    <w:p w:rsidR="00000000" w:rsidDel="00000000" w:rsidP="00000000" w:rsidRDefault="00000000" w:rsidRPr="00000000" w14:paraId="000001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EP4320493A2 - Predictive maintenance of industrial equipment - Google Patents, accessed on July 16, 2026, </w:t>
      </w:r>
      <w:hyperlink r:id="rId28">
        <w:r w:rsidDel="00000000" w:rsidR="00000000" w:rsidRPr="00000000">
          <w:rPr>
            <w:rFonts w:ascii="Google Sans" w:cs="Google Sans" w:eastAsia="Google Sans" w:hAnsi="Google Sans"/>
            <w:color w:val="0000ee"/>
            <w:sz w:val="24"/>
            <w:szCs w:val="24"/>
            <w:u w:val="single"/>
            <w:rtl w:val="0"/>
          </w:rPr>
          <w:t xml:space="preserve">https://patents.google.com/patent/EP4320493A2/en</w:t>
        </w:r>
      </w:hyperlink>
      <w:r w:rsidDel="00000000" w:rsidR="00000000" w:rsidRPr="00000000">
        <w:rPr>
          <w:rtl w:val="0"/>
        </w:rPr>
      </w:r>
    </w:p>
    <w:p w:rsidR="00000000" w:rsidDel="00000000" w:rsidP="00000000" w:rsidRDefault="00000000" w:rsidRPr="00000000" w14:paraId="000001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US20210049444A1 - Predictive maintenance of automotive engines - Google Patents, accessed on July 16, 2026, </w:t>
      </w:r>
      <w:hyperlink r:id="rId29">
        <w:r w:rsidDel="00000000" w:rsidR="00000000" w:rsidRPr="00000000">
          <w:rPr>
            <w:rFonts w:ascii="Google Sans" w:cs="Google Sans" w:eastAsia="Google Sans" w:hAnsi="Google Sans"/>
            <w:color w:val="0000ee"/>
            <w:sz w:val="24"/>
            <w:szCs w:val="24"/>
            <w:u w:val="single"/>
            <w:rtl w:val="0"/>
          </w:rPr>
          <w:t xml:space="preserve">https://patents.google.com/patent/US20210049444A1/en</w:t>
        </w:r>
      </w:hyperlink>
      <w:r w:rsidDel="00000000" w:rsidR="00000000" w:rsidRPr="00000000">
        <w:rPr>
          <w:rtl w:val="0"/>
        </w:rPr>
      </w:r>
    </w:p>
    <w:p w:rsidR="00000000" w:rsidDel="00000000" w:rsidP="00000000" w:rsidRDefault="00000000" w:rsidRPr="00000000" w14:paraId="000001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Tractian Announces New Patent on Fault Detection Technology, accessed on July 16, 2026, </w:t>
      </w:r>
      <w:hyperlink r:id="rId30">
        <w:r w:rsidDel="00000000" w:rsidR="00000000" w:rsidRPr="00000000">
          <w:rPr>
            <w:rFonts w:ascii="Google Sans" w:cs="Google Sans" w:eastAsia="Google Sans" w:hAnsi="Google Sans"/>
            <w:color w:val="0000ee"/>
            <w:sz w:val="24"/>
            <w:szCs w:val="24"/>
            <w:u w:val="single"/>
            <w:rtl w:val="0"/>
          </w:rPr>
          <w:t xml:space="preserve">https://tractian.com/en/blog/patent-fault-detection-industry-technology-uspto</w:t>
        </w:r>
      </w:hyperlink>
      <w:r w:rsidDel="00000000" w:rsidR="00000000" w:rsidRPr="00000000">
        <w:rPr>
          <w:rtl w:val="0"/>
        </w:rPr>
      </w:r>
    </w:p>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Mechanical Vibrations and Their Role in Asset Monitoring - Tractian, accessed on July 16, 2026, </w:t>
      </w:r>
      <w:hyperlink r:id="rId31">
        <w:r w:rsidDel="00000000" w:rsidR="00000000" w:rsidRPr="00000000">
          <w:rPr>
            <w:rFonts w:ascii="Google Sans" w:cs="Google Sans" w:eastAsia="Google Sans" w:hAnsi="Google Sans"/>
            <w:color w:val="0000ee"/>
            <w:sz w:val="24"/>
            <w:szCs w:val="24"/>
            <w:u w:val="single"/>
            <w:rtl w:val="0"/>
          </w:rPr>
          <w:t xml:space="preserve">https://tractian.com/en/blog/mechanical-vibrations-in-asset-monitoring</w:t>
        </w:r>
      </w:hyperlink>
      <w:r w:rsidDel="00000000" w:rsidR="00000000" w:rsidRPr="00000000">
        <w:rPr>
          <w:rtl w:val="0"/>
        </w:rPr>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Assets Can Tractian Monitor?, accessed on July 16, 2026, </w:t>
      </w:r>
      <w:hyperlink r:id="rId32">
        <w:r w:rsidDel="00000000" w:rsidR="00000000" w:rsidRPr="00000000">
          <w:rPr>
            <w:rFonts w:ascii="Google Sans" w:cs="Google Sans" w:eastAsia="Google Sans" w:hAnsi="Google Sans"/>
            <w:color w:val="0000ee"/>
            <w:sz w:val="24"/>
            <w:szCs w:val="24"/>
            <w:u w:val="single"/>
            <w:rtl w:val="0"/>
          </w:rPr>
          <w:t xml:space="preserve">https://tractian.com/en/blog/tractian-which-assets-does-the-sensor-monitor</w:t>
        </w:r>
      </w:hyperlink>
      <w:r w:rsidDel="00000000" w:rsidR="00000000" w:rsidRPr="00000000">
        <w:rPr>
          <w:rtl w:val="0"/>
        </w:rPr>
      </w:r>
    </w:p>
    <w:p w:rsidR="00000000" w:rsidDel="00000000" w:rsidP="00000000" w:rsidRDefault="00000000" w:rsidRPr="00000000" w14:paraId="000001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Competitive Landscape of Augury Company? - Business Model Canvas Templates, accessed on July 16, 2026, </w:t>
      </w:r>
      <w:hyperlink r:id="rId33">
        <w:r w:rsidDel="00000000" w:rsidR="00000000" w:rsidRPr="00000000">
          <w:rPr>
            <w:rFonts w:ascii="Google Sans" w:cs="Google Sans" w:eastAsia="Google Sans" w:hAnsi="Google Sans"/>
            <w:color w:val="0000ee"/>
            <w:sz w:val="24"/>
            <w:szCs w:val="24"/>
            <w:u w:val="single"/>
            <w:rtl w:val="0"/>
          </w:rPr>
          <w:t xml:space="preserve">https://businessmodelcanvastemplate.com/blogs/competitors/augury-competitive-landscape</w:t>
        </w:r>
      </w:hyperlink>
      <w:r w:rsidDel="00000000" w:rsidR="00000000" w:rsidRPr="00000000">
        <w:rPr>
          <w:rtl w:val="0"/>
        </w:rPr>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Shoreline AI, accessed on July 16, 2026, </w:t>
      </w:r>
      <w:hyperlink r:id="rId34">
        <w:r w:rsidDel="00000000" w:rsidR="00000000" w:rsidRPr="00000000">
          <w:rPr>
            <w:rFonts w:ascii="Google Sans" w:cs="Google Sans" w:eastAsia="Google Sans" w:hAnsi="Google Sans"/>
            <w:color w:val="0000ee"/>
            <w:sz w:val="24"/>
            <w:szCs w:val="24"/>
            <w:u w:val="single"/>
            <w:rtl w:val="0"/>
          </w:rPr>
          <w:t xml:space="preserve">https://shorelineai.us/faq/</w:t>
        </w:r>
      </w:hyperlink>
      <w:r w:rsidDel="00000000" w:rsidR="00000000" w:rsidRPr="00000000">
        <w:rPr>
          <w:rtl w:val="0"/>
        </w:rPr>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Engineering, Production and Maintenance | Manufacturers Alliance, accessed on July 16, 2026, </w:t>
      </w:r>
      <w:hyperlink r:id="rId35">
        <w:r w:rsidDel="00000000" w:rsidR="00000000" w:rsidRPr="00000000">
          <w:rPr>
            <w:rFonts w:ascii="Google Sans" w:cs="Google Sans" w:eastAsia="Google Sans" w:hAnsi="Google Sans"/>
            <w:color w:val="0000ee"/>
            <w:sz w:val="24"/>
            <w:szCs w:val="24"/>
            <w:u w:val="single"/>
            <w:rtl w:val="0"/>
          </w:rPr>
          <w:t xml:space="preserve">https://www.manufacturersalliance.org/research-insights/design-engineering-production-and-maintenance</w:t>
        </w:r>
      </w:hyperlink>
      <w:r w:rsidDel="00000000" w:rsidR="00000000" w:rsidRPr="00000000">
        <w:rPr>
          <w:rtl w:val="0"/>
        </w:rPr>
      </w:r>
    </w:p>
    <w:p w:rsidR="00000000" w:rsidDel="00000000" w:rsidP="00000000" w:rsidRDefault="00000000" w:rsidRPr="00000000" w14:paraId="000001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Predictive Maintenance Software | Tractian, accessed on July 16, 2026, </w:t>
      </w:r>
      <w:hyperlink r:id="rId36">
        <w:r w:rsidDel="00000000" w:rsidR="00000000" w:rsidRPr="00000000">
          <w:rPr>
            <w:rFonts w:ascii="Google Sans" w:cs="Google Sans" w:eastAsia="Google Sans" w:hAnsi="Google Sans"/>
            <w:color w:val="0000ee"/>
            <w:sz w:val="24"/>
            <w:szCs w:val="24"/>
            <w:u w:val="single"/>
            <w:rtl w:val="0"/>
          </w:rPr>
          <w:t xml:space="preserve">https://tractian.com/en/blog/best-ai-predictive-maintenance-software</w:t>
        </w:r>
      </w:hyperlink>
      <w:r w:rsidDel="00000000" w:rsidR="00000000" w:rsidRPr="00000000">
        <w:rPr>
          <w:rtl w:val="0"/>
        </w:rPr>
      </w:r>
    </w:p>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maintenance system - US5963884A - Google Patents, accessed on July 16, 2026, </w:t>
      </w:r>
      <w:hyperlink r:id="rId37">
        <w:r w:rsidDel="00000000" w:rsidR="00000000" w:rsidRPr="00000000">
          <w:rPr>
            <w:rFonts w:ascii="Google Sans" w:cs="Google Sans" w:eastAsia="Google Sans" w:hAnsi="Google Sans"/>
            <w:color w:val="0000ee"/>
            <w:sz w:val="24"/>
            <w:szCs w:val="24"/>
            <w:u w:val="single"/>
            <w:rtl w:val="0"/>
          </w:rPr>
          <w:t xml:space="preserve">https://patents.google.com/patent/US5963884A/en</w:t>
        </w:r>
      </w:hyperlink>
      <w:r w:rsidDel="00000000" w:rsidR="00000000" w:rsidRPr="00000000">
        <w:rPr>
          <w:rtl w:val="0"/>
        </w:rPr>
      </w:r>
    </w:p>
    <w:p w:rsidR="00000000" w:rsidDel="00000000" w:rsidP="00000000" w:rsidRDefault="00000000" w:rsidRPr="00000000" w14:paraId="000001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EP1080347A1 - Diagnostic vibration data collector and analyzer - Google Patents, accessed on July 16, 2026, </w:t>
      </w:r>
      <w:hyperlink r:id="rId38">
        <w:r w:rsidDel="00000000" w:rsidR="00000000" w:rsidRPr="00000000">
          <w:rPr>
            <w:rFonts w:ascii="Google Sans" w:cs="Google Sans" w:eastAsia="Google Sans" w:hAnsi="Google Sans"/>
            <w:color w:val="0000ee"/>
            <w:sz w:val="24"/>
            <w:szCs w:val="24"/>
            <w:u w:val="single"/>
            <w:rtl w:val="0"/>
          </w:rPr>
          <w:t xml:space="preserve">https://patents.google.com/patent/EP1080347A1/en</w:t>
        </w:r>
      </w:hyperlink>
      <w:r w:rsidDel="00000000" w:rsidR="00000000" w:rsidRPr="00000000">
        <w:rPr>
          <w:rtl w:val="0"/>
        </w:rPr>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US10991381B2 - System and method for machine learning predictive maintenance through auditory detection on natural gas compressors - Google Patents, accessed on July 16, 2026, </w:t>
      </w:r>
      <w:hyperlink r:id="rId39">
        <w:r w:rsidDel="00000000" w:rsidR="00000000" w:rsidRPr="00000000">
          <w:rPr>
            <w:rFonts w:ascii="Google Sans" w:cs="Google Sans" w:eastAsia="Google Sans" w:hAnsi="Google Sans"/>
            <w:color w:val="0000ee"/>
            <w:sz w:val="24"/>
            <w:szCs w:val="24"/>
            <w:u w:val="single"/>
            <w:rtl w:val="0"/>
          </w:rPr>
          <w:t xml:space="preserve">https://patents.google.com/patent/US10991381B2/en</w:t>
        </w:r>
      </w:hyperlink>
      <w:r w:rsidDel="00000000" w:rsidR="00000000" w:rsidRPr="00000000">
        <w:rPr>
          <w:rtl w:val="0"/>
        </w:rPr>
      </w:r>
    </w:p>
    <w:p w:rsidR="00000000" w:rsidDel="00000000" w:rsidP="00000000" w:rsidRDefault="00000000" w:rsidRPr="00000000" w14:paraId="000001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maintenance of industrial equipment - Justia Patents, accessed on July 16, 2026, </w:t>
      </w:r>
      <w:hyperlink r:id="rId40">
        <w:r w:rsidDel="00000000" w:rsidR="00000000" w:rsidRPr="00000000">
          <w:rPr>
            <w:rFonts w:ascii="Google Sans" w:cs="Google Sans" w:eastAsia="Google Sans" w:hAnsi="Google Sans"/>
            <w:color w:val="0000ee"/>
            <w:sz w:val="24"/>
            <w:szCs w:val="24"/>
            <w:u w:val="single"/>
            <w:rtl w:val="0"/>
          </w:rPr>
          <w:t xml:space="preserve">https://patents.justia.com/patent/20240184282</w:t>
        </w:r>
      </w:hyperlink>
      <w:r w:rsidDel="00000000" w:rsidR="00000000" w:rsidRPr="00000000">
        <w:rPr>
          <w:rtl w:val="0"/>
        </w:rPr>
      </w:r>
    </w:p>
    <w:p w:rsidR="00000000" w:rsidDel="00000000" w:rsidP="00000000" w:rsidRDefault="00000000" w:rsidRPr="00000000" w14:paraId="000001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Raj RAKSHIT Inventions, Patents and Patent Applications - Justia Patents Search, accessed on July 16, 2026, </w:t>
      </w:r>
      <w:hyperlink r:id="rId41">
        <w:r w:rsidDel="00000000" w:rsidR="00000000" w:rsidRPr="00000000">
          <w:rPr>
            <w:rFonts w:ascii="Google Sans" w:cs="Google Sans" w:eastAsia="Google Sans" w:hAnsi="Google Sans"/>
            <w:color w:val="0000ee"/>
            <w:sz w:val="24"/>
            <w:szCs w:val="24"/>
            <w:u w:val="single"/>
            <w:rtl w:val="0"/>
          </w:rPr>
          <w:t xml:space="preserve">https://patents.justia.com/inventor/raj-rakshit</w:t>
        </w:r>
      </w:hyperlink>
      <w:r w:rsidDel="00000000" w:rsidR="00000000" w:rsidRPr="00000000">
        <w:rPr>
          <w:rtl w:val="0"/>
        </w:rPr>
      </w:r>
    </w:p>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WO2021108680A1 - Intelligent vibration digital twin systems and methods for industrial environments - Google Patents, accessed on July 16, 2026, </w:t>
      </w:r>
      <w:hyperlink r:id="rId42">
        <w:r w:rsidDel="00000000" w:rsidR="00000000" w:rsidRPr="00000000">
          <w:rPr>
            <w:rFonts w:ascii="Google Sans" w:cs="Google Sans" w:eastAsia="Google Sans" w:hAnsi="Google Sans"/>
            <w:color w:val="0000ee"/>
            <w:sz w:val="24"/>
            <w:szCs w:val="24"/>
            <w:u w:val="single"/>
            <w:rtl w:val="0"/>
          </w:rPr>
          <w:t xml:space="preserve">https://patents.google.com/patent/WO2021108680A1/en</w:t>
        </w:r>
      </w:hyperlink>
      <w:r w:rsidDel="00000000" w:rsidR="00000000" w:rsidRPr="00000000">
        <w:rPr>
          <w:rtl w:val="0"/>
        </w:rPr>
      </w:r>
    </w:p>
    <w:p w:rsidR="00000000" w:rsidDel="00000000" w:rsidP="00000000" w:rsidRDefault="00000000" w:rsidRPr="00000000" w14:paraId="000001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US3882383A - Soil moisture sensing system - Google Patents, accessed on July 16, 2026, </w:t>
      </w:r>
      <w:hyperlink r:id="rId43">
        <w:r w:rsidDel="00000000" w:rsidR="00000000" w:rsidRPr="00000000">
          <w:rPr>
            <w:rFonts w:ascii="Google Sans" w:cs="Google Sans" w:eastAsia="Google Sans" w:hAnsi="Google Sans"/>
            <w:color w:val="0000ee"/>
            <w:sz w:val="24"/>
            <w:szCs w:val="24"/>
            <w:u w:val="single"/>
            <w:rtl w:val="0"/>
          </w:rPr>
          <w:t xml:space="preserve">https://patents.google.com/patent/US3882383A/en</w:t>
        </w:r>
      </w:hyperlink>
      <w:r w:rsidDel="00000000" w:rsidR="00000000" w:rsidRPr="00000000">
        <w:rPr>
          <w:rtl w:val="0"/>
        </w:rPr>
      </w:r>
    </w:p>
    <w:p w:rsidR="00000000" w:rsidDel="00000000" w:rsidP="00000000" w:rsidRDefault="00000000" w:rsidRPr="00000000" w14:paraId="000001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WO2025076537A1 - Digital twins for precise agricultural management - Google Patents, accessed on July 16, 2026, </w:t>
      </w:r>
      <w:hyperlink r:id="rId44">
        <w:r w:rsidDel="00000000" w:rsidR="00000000" w:rsidRPr="00000000">
          <w:rPr>
            <w:rFonts w:ascii="Google Sans" w:cs="Google Sans" w:eastAsia="Google Sans" w:hAnsi="Google Sans"/>
            <w:color w:val="0000ee"/>
            <w:sz w:val="24"/>
            <w:szCs w:val="24"/>
            <w:u w:val="single"/>
            <w:rtl w:val="0"/>
          </w:rPr>
          <w:t xml:space="preserve">https://patents.google.com/patent/WO2025076537A1/en</w:t>
        </w:r>
      </w:hyperlink>
      <w:r w:rsidDel="00000000" w:rsidR="00000000" w:rsidRPr="00000000">
        <w:rPr>
          <w:rtl w:val="0"/>
        </w:rPr>
      </w:r>
    </w:p>
    <w:p w:rsidR="00000000" w:rsidDel="00000000" w:rsidP="00000000" w:rsidRDefault="00000000" w:rsidRPr="00000000" w14:paraId="000001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Soil moisture sensor - PatSnap Eureka, accessed on July 16, 2026, </w:t>
      </w:r>
      <w:hyperlink r:id="rId45">
        <w:r w:rsidDel="00000000" w:rsidR="00000000" w:rsidRPr="00000000">
          <w:rPr>
            <w:rFonts w:ascii="Google Sans" w:cs="Google Sans" w:eastAsia="Google Sans" w:hAnsi="Google Sans"/>
            <w:color w:val="0000ee"/>
            <w:sz w:val="24"/>
            <w:szCs w:val="24"/>
            <w:u w:val="single"/>
            <w:rtl w:val="0"/>
          </w:rPr>
          <w:t xml:space="preserve">https://eureka.patsnap.com/patent-US20150330932A1</w:t>
        </w:r>
      </w:hyperlink>
      <w:r w:rsidDel="00000000" w:rsidR="00000000" w:rsidRPr="00000000">
        <w:rPr>
          <w:rtl w:val="0"/>
        </w:rPr>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US20150330932A1 - Soil moisture sensor - Google Patents, accessed on July 16, 2026, </w:t>
      </w:r>
      <w:hyperlink r:id="rId46">
        <w:r w:rsidDel="00000000" w:rsidR="00000000" w:rsidRPr="00000000">
          <w:rPr>
            <w:rFonts w:ascii="Google Sans" w:cs="Google Sans" w:eastAsia="Google Sans" w:hAnsi="Google Sans"/>
            <w:color w:val="0000ee"/>
            <w:sz w:val="24"/>
            <w:szCs w:val="24"/>
            <w:u w:val="single"/>
            <w:rtl w:val="0"/>
          </w:rPr>
          <w:t xml:space="preserve">https://patents.google.com/patent/US20150330932A1/en</w:t>
        </w:r>
      </w:hyperlink>
      <w:r w:rsidDel="00000000" w:rsidR="00000000" w:rsidRPr="00000000">
        <w:rPr>
          <w:rtl w:val="0"/>
        </w:rPr>
      </w:r>
    </w:p>
    <w:p w:rsidR="00000000" w:rsidDel="00000000" w:rsidP="00000000" w:rsidRDefault="00000000" w:rsidRPr="00000000" w14:paraId="000001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US8981946B2 - Soil moisture sensor - Google Patents, accessed on July 16, 2026, </w:t>
      </w:r>
      <w:hyperlink r:id="rId47">
        <w:r w:rsidDel="00000000" w:rsidR="00000000" w:rsidRPr="00000000">
          <w:rPr>
            <w:rFonts w:ascii="Google Sans" w:cs="Google Sans" w:eastAsia="Google Sans" w:hAnsi="Google Sans"/>
            <w:color w:val="0000ee"/>
            <w:sz w:val="24"/>
            <w:szCs w:val="24"/>
            <w:u w:val="single"/>
            <w:rtl w:val="0"/>
          </w:rPr>
          <w:t xml:space="preserve">https://patents.google.com/patent/US8981946B2/en</w:t>
        </w:r>
      </w:hyperlink>
      <w:r w:rsidDel="00000000" w:rsidR="00000000" w:rsidRPr="00000000">
        <w:rPr>
          <w:rtl w:val="0"/>
        </w:rPr>
      </w:r>
    </w:p>
    <w:p w:rsidR="00000000" w:rsidDel="00000000" w:rsidP="00000000" w:rsidRDefault="00000000" w:rsidRPr="00000000" w14:paraId="000001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US20150181817A1 - Soil Moisture Sensor - Google Patents, accessed on July 16, 2026, </w:t>
      </w:r>
      <w:hyperlink r:id="rId48">
        <w:r w:rsidDel="00000000" w:rsidR="00000000" w:rsidRPr="00000000">
          <w:rPr>
            <w:rFonts w:ascii="Google Sans" w:cs="Google Sans" w:eastAsia="Google Sans" w:hAnsi="Google Sans"/>
            <w:color w:val="0000ee"/>
            <w:sz w:val="24"/>
            <w:szCs w:val="24"/>
            <w:u w:val="single"/>
            <w:rtl w:val="0"/>
          </w:rPr>
          <w:t xml:space="preserve">https://patents.google.com/patent/US20150181817A1/en</w:t>
        </w:r>
      </w:hyperlink>
      <w:r w:rsidDel="00000000" w:rsidR="00000000" w:rsidRPr="00000000">
        <w:rPr>
          <w:rtl w:val="0"/>
        </w:rPr>
      </w:r>
    </w:p>
    <w:p w:rsidR="00000000" w:rsidDel="00000000" w:rsidP="00000000" w:rsidRDefault="00000000" w:rsidRPr="00000000" w14:paraId="000001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 of the TEROS 12 Soil Moisture Sensor under Different Soils and Variable Electrical Conductivity - MDPI, accessed on July 16, 2026, </w:t>
      </w:r>
      <w:hyperlink r:id="rId49">
        <w:r w:rsidDel="00000000" w:rsidR="00000000" w:rsidRPr="00000000">
          <w:rPr>
            <w:rFonts w:ascii="Google Sans" w:cs="Google Sans" w:eastAsia="Google Sans" w:hAnsi="Google Sans"/>
            <w:color w:val="0000ee"/>
            <w:sz w:val="24"/>
            <w:szCs w:val="24"/>
            <w:u w:val="single"/>
            <w:rtl w:val="0"/>
          </w:rPr>
          <w:t xml:space="preserve">https://www.mdpi.com/1424-8220/24/7/2206</w:t>
        </w:r>
      </w:hyperlink>
      <w:r w:rsidDel="00000000" w:rsidR="00000000" w:rsidRPr="00000000">
        <w:rPr>
          <w:rtl w:val="0"/>
        </w:rPr>
      </w:r>
    </w:p>
    <w:p w:rsidR="00000000" w:rsidDel="00000000" w:rsidP="00000000" w:rsidRDefault="00000000" w:rsidRPr="00000000" w14:paraId="000001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Substrate Culture Teros-12 5te Ec Temperature Moisture Soil Sensor - Made-in-China.com, accessed on July 16, 2026, </w:t>
      </w:r>
      <w:hyperlink r:id="rId50">
        <w:r w:rsidDel="00000000" w:rsidR="00000000" w:rsidRPr="00000000">
          <w:rPr>
            <w:rFonts w:ascii="Google Sans" w:cs="Google Sans" w:eastAsia="Google Sans" w:hAnsi="Google Sans"/>
            <w:color w:val="0000ee"/>
            <w:sz w:val="24"/>
            <w:szCs w:val="24"/>
            <w:u w:val="single"/>
            <w:rtl w:val="0"/>
          </w:rPr>
          <w:t xml:space="preserve">https://m.made-in-china.com/product/Substrate-Culture-Teros-12-5te-Ec-Temperature-Moisture-Soil-Sensor-2090679322.html</w:t>
        </w:r>
      </w:hyperlink>
      <w:r w:rsidDel="00000000" w:rsidR="00000000" w:rsidRPr="00000000">
        <w:rPr>
          <w:rtl w:val="0"/>
        </w:rPr>
      </w:r>
    </w:p>
    <w:p w:rsidR="00000000" w:rsidDel="00000000" w:rsidP="00000000" w:rsidRDefault="00000000" w:rsidRPr="00000000" w14:paraId="000001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Identification of Technical Practices for Climate-Smart Agriculture (CSA) in Indonesia: A Case Study in the Sukabumi Regency, West Java, accessed on July 16, 2026, </w:t>
      </w:r>
      <w:hyperlink r:id="rId51">
        <w:r w:rsidDel="00000000" w:rsidR="00000000" w:rsidRPr="00000000">
          <w:rPr>
            <w:rFonts w:ascii="Google Sans" w:cs="Google Sans" w:eastAsia="Google Sans" w:hAnsi="Google Sans"/>
            <w:color w:val="0000ee"/>
            <w:sz w:val="24"/>
            <w:szCs w:val="24"/>
            <w:u w:val="single"/>
            <w:rtl w:val="0"/>
          </w:rPr>
          <w:t xml:space="preserve">https://www.ctc-n.org/system/files/dossier/3b/D2.1.2%20Technology%20Fact%20Sheets.pdf</w:t>
        </w:r>
      </w:hyperlink>
      <w:r w:rsidDel="00000000" w:rsidR="00000000" w:rsidRPr="00000000">
        <w:rPr>
          <w:rtl w:val="0"/>
        </w:rPr>
      </w:r>
    </w:p>
    <w:p w:rsidR="00000000" w:rsidDel="00000000" w:rsidP="00000000" w:rsidRDefault="00000000" w:rsidRPr="00000000" w14:paraId="000001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CS655: 12 cm Soil Moisture and Temperature Sensor - Campbell Scientific, accessed on July 16, 2026, </w:t>
      </w:r>
      <w:hyperlink r:id="rId52">
        <w:r w:rsidDel="00000000" w:rsidR="00000000" w:rsidRPr="00000000">
          <w:rPr>
            <w:rFonts w:ascii="Google Sans" w:cs="Google Sans" w:eastAsia="Google Sans" w:hAnsi="Google Sans"/>
            <w:color w:val="0000ee"/>
            <w:sz w:val="24"/>
            <w:szCs w:val="24"/>
            <w:u w:val="single"/>
            <w:rtl w:val="0"/>
          </w:rPr>
          <w:t xml:space="preserve">https://www.campbellsci.com/cs655</w:t>
        </w:r>
      </w:hyperlink>
      <w:r w:rsidDel="00000000" w:rsidR="00000000" w:rsidRPr="00000000">
        <w:rPr>
          <w:rtl w:val="0"/>
        </w:rPr>
      </w:r>
    </w:p>
    <w:p w:rsidR="00000000" w:rsidDel="00000000" w:rsidP="00000000" w:rsidRDefault="00000000" w:rsidRPr="00000000" w14:paraId="000001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CS655: 12 cm Soil Water Content Reflectometer - Campbell Scientific Australia, accessed on July 16, 2026, </w:t>
      </w:r>
      <w:hyperlink r:id="rId53">
        <w:r w:rsidDel="00000000" w:rsidR="00000000" w:rsidRPr="00000000">
          <w:rPr>
            <w:rFonts w:ascii="Google Sans" w:cs="Google Sans" w:eastAsia="Google Sans" w:hAnsi="Google Sans"/>
            <w:color w:val="0000ee"/>
            <w:sz w:val="24"/>
            <w:szCs w:val="24"/>
            <w:u w:val="single"/>
            <w:rtl w:val="0"/>
          </w:rPr>
          <w:t xml:space="preserve">https://www.campbellsci.com.au/cs655</w:t>
        </w:r>
      </w:hyperlink>
      <w:r w:rsidDel="00000000" w:rsidR="00000000" w:rsidRPr="00000000">
        <w:rPr>
          <w:rtl w:val="0"/>
        </w:rPr>
      </w:r>
    </w:p>
    <w:p w:rsidR="00000000" w:rsidDel="00000000" w:rsidP="00000000" w:rsidRDefault="00000000" w:rsidRPr="00000000" w14:paraId="000001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CS655 12 cm Soil Moisture and Temperature Sensor - Campbell Scientific, accessed on July 16, 2026, </w:t>
      </w:r>
      <w:hyperlink r:id="rId54">
        <w:r w:rsidDel="00000000" w:rsidR="00000000" w:rsidRPr="00000000">
          <w:rPr>
            <w:rFonts w:ascii="Google Sans" w:cs="Google Sans" w:eastAsia="Google Sans" w:hAnsi="Google Sans"/>
            <w:color w:val="0000ee"/>
            <w:sz w:val="24"/>
            <w:szCs w:val="24"/>
            <w:u w:val="single"/>
            <w:rtl w:val="0"/>
          </w:rPr>
          <w:t xml:space="preserve">https://s.campbellsci.com/documents/us/product-brochures/b_cs655.pdf</w:t>
        </w:r>
      </w:hyperlink>
      <w:r w:rsidDel="00000000" w:rsidR="00000000" w:rsidRPr="00000000">
        <w:rPr>
          <w:rtl w:val="0"/>
        </w:rPr>
      </w:r>
    </w:p>
    <w:p w:rsidR="00000000" w:rsidDel="00000000" w:rsidP="00000000" w:rsidRDefault="00000000" w:rsidRPr="00000000" w14:paraId="000001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Sensor to Monitor Soil Moisture, Salinity, and Temperature Profiles for Wireless Networks, accessed on July 16, 2026, </w:t>
      </w:r>
      <w:hyperlink r:id="rId55">
        <w:r w:rsidDel="00000000" w:rsidR="00000000" w:rsidRPr="00000000">
          <w:rPr>
            <w:rFonts w:ascii="Google Sans" w:cs="Google Sans" w:eastAsia="Google Sans" w:hAnsi="Google Sans"/>
            <w:color w:val="0000ee"/>
            <w:sz w:val="24"/>
            <w:szCs w:val="24"/>
            <w:u w:val="single"/>
            <w:rtl w:val="0"/>
          </w:rPr>
          <w:t xml:space="preserve">https://www.mdpi.com/2224-2708/13/3/32</w:t>
        </w:r>
      </w:hyperlink>
      <w:r w:rsidDel="00000000" w:rsidR="00000000" w:rsidRPr="00000000">
        <w:rPr>
          <w:rtl w:val="0"/>
        </w:rPr>
      </w:r>
    </w:p>
    <w:p w:rsidR="00000000" w:rsidDel="00000000" w:rsidP="00000000" w:rsidRDefault="00000000" w:rsidRPr="00000000" w14:paraId="000001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US20240302311A1 - Low power variable frequency soil sensor assembly - Google Patents, accessed on July 16, 2026, </w:t>
      </w:r>
      <w:hyperlink r:id="rId56">
        <w:r w:rsidDel="00000000" w:rsidR="00000000" w:rsidRPr="00000000">
          <w:rPr>
            <w:rFonts w:ascii="Google Sans" w:cs="Google Sans" w:eastAsia="Google Sans" w:hAnsi="Google Sans"/>
            <w:color w:val="0000ee"/>
            <w:sz w:val="24"/>
            <w:szCs w:val="24"/>
            <w:u w:val="single"/>
            <w:rtl w:val="0"/>
          </w:rPr>
          <w:t xml:space="preserve">https://patents.google.com/patent/US20240302311A1/en</w:t>
        </w:r>
      </w:hyperlink>
      <w:r w:rsidDel="00000000" w:rsidR="00000000" w:rsidRPr="00000000">
        <w:rPr>
          <w:rtl w:val="0"/>
        </w:rPr>
      </w:r>
    </w:p>
    <w:p w:rsidR="00000000" w:rsidDel="00000000" w:rsidP="00000000" w:rsidRDefault="00000000" w:rsidRPr="00000000" w14:paraId="000001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Temperature-Corrected Calibration of GS3 and TEROS-12 Soil Water Content Sensors, accessed on July 16, 2026, </w:t>
      </w:r>
      <w:hyperlink r:id="rId57">
        <w:r w:rsidDel="00000000" w:rsidR="00000000" w:rsidRPr="00000000">
          <w:rPr>
            <w:rFonts w:ascii="Google Sans" w:cs="Google Sans" w:eastAsia="Google Sans" w:hAnsi="Google Sans"/>
            <w:color w:val="0000ee"/>
            <w:sz w:val="24"/>
            <w:szCs w:val="24"/>
            <w:u w:val="single"/>
            <w:rtl w:val="0"/>
          </w:rPr>
          <w:t xml:space="preserve">https://www.mdpi.com/1424-8220/24/3/952</w:t>
        </w:r>
      </w:hyperlink>
      <w:r w:rsidDel="00000000" w:rsidR="00000000" w:rsidRPr="00000000">
        <w:rPr>
          <w:rtl w:val="0"/>
        </w:rPr>
      </w:r>
    </w:p>
    <w:p w:rsidR="00000000" w:rsidDel="00000000" w:rsidP="00000000" w:rsidRDefault="00000000" w:rsidRPr="00000000" w14:paraId="000001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Calibration Methods for FDR-Based Capacitive Soil Moisture Sensors - MDPI, accessed on July 16, 2026, </w:t>
      </w:r>
      <w:hyperlink r:id="rId58">
        <w:r w:rsidDel="00000000" w:rsidR="00000000" w:rsidRPr="00000000">
          <w:rPr>
            <w:rFonts w:ascii="Google Sans" w:cs="Google Sans" w:eastAsia="Google Sans" w:hAnsi="Google Sans"/>
            <w:color w:val="0000ee"/>
            <w:sz w:val="24"/>
            <w:szCs w:val="24"/>
            <w:u w:val="single"/>
            <w:rtl w:val="0"/>
          </w:rPr>
          <w:t xml:space="preserve">https://www.mdpi.com/1424-8220/26/11/3366</w:t>
        </w:r>
      </w:hyperlink>
      <w:r w:rsidDel="00000000" w:rsidR="00000000" w:rsidRPr="00000000">
        <w:rPr>
          <w:rtl w:val="0"/>
        </w:rPr>
      </w:r>
    </w:p>
    <w:p w:rsidR="00000000" w:rsidDel="00000000" w:rsidP="00000000" w:rsidRDefault="00000000" w:rsidRPr="00000000" w14:paraId="000001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Capacitive Soil Moisture Sensor Theory, Calibration, and Testing - ResearchGate, accessed on July 16,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https://www.researchgate.net/publication/342751186_Capacitive_Soil_Moisture_Sensor_Theory_Calibration_and_Testing</w:t>
        </w:r>
      </w:hyperlink>
      <w:r w:rsidDel="00000000" w:rsidR="00000000" w:rsidRPr="00000000">
        <w:rPr>
          <w:rtl w:val="0"/>
        </w:rPr>
      </w:r>
    </w:p>
    <w:p w:rsidR="00000000" w:rsidDel="00000000" w:rsidP="00000000" w:rsidRDefault="00000000" w:rsidRPr="00000000" w14:paraId="000001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Simultaneous Monitoring of Soil Water Content and Salinity with a Low-Cost Capacitance-Resistance Probe - PMC, accessed on July 16, 2026,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https://pmc.ncbi.nlm.nih.gov/articles/PMC3571855/</w:t>
        </w:r>
      </w:hyperlink>
      <w:r w:rsidDel="00000000" w:rsidR="00000000" w:rsidRPr="00000000">
        <w:rPr>
          <w:rtl w:val="0"/>
        </w:rPr>
      </w:r>
    </w:p>
    <w:p w:rsidR="00000000" w:rsidDel="00000000" w:rsidP="00000000" w:rsidRDefault="00000000" w:rsidRPr="00000000" w14:paraId="000001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Capacitive soil moisture sensor - US7170302B2 - Google Patents, accessed on July 16, 2026, </w:t>
      </w:r>
      <w:hyperlink r:id="rId61">
        <w:r w:rsidDel="00000000" w:rsidR="00000000" w:rsidRPr="00000000">
          <w:rPr>
            <w:rFonts w:ascii="Google Sans" w:cs="Google Sans" w:eastAsia="Google Sans" w:hAnsi="Google Sans"/>
            <w:color w:val="0000ee"/>
            <w:sz w:val="24"/>
            <w:szCs w:val="24"/>
            <w:u w:val="single"/>
            <w:rtl w:val="0"/>
          </w:rPr>
          <w:t xml:space="preserve">https://patents.google.com/patent/US7170302B2/en</w:t>
        </w:r>
      </w:hyperlink>
      <w:r w:rsidDel="00000000" w:rsidR="00000000" w:rsidRPr="00000000">
        <w:rPr>
          <w:rtl w:val="0"/>
        </w:rPr>
      </w:r>
    </w:p>
    <w:p w:rsidR="00000000" w:rsidDel="00000000" w:rsidP="00000000" w:rsidRDefault="00000000" w:rsidRPr="00000000" w14:paraId="000001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CN102435645A - Measuring method for moisture content and conductivity of soilless culture substrate and sensor thereof - Google Patents, accessed on July 16, 2026, </w:t>
      </w:r>
      <w:hyperlink r:id="rId62">
        <w:r w:rsidDel="00000000" w:rsidR="00000000" w:rsidRPr="00000000">
          <w:rPr>
            <w:rFonts w:ascii="Google Sans" w:cs="Google Sans" w:eastAsia="Google Sans" w:hAnsi="Google Sans"/>
            <w:color w:val="0000ee"/>
            <w:sz w:val="24"/>
            <w:szCs w:val="24"/>
            <w:u w:val="single"/>
            <w:rtl w:val="0"/>
          </w:rPr>
          <w:t xml:space="preserve">https://patents.google.com/patent/CN102435645A/en</w:t>
        </w:r>
      </w:hyperlink>
      <w:r w:rsidDel="00000000" w:rsidR="00000000" w:rsidRPr="00000000">
        <w:rPr>
          <w:rtl w:val="0"/>
        </w:rPr>
      </w:r>
    </w:p>
    <w:p w:rsidR="00000000" w:rsidDel="00000000" w:rsidP="00000000" w:rsidRDefault="00000000" w:rsidRPr="00000000" w14:paraId="000001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boot - US5937063A - Google Patents, accessed on July 16, 2026, </w:t>
      </w:r>
      <w:hyperlink r:id="rId63">
        <w:r w:rsidDel="00000000" w:rsidR="00000000" w:rsidRPr="00000000">
          <w:rPr>
            <w:rFonts w:ascii="Google Sans" w:cs="Google Sans" w:eastAsia="Google Sans" w:hAnsi="Google Sans"/>
            <w:color w:val="0000ee"/>
            <w:sz w:val="24"/>
            <w:szCs w:val="24"/>
            <w:u w:val="single"/>
            <w:rtl w:val="0"/>
          </w:rPr>
          <w:t xml:space="preserve">https://patents.google.com/patent/US5937063A/en</w:t>
        </w:r>
      </w:hyperlink>
      <w:r w:rsidDel="00000000" w:rsidR="00000000" w:rsidRPr="00000000">
        <w:rPr>
          <w:rtl w:val="0"/>
        </w:rPr>
      </w:r>
    </w:p>
    <w:p w:rsidR="00000000" w:rsidDel="00000000" w:rsidP="00000000" w:rsidRDefault="00000000" w:rsidRPr="00000000" w14:paraId="000001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US20060143600A1 - Secure firmware update - Google Patents, accessed on July 16, 2026, </w:t>
      </w:r>
      <w:hyperlink r:id="rId64">
        <w:r w:rsidDel="00000000" w:rsidR="00000000" w:rsidRPr="00000000">
          <w:rPr>
            <w:rFonts w:ascii="Google Sans" w:cs="Google Sans" w:eastAsia="Google Sans" w:hAnsi="Google Sans"/>
            <w:color w:val="0000ee"/>
            <w:sz w:val="24"/>
            <w:szCs w:val="24"/>
            <w:u w:val="single"/>
            <w:rtl w:val="0"/>
          </w:rPr>
          <w:t xml:space="preserve">https://patents.google.com/patent/US20060143600A1/en</w:t>
        </w:r>
      </w:hyperlink>
      <w:r w:rsidDel="00000000" w:rsidR="00000000" w:rsidRPr="00000000">
        <w:rPr>
          <w:rtl w:val="0"/>
        </w:rPr>
      </w:r>
    </w:p>
    <w:p w:rsidR="00000000" w:rsidDel="00000000" w:rsidP="00000000" w:rsidRDefault="00000000" w:rsidRPr="00000000" w14:paraId="000001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US11507654B2 - Secure environment in a non-secure microcontroller - Google Patents, accessed on July 16, 2026, </w:t>
      </w:r>
      <w:hyperlink r:id="rId65">
        <w:r w:rsidDel="00000000" w:rsidR="00000000" w:rsidRPr="00000000">
          <w:rPr>
            <w:rFonts w:ascii="Google Sans" w:cs="Google Sans" w:eastAsia="Google Sans" w:hAnsi="Google Sans"/>
            <w:color w:val="0000ee"/>
            <w:sz w:val="24"/>
            <w:szCs w:val="24"/>
            <w:u w:val="single"/>
            <w:rtl w:val="0"/>
          </w:rPr>
          <w:t xml:space="preserve">https://patents.google.com/patent/US11507654B2/en</w:t>
        </w:r>
      </w:hyperlink>
      <w:r w:rsidDel="00000000" w:rsidR="00000000" w:rsidRPr="00000000">
        <w:rPr>
          <w:rtl w:val="0"/>
        </w:rPr>
      </w:r>
    </w:p>
    <w:p w:rsidR="00000000" w:rsidDel="00000000" w:rsidP="00000000" w:rsidRDefault="00000000" w:rsidRPr="00000000" w14:paraId="000001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US20220335132A1 - Secure boot device - Google Patents, accessed on July 16, 2026, </w:t>
      </w:r>
      <w:hyperlink r:id="rId66">
        <w:r w:rsidDel="00000000" w:rsidR="00000000" w:rsidRPr="00000000">
          <w:rPr>
            <w:rFonts w:ascii="Google Sans" w:cs="Google Sans" w:eastAsia="Google Sans" w:hAnsi="Google Sans"/>
            <w:color w:val="0000ee"/>
            <w:sz w:val="24"/>
            <w:szCs w:val="24"/>
            <w:u w:val="single"/>
            <w:rtl w:val="0"/>
          </w:rPr>
          <w:t xml:space="preserve">https://patents.google.com/patent/US20220335132A1/en</w:t>
        </w:r>
      </w:hyperlink>
      <w:r w:rsidDel="00000000" w:rsidR="00000000" w:rsidRPr="00000000">
        <w:rPr>
          <w:rtl w:val="0"/>
        </w:rPr>
      </w:r>
    </w:p>
    <w:p w:rsidR="00000000" w:rsidDel="00000000" w:rsidP="00000000" w:rsidRDefault="00000000" w:rsidRPr="00000000" w14:paraId="000001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Boot and Firmware Update Framework for ARM Cortex-M Embedded IoT Devices, accessed on July 16, 2026, </w:t>
      </w:r>
      <w:hyperlink r:id="rId67">
        <w:r w:rsidDel="00000000" w:rsidR="00000000" w:rsidRPr="00000000">
          <w:rPr>
            <w:rFonts w:ascii="Google Sans" w:cs="Google Sans" w:eastAsia="Google Sans" w:hAnsi="Google Sans"/>
            <w:color w:val="0000ee"/>
            <w:sz w:val="24"/>
            <w:szCs w:val="24"/>
            <w:u w:val="single"/>
            <w:rtl w:val="0"/>
          </w:rPr>
          <w:t xml:space="preserve">https://ecejournals.in/index.php/PECE/article/view/424</w:t>
        </w:r>
      </w:hyperlink>
      <w:r w:rsidDel="00000000" w:rsidR="00000000" w:rsidRPr="00000000">
        <w:rPr>
          <w:rtl w:val="0"/>
        </w:rPr>
      </w:r>
    </w:p>
    <w:p w:rsidR="00000000" w:rsidDel="00000000" w:rsidP="00000000" w:rsidRDefault="00000000" w:rsidRPr="00000000" w14:paraId="000001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US11662991B2 - Vehicle-mounted device upgrade method and related device - Google Patents, accessed on July 16, 2026, </w:t>
      </w:r>
      <w:hyperlink r:id="rId68">
        <w:r w:rsidDel="00000000" w:rsidR="00000000" w:rsidRPr="00000000">
          <w:rPr>
            <w:rFonts w:ascii="Google Sans" w:cs="Google Sans" w:eastAsia="Google Sans" w:hAnsi="Google Sans"/>
            <w:color w:val="0000ee"/>
            <w:sz w:val="24"/>
            <w:szCs w:val="24"/>
            <w:u w:val="single"/>
            <w:rtl w:val="0"/>
          </w:rPr>
          <w:t xml:space="preserve">https://patents.google.com/patent/US11662991B2/zh</w:t>
        </w:r>
      </w:hyperlink>
      <w:r w:rsidDel="00000000" w:rsidR="00000000" w:rsidRPr="00000000">
        <w:rPr>
          <w:rtl w:val="0"/>
        </w:rPr>
      </w:r>
    </w:p>
    <w:p w:rsidR="00000000" w:rsidDel="00000000" w:rsidP="00000000" w:rsidRDefault="00000000" w:rsidRPr="00000000" w14:paraId="000001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WO2018126029A2 - Blockchains for securing iot devices - Google Patents, accessed on July 16, 2026, </w:t>
      </w:r>
      <w:hyperlink r:id="rId69">
        <w:r w:rsidDel="00000000" w:rsidR="00000000" w:rsidRPr="00000000">
          <w:rPr>
            <w:rFonts w:ascii="Google Sans" w:cs="Google Sans" w:eastAsia="Google Sans" w:hAnsi="Google Sans"/>
            <w:color w:val="0000ee"/>
            <w:sz w:val="24"/>
            <w:szCs w:val="24"/>
            <w:u w:val="single"/>
            <w:rtl w:val="0"/>
          </w:rPr>
          <w:t xml:space="preserve">https://patents.google.com/patent/WO2018126029A2/en</w:t>
        </w:r>
      </w:hyperlink>
      <w:r w:rsidDel="00000000" w:rsidR="00000000" w:rsidRPr="00000000">
        <w:rPr>
          <w:rtl w:val="0"/>
        </w:rPr>
      </w:r>
    </w:p>
    <w:p w:rsidR="00000000" w:rsidDel="00000000" w:rsidP="00000000" w:rsidRDefault="00000000" w:rsidRPr="00000000" w14:paraId="000001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 Platform Security Architecture Trusted Boot and Firmware Update 1.0, accessed on July 16, 2026, </w:t>
      </w:r>
      <w:hyperlink r:id="rId70">
        <w:r w:rsidDel="00000000" w:rsidR="00000000" w:rsidRPr="00000000">
          <w:rPr>
            <w:rFonts w:ascii="Google Sans" w:cs="Google Sans" w:eastAsia="Google Sans" w:hAnsi="Google Sans"/>
            <w:color w:val="0000ee"/>
            <w:sz w:val="24"/>
            <w:szCs w:val="24"/>
            <w:u w:val="single"/>
            <w:rtl w:val="0"/>
          </w:rPr>
          <w:t xml:space="preserve">https://developer.arm.com/-/media/Arm%20Developer%20Community/PDF/PSA/DEN0072-PSA_TBFU_1-0-REL.pdf</w:t>
        </w:r>
      </w:hyperlink>
      <w:r w:rsidDel="00000000" w:rsidR="00000000" w:rsidRPr="00000000">
        <w:rPr>
          <w:rtl w:val="0"/>
        </w:rPr>
      </w:r>
    </w:p>
    <w:p w:rsidR="00000000" w:rsidDel="00000000" w:rsidP="00000000" w:rsidRDefault="00000000" w:rsidRPr="00000000" w14:paraId="000001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STM32Cube SW expansion - STMicroelectronics, accessed on July 16, 2026, </w:t>
      </w:r>
      <w:hyperlink r:id="rId71">
        <w:r w:rsidDel="00000000" w:rsidR="00000000" w:rsidRPr="00000000">
          <w:rPr>
            <w:rFonts w:ascii="Google Sans" w:cs="Google Sans" w:eastAsia="Google Sans" w:hAnsi="Google Sans"/>
            <w:color w:val="0000ee"/>
            <w:sz w:val="24"/>
            <w:szCs w:val="24"/>
            <w:u w:val="single"/>
            <w:rtl w:val="0"/>
          </w:rPr>
          <w:t xml:space="preserve">https://www.st.com/resource/en/flyer/flxcubesbsfu.pdf</w:t>
        </w:r>
      </w:hyperlink>
      <w:r w:rsidDel="00000000" w:rsidR="00000000" w:rsidRPr="00000000">
        <w:rPr>
          <w:rtl w:val="0"/>
        </w:rPr>
      </w:r>
    </w:p>
    <w:p w:rsidR="00000000" w:rsidDel="00000000" w:rsidP="00000000" w:rsidRDefault="00000000" w:rsidRPr="00000000" w14:paraId="000001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PSOC™ 6 MCU: MCUboot-based bootloader with rollback to factory app - GitHub, accessed on July 16, 2026, </w:t>
      </w:r>
      <w:hyperlink r:id="rId72">
        <w:r w:rsidDel="00000000" w:rsidR="00000000" w:rsidRPr="00000000">
          <w:rPr>
            <w:rFonts w:ascii="Google Sans" w:cs="Google Sans" w:eastAsia="Google Sans" w:hAnsi="Google Sans"/>
            <w:color w:val="0000ee"/>
            <w:sz w:val="24"/>
            <w:szCs w:val="24"/>
            <w:u w:val="single"/>
            <w:rtl w:val="0"/>
          </w:rPr>
          <w:t xml:space="preserve">https://github.com/Infineon/mtb-example-wifi-mcuboot-rollback</w:t>
        </w:r>
      </w:hyperlink>
      <w:r w:rsidDel="00000000" w:rsidR="00000000" w:rsidRPr="00000000">
        <w:rPr>
          <w:rtl w:val="0"/>
        </w:rPr>
      </w:r>
    </w:p>
    <w:p w:rsidR="00000000" w:rsidDel="00000000" w:rsidP="00000000" w:rsidRDefault="00000000" w:rsidRPr="00000000" w14:paraId="000001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X-CUBE-SBSFU | Product - STMicroelectronics, accessed on July 16, 2026, </w:t>
      </w:r>
      <w:hyperlink r:id="rId73">
        <w:r w:rsidDel="00000000" w:rsidR="00000000" w:rsidRPr="00000000">
          <w:rPr>
            <w:rFonts w:ascii="Google Sans" w:cs="Google Sans" w:eastAsia="Google Sans" w:hAnsi="Google Sans"/>
            <w:color w:val="0000ee"/>
            <w:sz w:val="24"/>
            <w:szCs w:val="24"/>
            <w:u w:val="single"/>
            <w:rtl w:val="0"/>
          </w:rPr>
          <w:t xml:space="preserve">https://www.st.com/en/embedded-software/x-cube-sbsfu.html</w:t>
        </w:r>
      </w:hyperlink>
      <w:r w:rsidDel="00000000" w:rsidR="00000000" w:rsidRPr="00000000">
        <w:rPr>
          <w:rtl w:val="0"/>
        </w:rPr>
      </w:r>
    </w:p>
    <w:p w:rsidR="00000000" w:rsidDel="00000000" w:rsidP="00000000" w:rsidRDefault="00000000" w:rsidRPr="00000000" w14:paraId="000001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SL-SSISE011401V1 | Solution - STMicroelectronics, accessed on July 16, 2026, </w:t>
      </w:r>
      <w:hyperlink r:id="rId74">
        <w:r w:rsidDel="00000000" w:rsidR="00000000" w:rsidRPr="00000000">
          <w:rPr>
            <w:rFonts w:ascii="Google Sans" w:cs="Google Sans" w:eastAsia="Google Sans" w:hAnsi="Google Sans"/>
            <w:color w:val="0000ee"/>
            <w:sz w:val="24"/>
            <w:szCs w:val="24"/>
            <w:u w:val="single"/>
            <w:rtl w:val="0"/>
          </w:rPr>
          <w:t xml:space="preserve">https://www.st.com/en/solutions-reference-designs/sl-ssise011401v1.html</w:t>
        </w:r>
      </w:hyperlink>
      <w:r w:rsidDel="00000000" w:rsidR="00000000" w:rsidRPr="00000000">
        <w:rPr>
          <w:rtl w:val="0"/>
        </w:rPr>
      </w:r>
    </w:p>
    <w:p w:rsidR="00000000" w:rsidDel="00000000" w:rsidP="00000000" w:rsidRDefault="00000000" w:rsidRPr="00000000" w14:paraId="000001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STM32 microcontrollers security - Application note, accessed on July 16, 2026, </w:t>
      </w:r>
      <w:hyperlink r:id="rId75">
        <w:r w:rsidDel="00000000" w:rsidR="00000000" w:rsidRPr="00000000">
          <w:rPr>
            <w:rFonts w:ascii="Google Sans" w:cs="Google Sans" w:eastAsia="Google Sans" w:hAnsi="Google Sans"/>
            <w:color w:val="0000ee"/>
            <w:sz w:val="24"/>
            <w:szCs w:val="24"/>
            <w:u w:val="single"/>
            <w:rtl w:val="0"/>
          </w:rPr>
          <w:t xml:space="preserve">https://kolegite.com/EE_library/application_notes/MCU/STM32/STM32_Security.pdf</w:t>
        </w:r>
      </w:hyperlink>
      <w:r w:rsidDel="00000000" w:rsidR="00000000" w:rsidRPr="00000000">
        <w:rPr>
          <w:rtl w:val="0"/>
        </w:rPr>
      </w:r>
    </w:p>
    <w:p w:rsidR="00000000" w:rsidDel="00000000" w:rsidP="00000000" w:rsidRDefault="00000000" w:rsidRPr="00000000" w14:paraId="000001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MCUboot: Secure Boot in Zephyr - DEV Community, accessed on July 16, 2026, </w:t>
      </w:r>
      <w:hyperlink r:id="rId76">
        <w:r w:rsidDel="00000000" w:rsidR="00000000" w:rsidRPr="00000000">
          <w:rPr>
            <w:rFonts w:ascii="Google Sans" w:cs="Google Sans" w:eastAsia="Google Sans" w:hAnsi="Google Sans"/>
            <w:color w:val="0000ee"/>
            <w:sz w:val="24"/>
            <w:szCs w:val="24"/>
            <w:u w:val="single"/>
            <w:rtl w:val="0"/>
          </w:rPr>
          <w:t xml:space="preserve">https://dev.to/ripan030/mcuboot-secure-boot-in-zephyr-4aoi</w:t>
        </w:r>
      </w:hyperlink>
      <w:r w:rsidDel="00000000" w:rsidR="00000000" w:rsidRPr="00000000">
        <w:rPr>
          <w:rtl w:val="0"/>
        </w:rPr>
      </w:r>
    </w:p>
    <w:p w:rsidR="00000000" w:rsidDel="00000000" w:rsidP="00000000" w:rsidRDefault="00000000" w:rsidRPr="00000000" w14:paraId="000001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Rollback protection in TF-M secure boot — Trusted Firmware-M Unknown documentation, accessed on July 16, 2026, </w:t>
      </w:r>
      <w:hyperlink r:id="rId77">
        <w:r w:rsidDel="00000000" w:rsidR="00000000" w:rsidRPr="00000000">
          <w:rPr>
            <w:rFonts w:ascii="Google Sans" w:cs="Google Sans" w:eastAsia="Google Sans" w:hAnsi="Google Sans"/>
            <w:color w:val="0000ee"/>
            <w:sz w:val="24"/>
            <w:szCs w:val="24"/>
            <w:u w:val="single"/>
            <w:rtl w:val="0"/>
          </w:rPr>
          <w:t xml:space="preserve">https://tf-m.docs.trustedfirmware.org/en/latest/design_docs/booting/secure_boot_rollback_protection.html</w:t>
        </w:r>
      </w:hyperlink>
      <w:r w:rsidDel="00000000" w:rsidR="00000000" w:rsidRPr="00000000">
        <w:rPr>
          <w:rtl w:val="0"/>
        </w:rPr>
      </w:r>
    </w:p>
    <w:p w:rsidR="00000000" w:rsidDel="00000000" w:rsidP="00000000" w:rsidRDefault="00000000" w:rsidRPr="00000000" w14:paraId="000001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security policy - MCUboot, accessed on July 16, 2026, </w:t>
      </w:r>
      <w:hyperlink r:id="rId78">
        <w:r w:rsidDel="00000000" w:rsidR="00000000" w:rsidRPr="00000000">
          <w:rPr>
            <w:rFonts w:ascii="Google Sans" w:cs="Google Sans" w:eastAsia="Google Sans" w:hAnsi="Google Sans"/>
            <w:color w:val="0000ee"/>
            <w:sz w:val="24"/>
            <w:szCs w:val="24"/>
            <w:u w:val="single"/>
            <w:rtl w:val="0"/>
          </w:rPr>
          <w:t xml:space="preserve">https://docs.mcuboot.com/SECURITY.html</w:t>
        </w:r>
      </w:hyperlink>
      <w:r w:rsidDel="00000000" w:rsidR="00000000" w:rsidRPr="00000000">
        <w:rPr>
          <w:rtl w:val="0"/>
        </w:rPr>
      </w:r>
    </w:p>
    <w:p w:rsidR="00000000" w:rsidDel="00000000" w:rsidP="00000000" w:rsidRDefault="00000000" w:rsidRPr="00000000" w14:paraId="000001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boot and firmware update on a microcontroller-based embedded board, accessed on July 16, 2026, </w:t>
      </w:r>
      <w:hyperlink r:id="rId79">
        <w:r w:rsidDel="00000000" w:rsidR="00000000" w:rsidRPr="00000000">
          <w:rPr>
            <w:rFonts w:ascii="Google Sans" w:cs="Google Sans" w:eastAsia="Google Sans" w:hAnsi="Google Sans"/>
            <w:color w:val="0000ee"/>
            <w:sz w:val="24"/>
            <w:szCs w:val="24"/>
            <w:u w:val="single"/>
            <w:rtl w:val="0"/>
          </w:rPr>
          <w:t xml:space="preserve">https://static.crysys.hu/publications/files/setit/thesis_bme_Gedeon20bsc.pdf</w:t>
        </w:r>
      </w:hyperlink>
      <w:r w:rsidDel="00000000" w:rsidR="00000000" w:rsidRPr="00000000">
        <w:rPr>
          <w:rtl w:val="0"/>
        </w:rPr>
      </w:r>
    </w:p>
    <w:p w:rsidR="00000000" w:rsidDel="00000000" w:rsidP="00000000" w:rsidRDefault="00000000" w:rsidRPr="00000000" w14:paraId="000001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Building IoT In-House Might Fail: The Hidden Costs Machinery OEMs Don't See When They Build vs. Buy, accessed on July 16, 2026, </w:t>
      </w:r>
      <w:hyperlink r:id="rId80">
        <w:r w:rsidDel="00000000" w:rsidR="00000000" w:rsidRPr="00000000">
          <w:rPr>
            <w:rFonts w:ascii="Google Sans" w:cs="Google Sans" w:eastAsia="Google Sans" w:hAnsi="Google Sans"/>
            <w:color w:val="0000ee"/>
            <w:sz w:val="24"/>
            <w:szCs w:val="24"/>
            <w:u w:val="single"/>
            <w:rtl w:val="0"/>
          </w:rPr>
          <w:t xml:space="preserve">https://blog.atomation.net/why-building-iot-in-house-might-fail</w:t>
        </w:r>
      </w:hyperlink>
      <w:r w:rsidDel="00000000" w:rsidR="00000000" w:rsidRPr="00000000">
        <w:rPr>
          <w:rtl w:val="0"/>
        </w:rPr>
      </w:r>
    </w:p>
    <w:p w:rsidR="00000000" w:rsidDel="00000000" w:rsidP="00000000" w:rsidRDefault="00000000" w:rsidRPr="00000000" w14:paraId="000001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Secure Boot and Over-the-Air Firmware Update Framework for Resource-Constrained Embedded IoT Devices - SOCIETY FOR COMMUNICATION AND COMPUTER TECHNOLOGIES, accessed on July 16, 2026, </w:t>
      </w:r>
      <w:hyperlink r:id="rId81">
        <w:r w:rsidDel="00000000" w:rsidR="00000000" w:rsidRPr="00000000">
          <w:rPr>
            <w:rFonts w:ascii="Google Sans" w:cs="Google Sans" w:eastAsia="Google Sans" w:hAnsi="Google Sans"/>
            <w:color w:val="0000ee"/>
            <w:sz w:val="24"/>
            <w:szCs w:val="24"/>
            <w:u w:val="single"/>
            <w:rtl w:val="0"/>
          </w:rPr>
          <w:t xml:space="preserve">https://ecejournals.in/index.php/ESA/article/view/387</w:t>
        </w:r>
      </w:hyperlink>
      <w:r w:rsidDel="00000000" w:rsidR="00000000" w:rsidRPr="00000000">
        <w:rPr>
          <w:rtl w:val="0"/>
        </w:rPr>
      </w:r>
    </w:p>
    <w:p w:rsidR="00000000" w:rsidDel="00000000" w:rsidP="00000000" w:rsidRDefault="00000000" w:rsidRPr="00000000" w14:paraId="000001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US20040212509A1 - Electronic time-temperature indicator and logger - Google Patents, accessed on July 16, 2026, </w:t>
      </w:r>
      <w:hyperlink r:id="rId82">
        <w:r w:rsidDel="00000000" w:rsidR="00000000" w:rsidRPr="00000000">
          <w:rPr>
            <w:rFonts w:ascii="Google Sans" w:cs="Google Sans" w:eastAsia="Google Sans" w:hAnsi="Google Sans"/>
            <w:color w:val="0000ee"/>
            <w:sz w:val="24"/>
            <w:szCs w:val="24"/>
            <w:u w:val="single"/>
            <w:rtl w:val="0"/>
          </w:rPr>
          <w:t xml:space="preserve">https://patents.google.com/patent/US20040212509A1/en</w:t>
        </w:r>
      </w:hyperlink>
      <w:r w:rsidDel="00000000" w:rsidR="00000000" w:rsidRPr="00000000">
        <w:rPr>
          <w:rtl w:val="0"/>
        </w:rPr>
      </w:r>
    </w:p>
    <w:p w:rsidR="00000000" w:rsidDel="00000000" w:rsidP="00000000" w:rsidRDefault="00000000" w:rsidRPr="00000000" w14:paraId="000001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US6950028B2 - Electronic time-temperature indicator - Google Patents, accessed on July 16, 2026, </w:t>
      </w:r>
      <w:hyperlink r:id="rId83">
        <w:r w:rsidDel="00000000" w:rsidR="00000000" w:rsidRPr="00000000">
          <w:rPr>
            <w:rFonts w:ascii="Google Sans" w:cs="Google Sans" w:eastAsia="Google Sans" w:hAnsi="Google Sans"/>
            <w:color w:val="0000ee"/>
            <w:sz w:val="24"/>
            <w:szCs w:val="24"/>
            <w:u w:val="single"/>
            <w:rtl w:val="0"/>
          </w:rPr>
          <w:t xml:space="preserve">https://patents.google.com/patent/US6950028B2/en</w:t>
        </w:r>
      </w:hyperlink>
      <w:r w:rsidDel="00000000" w:rsidR="00000000" w:rsidRPr="00000000">
        <w:rPr>
          <w:rtl w:val="0"/>
        </w:rPr>
      </w:r>
    </w:p>
    <w:p w:rsidR="00000000" w:rsidDel="00000000" w:rsidP="00000000" w:rsidRDefault="00000000" w:rsidRPr="00000000" w14:paraId="000001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Sensified Awarded U.S. Patent for Temperature Monitoring Technology, accessed on July 16, 2026, </w:t>
      </w:r>
      <w:hyperlink r:id="rId84">
        <w:r w:rsidDel="00000000" w:rsidR="00000000" w:rsidRPr="00000000">
          <w:rPr>
            <w:rFonts w:ascii="Google Sans" w:cs="Google Sans" w:eastAsia="Google Sans" w:hAnsi="Google Sans"/>
            <w:color w:val="0000ee"/>
            <w:sz w:val="24"/>
            <w:szCs w:val="24"/>
            <w:u w:val="single"/>
            <w:rtl w:val="0"/>
          </w:rPr>
          <w:t xml:space="preserve">https://www.sensified.io/post/sensified-awarded-u-s-patent-for-temperature-monitoring-technology</w:t>
        </w:r>
      </w:hyperlink>
      <w:r w:rsidDel="00000000" w:rsidR="00000000" w:rsidRPr="00000000">
        <w:rPr>
          <w:rtl w:val="0"/>
        </w:rPr>
      </w:r>
    </w:p>
    <w:p w:rsidR="00000000" w:rsidDel="00000000" w:rsidP="00000000" w:rsidRDefault="00000000" w:rsidRPr="00000000" w14:paraId="000001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Logging Smart Sensor Patent Portfolio Applicable to Cold Chain, Industrial and Medical Use Cases, accessed on July 16, 2026, </w:t>
      </w:r>
      <w:hyperlink r:id="rId85">
        <w:r w:rsidDel="00000000" w:rsidR="00000000" w:rsidRPr="00000000">
          <w:rPr>
            <w:rFonts w:ascii="Google Sans" w:cs="Google Sans" w:eastAsia="Google Sans" w:hAnsi="Google Sans"/>
            <w:color w:val="0000ee"/>
            <w:sz w:val="24"/>
            <w:szCs w:val="24"/>
            <w:u w:val="single"/>
            <w:rtl w:val="0"/>
          </w:rPr>
          <w:t xml:space="preserve">https://files.lbr.cloud/public/2023-07/Geo-Tag%20-%20Temperature%20Logging%20Sensor%20-%20Portfolio%20Opportunity%20REDACTED.pdf?VersionId=9d636ncK6PGMaCS61KnJt5WBPWaKOhWx</w:t>
        </w:r>
      </w:hyperlink>
      <w:r w:rsidDel="00000000" w:rsidR="00000000" w:rsidRPr="00000000">
        <w:rPr>
          <w:rtl w:val="0"/>
        </w:rPr>
      </w:r>
    </w:p>
    <w:p w:rsidR="00000000" w:rsidDel="00000000" w:rsidP="00000000" w:rsidRDefault="00000000" w:rsidRPr="00000000" w14:paraId="000001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US9827529B2 - Breathable product for protective mass transportation and cold chain applications - Google Patents, accessed on July 16, 2026, </w:t>
      </w:r>
      <w:hyperlink r:id="rId86">
        <w:r w:rsidDel="00000000" w:rsidR="00000000" w:rsidRPr="00000000">
          <w:rPr>
            <w:rFonts w:ascii="Google Sans" w:cs="Google Sans" w:eastAsia="Google Sans" w:hAnsi="Google Sans"/>
            <w:color w:val="0000ee"/>
            <w:sz w:val="24"/>
            <w:szCs w:val="24"/>
            <w:u w:val="single"/>
            <w:rtl w:val="0"/>
          </w:rPr>
          <w:t xml:space="preserve">https://patents.google.com/patent/US9827529B2/nl</w:t>
        </w:r>
      </w:hyperlink>
      <w:r w:rsidDel="00000000" w:rsidR="00000000" w:rsidRPr="00000000">
        <w:rPr>
          <w:rtl w:val="0"/>
        </w:rPr>
      </w:r>
    </w:p>
    <w:p w:rsidR="00000000" w:rsidDel="00000000" w:rsidP="00000000" w:rsidRDefault="00000000" w:rsidRPr="00000000" w14:paraId="000001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US11067327B2 - Portable cooler with active temperature control - Google Patents, accessed on July 16, 2026, </w:t>
      </w:r>
      <w:hyperlink r:id="rId87">
        <w:r w:rsidDel="00000000" w:rsidR="00000000" w:rsidRPr="00000000">
          <w:rPr>
            <w:rFonts w:ascii="Google Sans" w:cs="Google Sans" w:eastAsia="Google Sans" w:hAnsi="Google Sans"/>
            <w:color w:val="0000ee"/>
            <w:sz w:val="24"/>
            <w:szCs w:val="24"/>
            <w:u w:val="single"/>
            <w:rtl w:val="0"/>
          </w:rPr>
          <w:t xml:space="preserve">https://patents.google.com/patent/US11067327B2/en</w:t>
        </w:r>
      </w:hyperlink>
      <w:r w:rsidDel="00000000" w:rsidR="00000000" w:rsidRPr="00000000">
        <w:rPr>
          <w:rtl w:val="0"/>
        </w:rPr>
      </w:r>
    </w:p>
    <w:p w:rsidR="00000000" w:rsidDel="00000000" w:rsidP="00000000" w:rsidRDefault="00000000" w:rsidRPr="00000000" w14:paraId="000001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US10430750B2 - System-independent data logging - Google Patents, accessed on July 16, 2026, </w:t>
      </w:r>
      <w:hyperlink r:id="rId88">
        <w:r w:rsidDel="00000000" w:rsidR="00000000" w:rsidRPr="00000000">
          <w:rPr>
            <w:rFonts w:ascii="Google Sans" w:cs="Google Sans" w:eastAsia="Google Sans" w:hAnsi="Google Sans"/>
            <w:color w:val="0000ee"/>
            <w:sz w:val="24"/>
            <w:szCs w:val="24"/>
            <w:u w:val="single"/>
            <w:rtl w:val="0"/>
          </w:rPr>
          <w:t xml:space="preserve">https://patents.google.com/patent/US10430750B2/en</w:t>
        </w:r>
      </w:hyperlink>
      <w:r w:rsidDel="00000000" w:rsidR="00000000" w:rsidRPr="00000000">
        <w:rPr>
          <w:rtl w:val="0"/>
        </w:rPr>
      </w:r>
    </w:p>
    <w:p w:rsidR="00000000" w:rsidDel="00000000" w:rsidP="00000000" w:rsidRDefault="00000000" w:rsidRPr="00000000" w14:paraId="000001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Monitoring Devices | Sensitech, accessed on July 16, 2026, </w:t>
      </w:r>
      <w:hyperlink r:id="rId89">
        <w:r w:rsidDel="00000000" w:rsidR="00000000" w:rsidRPr="00000000">
          <w:rPr>
            <w:rFonts w:ascii="Google Sans" w:cs="Google Sans" w:eastAsia="Google Sans" w:hAnsi="Google Sans"/>
            <w:color w:val="0000ee"/>
            <w:sz w:val="24"/>
            <w:szCs w:val="24"/>
            <w:u w:val="single"/>
            <w:rtl w:val="0"/>
          </w:rPr>
          <w:t xml:space="preserve">https://www.sensitech.com/en/products/monitors/</w:t>
        </w:r>
      </w:hyperlink>
      <w:r w:rsidDel="00000000" w:rsidR="00000000" w:rsidRPr="00000000">
        <w:rPr>
          <w:rtl w:val="0"/>
        </w:rPr>
      </w:r>
    </w:p>
    <w:p w:rsidR="00000000" w:rsidDel="00000000" w:rsidP="00000000" w:rsidRDefault="00000000" w:rsidRPr="00000000" w14:paraId="000001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History of Sensitech: Cold Chain Monitoring, accessed on July 16, 2026, </w:t>
      </w:r>
      <w:hyperlink r:id="rId90">
        <w:r w:rsidDel="00000000" w:rsidR="00000000" w:rsidRPr="00000000">
          <w:rPr>
            <w:rFonts w:ascii="Google Sans" w:cs="Google Sans" w:eastAsia="Google Sans" w:hAnsi="Google Sans"/>
            <w:color w:val="0000ee"/>
            <w:sz w:val="24"/>
            <w:szCs w:val="24"/>
            <w:u w:val="single"/>
            <w:rtl w:val="0"/>
          </w:rPr>
          <w:t xml:space="preserve">https://www.sensitech.com/en/blog/blog-articles/blog-sensitech-history-cold-chain.html</w:t>
        </w:r>
      </w:hyperlink>
      <w:r w:rsidDel="00000000" w:rsidR="00000000" w:rsidRPr="00000000">
        <w:rPr>
          <w:rtl w:val="0"/>
        </w:rPr>
      </w:r>
    </w:p>
    <w:p w:rsidR="00000000" w:rsidDel="00000000" w:rsidP="00000000" w:rsidRDefault="00000000" w:rsidRPr="00000000" w14:paraId="000001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Patents Assigned to Sensitech, Inc., accessed on July 16, 2026, </w:t>
      </w:r>
      <w:hyperlink r:id="rId91">
        <w:r w:rsidDel="00000000" w:rsidR="00000000" w:rsidRPr="00000000">
          <w:rPr>
            <w:rFonts w:ascii="Google Sans" w:cs="Google Sans" w:eastAsia="Google Sans" w:hAnsi="Google Sans"/>
            <w:color w:val="0000ee"/>
            <w:sz w:val="24"/>
            <w:szCs w:val="24"/>
            <w:u w:val="single"/>
            <w:rtl w:val="0"/>
          </w:rPr>
          <w:t xml:space="preserve">https://patents.justia.com/assignee/sensitech-inc</w:t>
        </w:r>
      </w:hyperlink>
      <w:r w:rsidDel="00000000" w:rsidR="00000000" w:rsidRPr="00000000">
        <w:rPr>
          <w:rtl w:val="0"/>
        </w:rPr>
      </w:r>
    </w:p>
    <w:p w:rsidR="00000000" w:rsidDel="00000000" w:rsidP="00000000" w:rsidRDefault="00000000" w:rsidRPr="00000000" w14:paraId="000001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Logger - Transport, Storage &amp; Pharma Cold Chain - Tec4med, accessed on July 16, 2026, </w:t>
      </w:r>
      <w:hyperlink r:id="rId92">
        <w:r w:rsidDel="00000000" w:rsidR="00000000" w:rsidRPr="00000000">
          <w:rPr>
            <w:rFonts w:ascii="Google Sans" w:cs="Google Sans" w:eastAsia="Google Sans" w:hAnsi="Google Sans"/>
            <w:color w:val="0000ee"/>
            <w:sz w:val="24"/>
            <w:szCs w:val="24"/>
            <w:u w:val="single"/>
            <w:rtl w:val="0"/>
          </w:rPr>
          <w:t xml:space="preserve">https://www.tec4med.com/data-logger-temperature-pharma-logistics/</w:t>
        </w:r>
      </w:hyperlink>
      <w:r w:rsidDel="00000000" w:rsidR="00000000" w:rsidRPr="00000000">
        <w:rPr>
          <w:rtl w:val="0"/>
        </w:rPr>
      </w:r>
    </w:p>
    <w:p w:rsidR="00000000" w:rsidDel="00000000" w:rsidP="00000000" w:rsidRDefault="00000000" w:rsidRPr="00000000" w14:paraId="000001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US20220341658A1 - System for evaluating the insulation properties of a thermally insulated transport unit - Google Patents, accessed on July 16, 2026, </w:t>
      </w:r>
      <w:hyperlink r:id="rId93">
        <w:r w:rsidDel="00000000" w:rsidR="00000000" w:rsidRPr="00000000">
          <w:rPr>
            <w:rFonts w:ascii="Google Sans" w:cs="Google Sans" w:eastAsia="Google Sans" w:hAnsi="Google Sans"/>
            <w:color w:val="0000ee"/>
            <w:sz w:val="24"/>
            <w:szCs w:val="24"/>
            <w:u w:val="single"/>
            <w:rtl w:val="0"/>
          </w:rPr>
          <w:t xml:space="preserve">https://patents.google.com/patent/US20220341658A1/en</w:t>
        </w:r>
      </w:hyperlink>
      <w:r w:rsidDel="00000000" w:rsidR="00000000" w:rsidRPr="00000000">
        <w:rPr>
          <w:rtl w:val="0"/>
        </w:rPr>
      </w:r>
    </w:p>
    <w:p w:rsidR="00000000" w:rsidDel="00000000" w:rsidP="00000000" w:rsidRDefault="00000000" w:rsidRPr="00000000" w14:paraId="000001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Interactions between Package Design, Airflow, Heat and Mass Transfer, and Logistics in Cold Chain Facilities for Horticultural Products - MDPI, accessed on July 16, 2026, </w:t>
      </w:r>
      <w:hyperlink r:id="rId94">
        <w:r w:rsidDel="00000000" w:rsidR="00000000" w:rsidRPr="00000000">
          <w:rPr>
            <w:rFonts w:ascii="Google Sans" w:cs="Google Sans" w:eastAsia="Google Sans" w:hAnsi="Google Sans"/>
            <w:color w:val="0000ee"/>
            <w:sz w:val="24"/>
            <w:szCs w:val="24"/>
            <w:u w:val="single"/>
            <w:rtl w:val="0"/>
          </w:rPr>
          <w:t xml:space="preserve">https://www.mdpi.com/1996-1073/15/22/8659</w:t>
        </w:r>
      </w:hyperlink>
      <w:r w:rsidDel="00000000" w:rsidR="00000000" w:rsidRPr="00000000">
        <w:rPr>
          <w:rtl w:val="0"/>
        </w:rPr>
      </w:r>
    </w:p>
    <w:p w:rsidR="00000000" w:rsidDel="00000000" w:rsidP="00000000" w:rsidRDefault="00000000" w:rsidRPr="00000000" w14:paraId="000001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US20200408453A1 - Method and system for maintaining temperature-sensitive materials within a desired temperature range for a period of time - Google Patents, accessed on July 16, 2026, </w:t>
      </w:r>
      <w:hyperlink r:id="rId95">
        <w:r w:rsidDel="00000000" w:rsidR="00000000" w:rsidRPr="00000000">
          <w:rPr>
            <w:rFonts w:ascii="Google Sans" w:cs="Google Sans" w:eastAsia="Google Sans" w:hAnsi="Google Sans"/>
            <w:color w:val="0000ee"/>
            <w:sz w:val="24"/>
            <w:szCs w:val="24"/>
            <w:u w:val="single"/>
            <w:rtl w:val="0"/>
          </w:rPr>
          <w:t xml:space="preserve">https://patents.google.com/patent/US20200408453A1/en</w:t>
        </w:r>
      </w:hyperlink>
      <w:r w:rsidDel="00000000" w:rsidR="00000000" w:rsidRPr="00000000">
        <w:rPr>
          <w:rtl w:val="0"/>
        </w:rPr>
      </w:r>
    </w:p>
    <w:p w:rsidR="00000000" w:rsidDel="00000000" w:rsidP="00000000" w:rsidRDefault="00000000" w:rsidRPr="00000000" w14:paraId="000001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US20190210790A1 - Shipping system for storing and/or transporting temperature-sensitive materials - Google Patents, accessed on July 16, 2026, </w:t>
      </w:r>
      <w:hyperlink r:id="rId96">
        <w:r w:rsidDel="00000000" w:rsidR="00000000" w:rsidRPr="00000000">
          <w:rPr>
            <w:rFonts w:ascii="Google Sans" w:cs="Google Sans" w:eastAsia="Google Sans" w:hAnsi="Google Sans"/>
            <w:color w:val="0000ee"/>
            <w:sz w:val="24"/>
            <w:szCs w:val="24"/>
            <w:u w:val="single"/>
            <w:rtl w:val="0"/>
          </w:rPr>
          <w:t xml:space="preserve">https://patents.google.com/patent/US20190210790A1/en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tents.justia.com/patent/20240184282" TargetMode="External"/><Relationship Id="rId84" Type="http://schemas.openxmlformats.org/officeDocument/2006/relationships/hyperlink" Target="https://www.sensified.io/post/sensified-awarded-u-s-patent-for-temperature-monitoring-technology" TargetMode="External"/><Relationship Id="rId83" Type="http://schemas.openxmlformats.org/officeDocument/2006/relationships/hyperlink" Target="https://patents.google.com/patent/US6950028B2/en" TargetMode="External"/><Relationship Id="rId42" Type="http://schemas.openxmlformats.org/officeDocument/2006/relationships/hyperlink" Target="https://patents.google.com/patent/WO2021108680A1/en" TargetMode="External"/><Relationship Id="rId86" Type="http://schemas.openxmlformats.org/officeDocument/2006/relationships/hyperlink" Target="https://patents.google.com/patent/US9827529B2/nl" TargetMode="External"/><Relationship Id="rId41" Type="http://schemas.openxmlformats.org/officeDocument/2006/relationships/hyperlink" Target="https://patents.justia.com/inventor/raj-rakshit" TargetMode="External"/><Relationship Id="rId85" Type="http://schemas.openxmlformats.org/officeDocument/2006/relationships/hyperlink" Target="https://files.lbr.cloud/public/2023-07/Geo-Tag%20-%20Temperature%20Logging%20Sensor%20-%20Portfolio%20Opportunity%20REDACTED.pdf?VersionId=9d636ncK6PGMaCS61KnJt5WBPWaKOhWx" TargetMode="External"/><Relationship Id="rId44" Type="http://schemas.openxmlformats.org/officeDocument/2006/relationships/hyperlink" Target="https://patents.google.com/patent/WO2025076537A1/en" TargetMode="External"/><Relationship Id="rId88" Type="http://schemas.openxmlformats.org/officeDocument/2006/relationships/hyperlink" Target="https://patents.google.com/patent/US10430750B2/en" TargetMode="External"/><Relationship Id="rId43" Type="http://schemas.openxmlformats.org/officeDocument/2006/relationships/hyperlink" Target="https://patents.google.com/patent/US3882383A/en" TargetMode="External"/><Relationship Id="rId87" Type="http://schemas.openxmlformats.org/officeDocument/2006/relationships/hyperlink" Target="https://patents.google.com/patent/US11067327B2/en" TargetMode="External"/><Relationship Id="rId46" Type="http://schemas.openxmlformats.org/officeDocument/2006/relationships/hyperlink" Target="https://patents.google.com/patent/US20150330932A1/en" TargetMode="External"/><Relationship Id="rId45" Type="http://schemas.openxmlformats.org/officeDocument/2006/relationships/hyperlink" Target="https://eureka.patsnap.com/patent-US20150330932A1" TargetMode="External"/><Relationship Id="rId89" Type="http://schemas.openxmlformats.org/officeDocument/2006/relationships/hyperlink" Target="https://www.sensitech.com/en/products/monitors/" TargetMode="External"/><Relationship Id="rId80" Type="http://schemas.openxmlformats.org/officeDocument/2006/relationships/hyperlink" Target="https://blog.atomation.net/why-building-iot-in-house-might-fail" TargetMode="External"/><Relationship Id="rId82" Type="http://schemas.openxmlformats.org/officeDocument/2006/relationships/hyperlink" Target="https://patents.google.com/patent/US20040212509A1/en" TargetMode="External"/><Relationship Id="rId81" Type="http://schemas.openxmlformats.org/officeDocument/2006/relationships/hyperlink" Target="https://ecejournals.in/index.php/ESA/article/view/3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tents.google.com/patent/WO2015189863A2/en" TargetMode="External"/><Relationship Id="rId48" Type="http://schemas.openxmlformats.org/officeDocument/2006/relationships/hyperlink" Target="https://patents.google.com/patent/US20150181817A1/en" TargetMode="External"/><Relationship Id="rId47" Type="http://schemas.openxmlformats.org/officeDocument/2006/relationships/hyperlink" Target="https://patents.google.com/patent/US8981946B2/en" TargetMode="External"/><Relationship Id="rId49" Type="http://schemas.openxmlformats.org/officeDocument/2006/relationships/hyperlink" Target="https://www.mdpi.com/1424-8220/24/7/2206" TargetMode="External"/><Relationship Id="rId5" Type="http://schemas.openxmlformats.org/officeDocument/2006/relationships/styles" Target="styles.xml"/><Relationship Id="rId6" Type="http://schemas.openxmlformats.org/officeDocument/2006/relationships/hyperlink" Target="https://patents.google.com/patent/US6743021B2/en" TargetMode="External"/><Relationship Id="rId7" Type="http://schemas.openxmlformats.org/officeDocument/2006/relationships/hyperlink" Target="https://patents.google.com/patent/US8770981B2/en" TargetMode="External"/><Relationship Id="rId8" Type="http://schemas.openxmlformats.org/officeDocument/2006/relationships/hyperlink" Target="https://patents.google.com/patent/US20130203022A1/en" TargetMode="External"/><Relationship Id="rId73" Type="http://schemas.openxmlformats.org/officeDocument/2006/relationships/hyperlink" Target="https://www.st.com/en/embedded-software/x-cube-sbsfu.html" TargetMode="External"/><Relationship Id="rId72" Type="http://schemas.openxmlformats.org/officeDocument/2006/relationships/hyperlink" Target="https://github.com/Infineon/mtb-example-wifi-mcuboot-rollback" TargetMode="External"/><Relationship Id="rId31" Type="http://schemas.openxmlformats.org/officeDocument/2006/relationships/hyperlink" Target="https://tractian.com/en/blog/mechanical-vibrations-in-asset-monitoring" TargetMode="External"/><Relationship Id="rId75" Type="http://schemas.openxmlformats.org/officeDocument/2006/relationships/hyperlink" Target="https://kolegite.com/EE_library/application_notes/MCU/STM32/STM32_Security.pdf" TargetMode="External"/><Relationship Id="rId30" Type="http://schemas.openxmlformats.org/officeDocument/2006/relationships/hyperlink" Target="https://tractian.com/en/blog/patent-fault-detection-industry-technology-uspto" TargetMode="External"/><Relationship Id="rId74" Type="http://schemas.openxmlformats.org/officeDocument/2006/relationships/hyperlink" Target="https://www.st.com/en/solutions-reference-designs/sl-ssise011401v1.html" TargetMode="External"/><Relationship Id="rId33" Type="http://schemas.openxmlformats.org/officeDocument/2006/relationships/hyperlink" Target="https://businessmodelcanvastemplate.com/blogs/competitors/augury-competitive-landscape" TargetMode="External"/><Relationship Id="rId77" Type="http://schemas.openxmlformats.org/officeDocument/2006/relationships/hyperlink" Target="https://tf-m.docs.trustedfirmware.org/en/latest/design_docs/booting/secure_boot_rollback_protection.html" TargetMode="External"/><Relationship Id="rId32" Type="http://schemas.openxmlformats.org/officeDocument/2006/relationships/hyperlink" Target="https://tractian.com/en/blog/tractian-which-assets-does-the-sensor-monitor" TargetMode="External"/><Relationship Id="rId76" Type="http://schemas.openxmlformats.org/officeDocument/2006/relationships/hyperlink" Target="https://dev.to/ripan030/mcuboot-secure-boot-in-zephyr-4aoi" TargetMode="External"/><Relationship Id="rId35" Type="http://schemas.openxmlformats.org/officeDocument/2006/relationships/hyperlink" Target="https://www.manufacturersalliance.org/research-insights/design-engineering-production-and-maintenance" TargetMode="External"/><Relationship Id="rId79" Type="http://schemas.openxmlformats.org/officeDocument/2006/relationships/hyperlink" Target="https://static.crysys.hu/publications/files/setit/thesis_bme_Gedeon20bsc.pdf" TargetMode="External"/><Relationship Id="rId34" Type="http://schemas.openxmlformats.org/officeDocument/2006/relationships/hyperlink" Target="https://shorelineai.us/faq/" TargetMode="External"/><Relationship Id="rId78" Type="http://schemas.openxmlformats.org/officeDocument/2006/relationships/hyperlink" Target="https://docs.mcuboot.com/SECURITY.html" TargetMode="External"/><Relationship Id="rId71" Type="http://schemas.openxmlformats.org/officeDocument/2006/relationships/hyperlink" Target="https://www.st.com/resource/en/flyer/flxcubesbsfu.pdf" TargetMode="External"/><Relationship Id="rId70" Type="http://schemas.openxmlformats.org/officeDocument/2006/relationships/hyperlink" Target="https://developer.arm.com/-/media/Arm%20Developer%20Community/PDF/PSA/DEN0072-PSA_TBFU_1-0-REL.pdf" TargetMode="External"/><Relationship Id="rId37" Type="http://schemas.openxmlformats.org/officeDocument/2006/relationships/hyperlink" Target="https://patents.google.com/patent/US5963884A/en" TargetMode="External"/><Relationship Id="rId36" Type="http://schemas.openxmlformats.org/officeDocument/2006/relationships/hyperlink" Target="https://tractian.com/en/blog/best-ai-predictive-maintenance-software" TargetMode="External"/><Relationship Id="rId39" Type="http://schemas.openxmlformats.org/officeDocument/2006/relationships/hyperlink" Target="https://patents.google.com/patent/US10991381B2/en" TargetMode="External"/><Relationship Id="rId38" Type="http://schemas.openxmlformats.org/officeDocument/2006/relationships/hyperlink" Target="https://patents.google.com/patent/EP1080347A1/en" TargetMode="External"/><Relationship Id="rId62" Type="http://schemas.openxmlformats.org/officeDocument/2006/relationships/hyperlink" Target="https://patents.google.com/patent/CN102435645A/en" TargetMode="External"/><Relationship Id="rId61" Type="http://schemas.openxmlformats.org/officeDocument/2006/relationships/hyperlink" Target="https://patents.google.com/patent/US7170302B2/en" TargetMode="External"/><Relationship Id="rId20" Type="http://schemas.openxmlformats.org/officeDocument/2006/relationships/hyperlink" Target="https://solve.mit.edu/challenges/community-driven-innovation/solutions/10672" TargetMode="External"/><Relationship Id="rId64" Type="http://schemas.openxmlformats.org/officeDocument/2006/relationships/hyperlink" Target="https://patents.google.com/patent/US20060143600A1/en" TargetMode="External"/><Relationship Id="rId63" Type="http://schemas.openxmlformats.org/officeDocument/2006/relationships/hyperlink" Target="https://patents.google.com/patent/US5937063A/en" TargetMode="External"/><Relationship Id="rId22" Type="http://schemas.openxmlformats.org/officeDocument/2006/relationships/hyperlink" Target="https://www.forinsightsconsultancy.com/reports/digital-braille-displays-market" TargetMode="External"/><Relationship Id="rId66" Type="http://schemas.openxmlformats.org/officeDocument/2006/relationships/hyperlink" Target="https://patents.google.com/patent/US20220335132A1/en" TargetMode="External"/><Relationship Id="rId21" Type="http://schemas.openxmlformats.org/officeDocument/2006/relationships/hyperlink" Target="https://www.knowyourstar.com/team-innovision-brailleme/" TargetMode="External"/><Relationship Id="rId65" Type="http://schemas.openxmlformats.org/officeDocument/2006/relationships/hyperlink" Target="https://patents.google.com/patent/US11507654B2/en" TargetMode="External"/><Relationship Id="rId24" Type="http://schemas.openxmlformats.org/officeDocument/2006/relationships/hyperlink" Target="https://www.goveda.com/patent/CN-116612680-A" TargetMode="External"/><Relationship Id="rId68" Type="http://schemas.openxmlformats.org/officeDocument/2006/relationships/hyperlink" Target="https://patents.google.com/patent/US11662991B2/zh" TargetMode="External"/><Relationship Id="rId23" Type="http://schemas.openxmlformats.org/officeDocument/2006/relationships/hyperlink" Target="https://www.dotincorp.com/en/news/95" TargetMode="External"/><Relationship Id="rId67" Type="http://schemas.openxmlformats.org/officeDocument/2006/relationships/hyperlink" Target="https://ecejournals.in/index.php/PECE/article/view/424" TargetMode="External"/><Relationship Id="rId60" Type="http://schemas.openxmlformats.org/officeDocument/2006/relationships/hyperlink" Target="https://pmc.ncbi.nlm.nih.gov/articles/PMC3571855/" TargetMode="External"/><Relationship Id="rId26" Type="http://schemas.openxmlformats.org/officeDocument/2006/relationships/hyperlink" Target="https://www.patsnap.com/resources/blog/articles/sensor-fusion-predictive-maintenance-patents-2025/" TargetMode="External"/><Relationship Id="rId25" Type="http://schemas.openxmlformats.org/officeDocument/2006/relationships/hyperlink" Target="https://patents.google.com/patent/US10254499B1/en" TargetMode="External"/><Relationship Id="rId69" Type="http://schemas.openxmlformats.org/officeDocument/2006/relationships/hyperlink" Target="https://patents.google.com/patent/WO2018126029A2/en" TargetMode="External"/><Relationship Id="rId28" Type="http://schemas.openxmlformats.org/officeDocument/2006/relationships/hyperlink" Target="https://patents.google.com/patent/EP4320493A2/en" TargetMode="External"/><Relationship Id="rId27" Type="http://schemas.openxmlformats.org/officeDocument/2006/relationships/hyperlink" Target="https://patents.google.com/patent/US6370957B1/en" TargetMode="External"/><Relationship Id="rId29" Type="http://schemas.openxmlformats.org/officeDocument/2006/relationships/hyperlink" Target="https://patents.google.com/patent/US20210049444A1/en" TargetMode="External"/><Relationship Id="rId51" Type="http://schemas.openxmlformats.org/officeDocument/2006/relationships/hyperlink" Target="https://www.ctc-n.org/system/files/dossier/3b/D2.1.2%20Technology%20Fact%20Sheets.pdf" TargetMode="External"/><Relationship Id="rId95" Type="http://schemas.openxmlformats.org/officeDocument/2006/relationships/hyperlink" Target="https://patents.google.com/patent/US20200408453A1/en" TargetMode="External"/><Relationship Id="rId50" Type="http://schemas.openxmlformats.org/officeDocument/2006/relationships/hyperlink" Target="https://m.made-in-china.com/product/Substrate-Culture-Teros-12-5te-Ec-Temperature-Moisture-Soil-Sensor-2090679322.html" TargetMode="External"/><Relationship Id="rId94" Type="http://schemas.openxmlformats.org/officeDocument/2006/relationships/hyperlink" Target="https://www.mdpi.com/1996-1073/15/22/8659" TargetMode="External"/><Relationship Id="rId53" Type="http://schemas.openxmlformats.org/officeDocument/2006/relationships/hyperlink" Target="https://www.campbellsci.com.au/cs655" TargetMode="External"/><Relationship Id="rId52" Type="http://schemas.openxmlformats.org/officeDocument/2006/relationships/hyperlink" Target="https://www.campbellsci.com/cs655" TargetMode="External"/><Relationship Id="rId96" Type="http://schemas.openxmlformats.org/officeDocument/2006/relationships/hyperlink" Target="https://patents.google.com/patent/US20190210790A1/en" TargetMode="External"/><Relationship Id="rId11" Type="http://schemas.openxmlformats.org/officeDocument/2006/relationships/hyperlink" Target="https://patents.google.com/patent/CA3120784A1/en" TargetMode="External"/><Relationship Id="rId55" Type="http://schemas.openxmlformats.org/officeDocument/2006/relationships/hyperlink" Target="https://www.mdpi.com/2224-2708/13/3/32" TargetMode="External"/><Relationship Id="rId10" Type="http://schemas.openxmlformats.org/officeDocument/2006/relationships/hyperlink" Target="https://soundability.eecs.umich.edu/img/portfolio/Jain_Tacread_MESA2013.pdf" TargetMode="External"/><Relationship Id="rId54" Type="http://schemas.openxmlformats.org/officeDocument/2006/relationships/hyperlink" Target="https://s.campbellsci.com/documents/us/product-brochures/b_cs655.pdf" TargetMode="External"/><Relationship Id="rId13" Type="http://schemas.openxmlformats.org/officeDocument/2006/relationships/hyperlink" Target="https://patents.google.com/patent/EP4049116A1/en" TargetMode="External"/><Relationship Id="rId57" Type="http://schemas.openxmlformats.org/officeDocument/2006/relationships/hyperlink" Target="https://www.mdpi.com/1424-8220/24/3/952" TargetMode="External"/><Relationship Id="rId12" Type="http://schemas.openxmlformats.org/officeDocument/2006/relationships/hyperlink" Target="https://patents.google.com/patent/US11854423B1/en" TargetMode="External"/><Relationship Id="rId56" Type="http://schemas.openxmlformats.org/officeDocument/2006/relationships/hyperlink" Target="https://patents.google.com/patent/US20240302311A1/en" TargetMode="External"/><Relationship Id="rId91" Type="http://schemas.openxmlformats.org/officeDocument/2006/relationships/hyperlink" Target="https://patents.justia.com/assignee/sensitech-inc" TargetMode="External"/><Relationship Id="rId90" Type="http://schemas.openxmlformats.org/officeDocument/2006/relationships/hyperlink" Target="https://www.sensitech.com/en/blog/blog-articles/blog-sensitech-history-cold-chain.html" TargetMode="External"/><Relationship Id="rId93" Type="http://schemas.openxmlformats.org/officeDocument/2006/relationships/hyperlink" Target="https://patents.google.com/patent/US20220341658A1/en" TargetMode="External"/><Relationship Id="rId92" Type="http://schemas.openxmlformats.org/officeDocument/2006/relationships/hyperlink" Target="https://www.tec4med.com/data-logger-temperature-pharma-logistics/" TargetMode="External"/><Relationship Id="rId15" Type="http://schemas.openxmlformats.org/officeDocument/2006/relationships/hyperlink" Target="https://www.brandinginasia.com/innovative-dot-pad-from-south-korea-makes-images-touchable-for-the-visually-impaired/" TargetMode="External"/><Relationship Id="rId59" Type="http://schemas.openxmlformats.org/officeDocument/2006/relationships/hyperlink" Target="https://www.researchgate.net/publication/342751186_Capacitive_Soil_Moisture_Sensor_Theory_Calibration_and_Testing" TargetMode="External"/><Relationship Id="rId14" Type="http://schemas.openxmlformats.org/officeDocument/2006/relationships/hyperlink" Target="https://korean-electronics.com/tag/dot-incorporation/" TargetMode="External"/><Relationship Id="rId58" Type="http://schemas.openxmlformats.org/officeDocument/2006/relationships/hyperlink" Target="https://www.mdpi.com/1424-8220/26/11/3366" TargetMode="External"/><Relationship Id="rId17" Type="http://schemas.openxmlformats.org/officeDocument/2006/relationships/hyperlink" Target="https://www.orbitresearch.com/orbit-research-and-the-transforming-braille-group-introduce-the-worlds-most-affordable-refreshable-braille-display/" TargetMode="External"/><Relationship Id="rId16" Type="http://schemas.openxmlformats.org/officeDocument/2006/relationships/hyperlink" Target="https://www.rehacare.com/en/media-news/emag/lifestyle/dot-pad-vision-impairment" TargetMode="External"/><Relationship Id="rId19" Type="http://schemas.openxmlformats.org/officeDocument/2006/relationships/hyperlink" Target="https://www.orbitresearch.com/orbit-research-introduces-the-graphiti-plus-interactive-tactile-graphic-and-braille-display/" TargetMode="External"/><Relationship Id="rId18" Type="http://schemas.openxmlformats.org/officeDocument/2006/relationships/hyperlink" Target="https://www.orbitresearch.com/products/blindness-products/tactile-graphic-displays/graphiti-plus-interactive-tactile-graphics-and-braille-compu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