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ptos" w:hAnsi="Aptos"/>
          <w:b/>
          <w:color w:val="2F5460"/>
          <w:sz w:val="24"/>
        </w:rPr>
        <w:t>PROJECT mC</w:t>
      </w:r>
    </w:p>
    <w:p>
      <w:pPr>
        <w:spacing w:after="60"/>
        <w:jc w:val="center"/>
      </w:pPr>
      <w:r>
        <w:rPr>
          <w:rFonts w:ascii="Aptos" w:hAnsi="Aptos"/>
          <w:b/>
          <w:color w:val="1F4E79"/>
          <w:sz w:val="38"/>
        </w:rPr>
        <w:t>REQUEST FOR APPROVAL TO CHANGE THE SEMESTER PROJECT</w:t>
      </w:r>
    </w:p>
    <w:p>
      <w:pPr>
        <w:spacing w:after="160"/>
        <w:jc w:val="center"/>
      </w:pPr>
      <w:r>
        <w:rPr>
          <w:rFonts w:ascii="Aptos" w:hAnsi="Aptos"/>
          <w:b/>
          <w:color w:val="0070C0"/>
          <w:sz w:val="30"/>
        </w:rPr>
        <w:t>From OpenBraille to VibeGuard</w:t>
      </w:r>
    </w:p>
    <w:tbl>
      <w:tblPr>
        <w:tblW w:type="auto" w:w="0"/>
        <w:jc w:val="center"/>
        <w:tblLayout w:type="fixed"/>
        <w:tblLook w:firstColumn="1" w:firstRow="1" w:lastColumn="0" w:lastRow="0" w:noHBand="0" w:noVBand="1" w:val="04A0"/>
      </w:tblPr>
      <w:tblGrid>
        <w:gridCol w:w="4933"/>
        <w:gridCol w:w="4933"/>
      </w:tblGrid>
      <w:tr>
        <w:tc>
          <w:tcPr>
            <w:tcW w:type="dxa" w:w="2551"/>
            <w:shd w:fill="D9EAF7"/>
            <w:tcBorders>
              <w:top w:sz="4" w:val="single" w:color="B4C6E7"/>
              <w:left w:sz="4" w:val="single" w:color="B4C6E7"/>
              <w:bottom w:sz="4" w:val="single" w:color="B4C6E7"/>
              <w:right w:sz="4" w:val="single" w:color="B4C6E7"/>
            </w:tcBorders>
            <w:tcMar>
              <w:top w:w="80" w:type="dxa"/>
              <w:left w:w="80" w:type="dxa"/>
              <w:bottom w:w="80" w:type="dxa"/>
              <w:right w:w="80" w:type="dxa"/>
            </w:tcMar>
          </w:tcPr>
          <w:p>
            <w:r>
              <w:rPr>
                <w:rFonts w:ascii="Aptos" w:hAnsi="Aptos"/>
                <w:b/>
                <w:color w:val="1F4E79"/>
                <w:sz w:val="18"/>
              </w:rPr>
              <w:t>Course</w:t>
            </w:r>
          </w:p>
        </w:tc>
        <w:tc>
          <w:tcPr>
            <w:tcW w:type="dxa" w:w="7087"/>
            <w:tcBorders>
              <w:top w:sz="4" w:val="single" w:color="B4C6E7"/>
              <w:left w:sz="4" w:val="single" w:color="B4C6E7"/>
              <w:bottom w:sz="4" w:val="single" w:color="B4C6E7"/>
              <w:right w:sz="4" w:val="single" w:color="B4C6E7"/>
            </w:tcBorders>
            <w:tcMar>
              <w:top w:w="80" w:type="dxa"/>
              <w:left w:w="80" w:type="dxa"/>
              <w:bottom w:w="80" w:type="dxa"/>
              <w:right w:w="80" w:type="dxa"/>
            </w:tcMar>
          </w:tcPr>
          <w:p>
            <w:r>
              <w:rPr>
                <w:rFonts w:ascii="Aptos" w:hAnsi="Aptos"/>
                <w:sz w:val="18"/>
              </w:rPr>
              <w:t>PBCST504 - Microcontrollers Micro Project</w:t>
            </w:r>
          </w:p>
        </w:tc>
      </w:tr>
      <w:tr>
        <w:tc>
          <w:tcPr>
            <w:tcW w:type="dxa" w:w="2551"/>
            <w:shd w:fill="D9EAF7"/>
            <w:tcBorders>
              <w:top w:sz="4" w:val="single" w:color="B4C6E7"/>
              <w:left w:sz="4" w:val="single" w:color="B4C6E7"/>
              <w:bottom w:sz="4" w:val="single" w:color="B4C6E7"/>
              <w:right w:sz="4" w:val="single" w:color="B4C6E7"/>
            </w:tcBorders>
            <w:tcMar>
              <w:top w:w="80" w:type="dxa"/>
              <w:left w:w="80" w:type="dxa"/>
              <w:bottom w:w="80" w:type="dxa"/>
              <w:right w:w="80" w:type="dxa"/>
            </w:tcMar>
          </w:tcPr>
          <w:p>
            <w:r>
              <w:rPr>
                <w:rFonts w:ascii="Aptos" w:hAnsi="Aptos"/>
                <w:b/>
                <w:color w:val="1F4E79"/>
                <w:sz w:val="18"/>
              </w:rPr>
              <w:t>Programme</w:t>
            </w:r>
          </w:p>
        </w:tc>
        <w:tc>
          <w:tcPr>
            <w:tcW w:type="dxa" w:w="7087"/>
            <w:tcBorders>
              <w:top w:sz="4" w:val="single" w:color="B4C6E7"/>
              <w:left w:sz="4" w:val="single" w:color="B4C6E7"/>
              <w:bottom w:sz="4" w:val="single" w:color="B4C6E7"/>
              <w:right w:sz="4" w:val="single" w:color="B4C6E7"/>
            </w:tcBorders>
            <w:tcMar>
              <w:top w:w="80" w:type="dxa"/>
              <w:left w:w="80" w:type="dxa"/>
              <w:bottom w:w="80" w:type="dxa"/>
              <w:right w:w="80" w:type="dxa"/>
            </w:tcMar>
          </w:tcPr>
          <w:p>
            <w:r>
              <w:rPr>
                <w:rFonts w:ascii="Aptos" w:hAnsi="Aptos"/>
                <w:sz w:val="18"/>
              </w:rPr>
              <w:t>B.Tech Computer Science and Engineering (Cyber Security)</w:t>
            </w:r>
          </w:p>
        </w:tc>
      </w:tr>
      <w:tr>
        <w:tc>
          <w:tcPr>
            <w:tcW w:type="dxa" w:w="2551"/>
            <w:shd w:fill="D9EAF7"/>
            <w:tcBorders>
              <w:top w:sz="4" w:val="single" w:color="B4C6E7"/>
              <w:left w:sz="4" w:val="single" w:color="B4C6E7"/>
              <w:bottom w:sz="4" w:val="single" w:color="B4C6E7"/>
              <w:right w:sz="4" w:val="single" w:color="B4C6E7"/>
            </w:tcBorders>
            <w:tcMar>
              <w:top w:w="80" w:type="dxa"/>
              <w:left w:w="80" w:type="dxa"/>
              <w:bottom w:w="80" w:type="dxa"/>
              <w:right w:w="80" w:type="dxa"/>
            </w:tcMar>
          </w:tcPr>
          <w:p>
            <w:r>
              <w:rPr>
                <w:rFonts w:ascii="Aptos" w:hAnsi="Aptos"/>
                <w:b/>
                <w:color w:val="1F4E79"/>
                <w:sz w:val="18"/>
              </w:rPr>
              <w:t>Group</w:t>
            </w:r>
          </w:p>
        </w:tc>
        <w:tc>
          <w:tcPr>
            <w:tcW w:type="dxa" w:w="7087"/>
            <w:tcBorders>
              <w:top w:sz="4" w:val="single" w:color="B4C6E7"/>
              <w:left w:sz="4" w:val="single" w:color="B4C6E7"/>
              <w:bottom w:sz="4" w:val="single" w:color="B4C6E7"/>
              <w:right w:sz="4" w:val="single" w:color="B4C6E7"/>
            </w:tcBorders>
            <w:tcMar>
              <w:top w:w="80" w:type="dxa"/>
              <w:left w:w="80" w:type="dxa"/>
              <w:bottom w:w="80" w:type="dxa"/>
              <w:right w:w="80" w:type="dxa"/>
            </w:tcMar>
          </w:tcPr>
          <w:p>
            <w:r>
              <w:rPr>
                <w:rFonts w:ascii="Aptos" w:hAnsi="Aptos"/>
                <w:sz w:val="18"/>
              </w:rPr>
              <w:t>Group 8</w:t>
            </w:r>
          </w:p>
        </w:tc>
      </w:tr>
      <w:tr>
        <w:tc>
          <w:tcPr>
            <w:tcW w:type="dxa" w:w="2551"/>
            <w:shd w:fill="D9EAF7"/>
            <w:tcBorders>
              <w:top w:sz="4" w:val="single" w:color="B4C6E7"/>
              <w:left w:sz="4" w:val="single" w:color="B4C6E7"/>
              <w:bottom w:sz="4" w:val="single" w:color="B4C6E7"/>
              <w:right w:sz="4" w:val="single" w:color="B4C6E7"/>
            </w:tcBorders>
            <w:tcMar>
              <w:top w:w="80" w:type="dxa"/>
              <w:left w:w="80" w:type="dxa"/>
              <w:bottom w:w="80" w:type="dxa"/>
              <w:right w:w="80" w:type="dxa"/>
            </w:tcMar>
          </w:tcPr>
          <w:p>
            <w:r>
              <w:rPr>
                <w:rFonts w:ascii="Aptos" w:hAnsi="Aptos"/>
                <w:b/>
                <w:color w:val="1F4E79"/>
                <w:sz w:val="18"/>
              </w:rPr>
              <w:t>Project Coordinator</w:t>
            </w:r>
          </w:p>
        </w:tc>
        <w:tc>
          <w:tcPr>
            <w:tcW w:type="dxa" w:w="7087"/>
            <w:tcBorders>
              <w:top w:sz="4" w:val="single" w:color="B4C6E7"/>
              <w:left w:sz="4" w:val="single" w:color="B4C6E7"/>
              <w:bottom w:sz="4" w:val="single" w:color="B4C6E7"/>
              <w:right w:sz="4" w:val="single" w:color="B4C6E7"/>
            </w:tcBorders>
            <w:tcMar>
              <w:top w:w="80" w:type="dxa"/>
              <w:left w:w="80" w:type="dxa"/>
              <w:bottom w:w="80" w:type="dxa"/>
              <w:right w:w="80" w:type="dxa"/>
            </w:tcMar>
          </w:tcPr>
          <w:p>
            <w:r>
              <w:rPr>
                <w:rFonts w:ascii="Aptos" w:hAnsi="Aptos"/>
                <w:sz w:val="18"/>
              </w:rPr>
              <w:t>Ms. Sagna L T, Assistant Professor, CSE (CY)</w:t>
            </w:r>
          </w:p>
        </w:tc>
      </w:tr>
      <w:tr>
        <w:tc>
          <w:tcPr>
            <w:tcW w:type="dxa" w:w="2551"/>
            <w:shd w:fill="D9EAF7"/>
            <w:tcBorders>
              <w:top w:sz="4" w:val="single" w:color="B4C6E7"/>
              <w:left w:sz="4" w:val="single" w:color="B4C6E7"/>
              <w:bottom w:sz="4" w:val="single" w:color="B4C6E7"/>
              <w:right w:sz="4" w:val="single" w:color="B4C6E7"/>
            </w:tcBorders>
            <w:tcMar>
              <w:top w:w="80" w:type="dxa"/>
              <w:left w:w="80" w:type="dxa"/>
              <w:bottom w:w="80" w:type="dxa"/>
              <w:right w:w="80" w:type="dxa"/>
            </w:tcMar>
          </w:tcPr>
          <w:p>
            <w:r>
              <w:rPr>
                <w:rFonts w:ascii="Aptos" w:hAnsi="Aptos"/>
                <w:b/>
                <w:color w:val="1F4E79"/>
                <w:sz w:val="18"/>
              </w:rPr>
              <w:t>Date</w:t>
            </w:r>
          </w:p>
        </w:tc>
        <w:tc>
          <w:tcPr>
            <w:tcW w:type="dxa" w:w="7087"/>
            <w:tcBorders>
              <w:top w:sz="4" w:val="single" w:color="B4C6E7"/>
              <w:left w:sz="4" w:val="single" w:color="B4C6E7"/>
              <w:bottom w:sz="4" w:val="single" w:color="B4C6E7"/>
              <w:right w:sz="4" w:val="single" w:color="B4C6E7"/>
            </w:tcBorders>
            <w:tcMar>
              <w:top w:w="80" w:type="dxa"/>
              <w:left w:w="80" w:type="dxa"/>
              <w:bottom w:w="80" w:type="dxa"/>
              <w:right w:w="80" w:type="dxa"/>
            </w:tcMar>
          </w:tcPr>
          <w:p>
            <w:r>
              <w:rPr>
                <w:rFonts w:ascii="Aptos" w:hAnsi="Aptos"/>
                <w:sz w:val="18"/>
              </w:rPr>
              <w:t>03 August 2026</w:t>
            </w:r>
          </w:p>
        </w:tc>
      </w:tr>
    </w:tbl>
    <w:p/>
    <w:tbl>
      <w:tblPr>
        <w:tblW w:type="auto" w:w="0"/>
        <w:jc w:val="center"/>
        <w:tblLayout w:type="fixed"/>
        <w:tblLook w:firstColumn="1" w:firstRow="1" w:lastColumn="0" w:lastRow="0" w:noHBand="0" w:noVBand="1" w:val="04A0"/>
      </w:tblPr>
      <w:tblGrid>
        <w:gridCol w:w="9865"/>
      </w:tblGrid>
      <w:tr>
        <w:tc>
          <w:tcPr>
            <w:tcW w:type="dxa" w:w="9866"/>
            <w:vAlign w:val="center"/>
            <w:shd w:fill="E2F0D9"/>
            <w:tcBorders>
              <w:top w:sz="8" w:val="single" w:color="70AD47"/>
              <w:left w:sz="8" w:val="single" w:color="70AD47"/>
              <w:bottom w:sz="8" w:val="single" w:color="70AD47"/>
              <w:right w:sz="8" w:val="single" w:color="70AD47"/>
            </w:tcBorders>
            <w:tcMar>
              <w:top w:w="80" w:type="dxa"/>
              <w:left w:w="80" w:type="dxa"/>
              <w:bottom w:w="80" w:type="dxa"/>
              <w:right w:w="80" w:type="dxa"/>
            </w:tcMar>
          </w:tcPr>
          <w:p>
            <w:pPr>
              <w:spacing w:after="40"/>
            </w:pPr>
            <w:r>
              <w:rPr>
                <w:rFonts w:ascii="Aptos" w:hAnsi="Aptos"/>
                <w:b/>
                <w:color w:val="1F4E79"/>
                <w:sz w:val="21"/>
              </w:rPr>
              <w:t>Decision requested</w:t>
            </w:r>
          </w:p>
          <w:p>
            <w:pPr>
              <w:spacing w:after="0"/>
            </w:pPr>
            <w:r>
              <w:rPr>
                <w:rFonts w:ascii="Aptos" w:hAnsi="Aptos"/>
                <w:sz w:val="19"/>
              </w:rPr>
              <w:t>Approve the team's change from the frozen OpenBraille semester architecture to the frozen VibeGuard Level-1 architecture, while retaining OpenBraille as documented accessibility/mechatronics work and a possible future research project.</w:t>
            </w:r>
          </w:p>
        </w:tc>
      </w:tr>
    </w:tbl>
    <w:p>
      <w:pPr>
        <w:spacing w:after="0"/>
      </w:pPr>
    </w:p>
    <w:p>
      <w:pPr>
        <w:pStyle w:val="Heading1"/>
        <w:keepNext/>
        <w:spacing w:before="160" w:after="80"/>
      </w:pPr>
      <w:r>
        <w:rPr>
          <w:rFonts w:ascii="Aptos" w:hAnsi="Aptos"/>
          <w:b/>
          <w:color w:val="1F4E79"/>
          <w:sz w:val="28"/>
        </w:rPr>
        <w:t>1. Formal request</w:t>
      </w:r>
    </w:p>
    <w:p>
      <w:r>
        <w:rPr>
          <w:rFonts w:ascii="Aptos" w:hAnsi="Aptos"/>
          <w:b/>
          <w:sz w:val="19"/>
        </w:rPr>
        <w:t xml:space="preserve">To: </w:t>
      </w:r>
      <w:r>
        <w:rPr>
          <w:rFonts w:ascii="Aptos" w:hAnsi="Aptos"/>
          <w:sz w:val="19"/>
        </w:rPr>
        <w:t>Ms. Sagna L T, Project Coordinator</w:t>
      </w:r>
    </w:p>
    <w:p>
      <w:r>
        <w:rPr>
          <w:rFonts w:ascii="Aptos" w:hAnsi="Aptos"/>
          <w:b/>
          <w:sz w:val="19"/>
        </w:rPr>
        <w:t xml:space="preserve">Subject: </w:t>
      </w:r>
      <w:r>
        <w:rPr>
          <w:rFonts w:ascii="Aptos" w:hAnsi="Aptos"/>
          <w:sz w:val="19"/>
        </w:rPr>
        <w:t>Request to approve VibeGuard as the Group 8 semester implementation</w:t>
      </w:r>
    </w:p>
    <w:p>
      <w:pPr>
        <w:jc w:val="both"/>
      </w:pPr>
      <w:r>
        <w:rPr>
          <w:rFonts w:ascii="Aptos" w:hAnsi="Aptos"/>
          <w:sz w:val="19"/>
        </w:rPr>
        <w:t>The team respectfully requests permission to change the semester implementation from OpenBraille, which was presented during the zeroth review, to VibeGuard. OpenBraille was selected for the zeroth review while the planned comparative engineering, budget, validation and future-research assessment was still incomplete. That assessment has now been completed. It retains OpenBraille as a valuable accessibility project, but identifies VibeGuard as the lower-risk and better-aligned semester build.</w:t>
      </w:r>
    </w:p>
    <w:p>
      <w:pPr>
        <w:pStyle w:val="Heading1"/>
        <w:keepNext/>
        <w:spacing w:before="160" w:after="80"/>
      </w:pPr>
      <w:r>
        <w:rPr>
          <w:rFonts w:ascii="Aptos" w:hAnsi="Aptos"/>
          <w:b/>
          <w:color w:val="1F4E79"/>
          <w:sz w:val="28"/>
        </w:rPr>
        <w:t>2. Executive decision summary</w:t>
      </w:r>
    </w:p>
    <w:p>
      <w:pPr>
        <w:pStyle w:val="ListBullet"/>
        <w:spacing w:after="40"/>
        <w:ind w:left="113"/>
      </w:pPr>
      <w:r>
        <w:rPr>
          <w:rFonts w:ascii="Aptos" w:hAnsi="Aptos"/>
          <w:sz w:val="19"/>
        </w:rPr>
        <w:t>VibeGuard provides the strongest probability of completing a stable, measurable and demonstrable system within the semester.</w:t>
      </w:r>
    </w:p>
    <w:p>
      <w:pPr>
        <w:pStyle w:val="ListBullet"/>
        <w:spacing w:after="40"/>
        <w:ind w:left="113"/>
      </w:pPr>
      <w:r>
        <w:rPr>
          <w:rFonts w:ascii="Aptos" w:hAnsi="Aptos"/>
          <w:sz w:val="19"/>
        </w:rPr>
        <w:t>Its expected hardware budget is approximately ₹2,200, with a protected conservative envelope of approximately ₹3,900.</w:t>
      </w:r>
    </w:p>
    <w:p>
      <w:pPr>
        <w:pStyle w:val="ListBullet"/>
        <w:spacing w:after="40"/>
        <w:ind w:left="113"/>
      </w:pPr>
      <w:r>
        <w:rPr>
          <w:rFonts w:ascii="Aptos" w:hAnsi="Aptos"/>
          <w:sz w:val="19"/>
        </w:rPr>
        <w:t>Its main work aligns with ESP32 programming, embedded acquisition, signal processing, USB logging and quantitative testing - areas that match the team better than repeated precision mechanical fabrication.</w:t>
      </w:r>
    </w:p>
    <w:p>
      <w:pPr>
        <w:pStyle w:val="ListBullet"/>
        <w:spacing w:after="40"/>
        <w:ind w:left="113"/>
      </w:pPr>
      <w:r>
        <w:rPr>
          <w:rFonts w:ascii="Aptos" w:hAnsi="Aptos"/>
          <w:sz w:val="19"/>
        </w:rPr>
        <w:t>The requested switch is not based on a promise of patent grant. The ordinary VibeGuard semester MVP is treated as conventional.</w:t>
      </w:r>
    </w:p>
    <w:p>
      <w:pPr>
        <w:pStyle w:val="ListBullet"/>
        <w:spacing w:after="40"/>
        <w:ind w:left="113"/>
      </w:pPr>
      <w:r>
        <w:rPr>
          <w:rFonts w:ascii="Aptos" w:hAnsi="Aptos"/>
          <w:sz w:val="19"/>
        </w:rPr>
        <w:t>OpenBraille work will be preserved as a complete documented concept and may continue later as an accessibility/mechatronics research direction.</w:t>
      </w:r>
    </w:p>
    <w:p>
      <w:r>
        <w:br w:type="page"/>
      </w:r>
    </w:p>
    <w:p>
      <w:pPr>
        <w:pStyle w:val="Heading1"/>
        <w:keepNext/>
        <w:spacing w:before="160" w:after="80"/>
      </w:pPr>
      <w:r>
        <w:rPr>
          <w:rFonts w:ascii="Aptos" w:hAnsi="Aptos"/>
          <w:b/>
          <w:color w:val="1F4E79"/>
          <w:sz w:val="28"/>
        </w:rPr>
        <w:t>3. Why the zeroth-review choice is changing</w:t>
      </w:r>
    </w:p>
    <w:p>
      <w:pPr>
        <w:jc w:val="both"/>
      </w:pPr>
      <w:r>
        <w:rPr>
          <w:rFonts w:ascii="Aptos" w:hAnsi="Aptos"/>
          <w:sz w:val="19"/>
        </w:rPr>
        <w:t>The zeroth-review presentation correctly described OpenBraille as an affordable, macro-scale, single-cell Braille prototype using six low-cost servos and eccentric cams. The later review did not show that this was a poor idea. It showed that the two projects carry different kinds of semester risk.</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1871"/>
            <w:shd w:fill="1F4E79"/>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jc w:val="center"/>
            </w:pPr>
            <w:r>
              <w:rPr>
                <w:rFonts w:ascii="Aptos" w:hAnsi="Aptos"/>
                <w:b/>
                <w:color w:val="FFFFFF"/>
                <w:sz w:val="17"/>
              </w:rPr>
              <w:t>Concept</w:t>
            </w:r>
          </w:p>
        </w:tc>
        <w:tc>
          <w:tcPr>
            <w:tcW w:type="dxa" w:w="7767"/>
            <w:shd w:fill="1F4E79"/>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jc w:val="center"/>
            </w:pPr>
            <w:r>
              <w:rPr>
                <w:rFonts w:ascii="Aptos" w:hAnsi="Aptos"/>
                <w:b/>
                <w:color w:val="FFFFFF"/>
                <w:sz w:val="17"/>
              </w:rPr>
              <w:t>Main semester risk</w:t>
            </w:r>
          </w:p>
        </w:tc>
      </w:tr>
      <w:tr>
        <w:trPr>
          <w:cantSplit/>
        </w:trPr>
        <w:tc>
          <w:tcPr>
            <w:tcW w:type="dxa" w:w="1871"/>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spacing w:after="0"/>
            </w:pPr>
            <w:r>
              <w:rPr>
                <w:rFonts w:ascii="Aptos" w:hAnsi="Aptos"/>
                <w:b/>
                <w:color w:val="1F4E79"/>
                <w:sz w:val="18"/>
              </w:rPr>
              <w:t>OpenBraille</w:t>
            </w:r>
          </w:p>
        </w:tc>
        <w:tc>
          <w:tcPr>
            <w:tcW w:type="dxa" w:w="7767"/>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spacing w:after="0"/>
            </w:pPr>
            <w:r>
              <w:rPr>
                <w:rFonts w:ascii="Aptos" w:hAnsi="Aptos"/>
                <w:sz w:val="18"/>
              </w:rPr>
              <w:t>Mechanical iteration risk: guide friction, cam alignment, pin travel, active retraction, six-servo current demand, wear and tactile-state confirmation.</w:t>
            </w:r>
          </w:p>
        </w:tc>
      </w:tr>
      <w:tr>
        <w:trPr>
          <w:cantSplit/>
        </w:trPr>
        <w:tc>
          <w:tcPr>
            <w:tcW w:type="dxa" w:w="1871"/>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spacing w:after="0"/>
            </w:pPr>
            <w:r>
              <w:rPr>
                <w:rFonts w:ascii="Aptos" w:hAnsi="Aptos"/>
                <w:b/>
                <w:color w:val="1F4E79"/>
                <w:sz w:val="18"/>
              </w:rPr>
              <w:t>VibeGuard</w:t>
            </w:r>
          </w:p>
        </w:tc>
        <w:tc>
          <w:tcPr>
            <w:tcW w:type="dxa" w:w="7767"/>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spacing w:after="0"/>
            </w:pPr>
            <w:r>
              <w:rPr>
                <w:rFonts w:ascii="Aptos" w:hAnsi="Aptos"/>
                <w:sz w:val="18"/>
              </w:rPr>
              <w:t>Data-validity risk: sensor authenticity, rigid mounting, repeatable fault injection, stable sampling, threshold selection and held-out validation.</w:t>
            </w:r>
          </w:p>
        </w:tc>
      </w:tr>
    </w:tbl>
    <w:p>
      <w:pPr>
        <w:jc w:val="both"/>
      </w:pPr>
      <w:r>
        <w:rPr>
          <w:rFonts w:ascii="Aptos" w:hAnsi="Aptos"/>
          <w:sz w:val="19"/>
        </w:rPr>
        <w:t>For this five-member CSE (Cyber Security) team, VibeGuard's risks are easier to isolate through scripted experiments and logs. OpenBraille can succeed, but a mechanical redesign can restart CAD, printing, assembly and power testing. VibeGuard allows faster recovery because the sensor, controller, rig, firmware and analysis can be tested as separate subsystems.</w:t>
      </w:r>
    </w:p>
    <w:p>
      <w:pPr>
        <w:pStyle w:val="Heading1"/>
        <w:keepNext/>
        <w:spacing w:before="160" w:after="80"/>
      </w:pPr>
      <w:r>
        <w:rPr>
          <w:rFonts w:ascii="Aptos" w:hAnsi="Aptos"/>
          <w:b/>
          <w:color w:val="1F4E79"/>
          <w:sz w:val="28"/>
        </w:rPr>
        <w:t>4. Frozen semester architectures</w:t>
      </w:r>
    </w:p>
    <w:p>
      <w:pPr>
        <w:pStyle w:val="Heading2"/>
        <w:keepNext/>
        <w:spacing w:before="100" w:after="80"/>
      </w:pPr>
      <w:r>
        <w:rPr>
          <w:rFonts w:ascii="Aptos" w:hAnsi="Aptos"/>
          <w:b/>
          <w:color w:val="2F5460"/>
          <w:sz w:val="23"/>
        </w:rPr>
        <w:t>4.1 Proposed VibeGuard build</w:t>
      </w:r>
    </w:p>
    <w:p>
      <w:pPr>
        <w:pStyle w:val="ListBullet"/>
        <w:spacing w:after="40"/>
        <w:ind w:left="113"/>
      </w:pPr>
      <w:r>
        <w:rPr>
          <w:rFonts w:ascii="Aptos" w:hAnsi="Aptos"/>
          <w:sz w:val="19"/>
        </w:rPr>
        <w:t>One rigidly mounted ADXL345-class tri-axis accelerometer connected to an ESP32 over SPI.</w:t>
      </w:r>
    </w:p>
    <w:p>
      <w:pPr>
        <w:pStyle w:val="ListBullet"/>
        <w:spacing w:after="40"/>
        <w:ind w:left="113"/>
      </w:pPr>
      <w:r>
        <w:rPr>
          <w:rFonts w:ascii="Aptos" w:hAnsi="Aptos"/>
          <w:sz w:val="19"/>
        </w:rPr>
        <w:t>Continuous time-domain features, with RMS plus persistence as the minimum classifier.</w:t>
      </w:r>
    </w:p>
    <w:p>
      <w:pPr>
        <w:pStyle w:val="ListBullet"/>
        <w:spacing w:after="40"/>
        <w:ind w:left="113"/>
      </w:pPr>
      <w:r>
        <w:rPr>
          <w:rFonts w:ascii="Aptos" w:hAnsi="Aptos"/>
          <w:sz w:val="19"/>
        </w:rPr>
        <w:t>Triggered FFT and selected frequency-band features for explanation and comparison.</w:t>
      </w:r>
    </w:p>
    <w:p>
      <w:pPr>
        <w:pStyle w:val="ListBullet"/>
        <w:spacing w:after="40"/>
        <w:ind w:left="113"/>
      </w:pPr>
      <w:r>
        <w:rPr>
          <w:rFonts w:ascii="Aptos" w:hAnsi="Aptos"/>
          <w:sz w:val="19"/>
        </w:rPr>
        <w:t>Optional ordinary Mahalanobis anomaly score only as a comparative method.</w:t>
      </w:r>
    </w:p>
    <w:p>
      <w:pPr>
        <w:pStyle w:val="ListBullet"/>
        <w:spacing w:after="40"/>
        <w:ind w:left="113"/>
      </w:pPr>
      <w:r>
        <w:rPr>
          <w:rFonts w:ascii="Aptos" w:hAnsi="Aptos"/>
          <w:sz w:val="19"/>
        </w:rPr>
        <w:t>Local RGB indication and USB data logging.</w:t>
      </w:r>
    </w:p>
    <w:p>
      <w:pPr>
        <w:pStyle w:val="ListBullet"/>
        <w:spacing w:after="40"/>
        <w:ind w:left="113"/>
      </w:pPr>
      <w:r>
        <w:rPr>
          <w:rFonts w:ascii="Aptos" w:hAnsi="Aptos"/>
          <w:sz w:val="19"/>
        </w:rPr>
        <w:t>A guarded low-voltage motor/fan rig with controlled normal and induced-abnormal vibration states.</w:t>
      </w:r>
    </w:p>
    <w:p>
      <w:pPr>
        <w:pStyle w:val="ListBullet"/>
        <w:spacing w:after="40"/>
        <w:ind w:left="113"/>
      </w:pPr>
      <w:r>
        <w:rPr>
          <w:rFonts w:ascii="Aptos" w:hAnsi="Aptos"/>
          <w:sz w:val="19"/>
        </w:rPr>
        <w:t>No cloud dependence, permanent second sensor, source-separation array, active cancellation or remaining-useful-life claim.</w:t>
      </w:r>
    </w:p>
    <w:p>
      <w:pPr>
        <w:pStyle w:val="Heading2"/>
        <w:keepNext/>
        <w:spacing w:before="100" w:after="80"/>
      </w:pPr>
      <w:r>
        <w:rPr>
          <w:rFonts w:ascii="Aptos" w:hAnsi="Aptos"/>
          <w:b/>
          <w:color w:val="2F5460"/>
          <w:sz w:val="23"/>
        </w:rPr>
        <w:t>4.2 Retained OpenBraille definition</w:t>
      </w:r>
    </w:p>
    <w:p>
      <w:pPr>
        <w:pStyle w:val="ListBullet"/>
        <w:spacing w:after="40"/>
        <w:ind w:left="113"/>
      </w:pPr>
      <w:r>
        <w:rPr>
          <w:rFonts w:ascii="Aptos" w:hAnsi="Aptos"/>
          <w:sz w:val="19"/>
        </w:rPr>
        <w:t>One macro-scale six-dot cell with six SG90-class servos, six eccentric cams, followers and guided vertical pins.</w:t>
      </w:r>
    </w:p>
    <w:p>
      <w:pPr>
        <w:pStyle w:val="ListBullet"/>
        <w:spacing w:after="40"/>
        <w:ind w:left="113"/>
      </w:pPr>
      <w:r>
        <w:rPr>
          <w:rFonts w:ascii="Aptos" w:hAnsi="Aptos"/>
          <w:sz w:val="19"/>
        </w:rPr>
        <w:t>ESP32 direct PWM control, external regulated servo power and USB/serial character input.</w:t>
      </w:r>
    </w:p>
    <w:p>
      <w:pPr>
        <w:pStyle w:val="ListBullet"/>
        <w:spacing w:after="40"/>
        <w:ind w:left="113"/>
      </w:pPr>
      <w:r>
        <w:rPr>
          <w:rFonts w:ascii="Aptos" w:hAnsi="Aptos"/>
          <w:sz w:val="19"/>
        </w:rPr>
        <w:t>Active servo-driven retraction unless a real passive return is experimentally proved.</w:t>
      </w:r>
    </w:p>
    <w:p>
      <w:pPr>
        <w:pStyle w:val="ListBullet"/>
        <w:spacing w:after="40"/>
        <w:ind w:left="113"/>
      </w:pPr>
      <w:r>
        <w:rPr>
          <w:rFonts w:ascii="Aptos" w:hAnsi="Aptos"/>
          <w:sz w:val="19"/>
        </w:rPr>
        <w:t>No moving roller, encoder wheel, RAMPS/Mega embosser, continuous-paper system or electromagnetic substitution.</w:t>
      </w:r>
    </w:p>
    <w:tbl>
      <w:tblPr>
        <w:tblW w:type="auto" w:w="0"/>
        <w:jc w:val="center"/>
        <w:tblLayout w:type="fixed"/>
        <w:tblLook w:firstColumn="1" w:firstRow="1" w:lastColumn="0" w:lastRow="0" w:noHBand="0" w:noVBand="1" w:val="04A0"/>
      </w:tblPr>
      <w:tblGrid>
        <w:gridCol w:w="9865"/>
      </w:tblGrid>
      <w:tr>
        <w:tc>
          <w:tcPr>
            <w:tcW w:type="dxa" w:w="9866"/>
            <w:vAlign w:val="center"/>
            <w:shd w:fill="EAF2F8"/>
            <w:tcBorders>
              <w:top w:sz="8" w:val="single" w:color="5B9BD5"/>
              <w:left w:sz="8" w:val="single" w:color="5B9BD5"/>
              <w:bottom w:sz="8" w:val="single" w:color="5B9BD5"/>
              <w:right w:sz="8" w:val="single" w:color="5B9BD5"/>
            </w:tcBorders>
            <w:tcMar>
              <w:top w:w="80" w:type="dxa"/>
              <w:left w:w="80" w:type="dxa"/>
              <w:bottom w:w="80" w:type="dxa"/>
              <w:right w:w="80" w:type="dxa"/>
            </w:tcMar>
          </w:tcPr>
          <w:p>
            <w:pPr>
              <w:spacing w:after="40"/>
            </w:pPr>
            <w:r>
              <w:rPr>
                <w:rFonts w:ascii="Aptos" w:hAnsi="Aptos"/>
                <w:b/>
                <w:color w:val="1F4E79"/>
                <w:sz w:val="21"/>
              </w:rPr>
              <w:t>Architecture-control statement</w:t>
            </w:r>
          </w:p>
          <w:p>
            <w:pPr>
              <w:spacing w:after="0"/>
            </w:pPr>
            <w:r>
              <w:rPr>
                <w:rFonts w:ascii="Aptos" w:hAnsi="Aptos"/>
                <w:sz w:val="19"/>
              </w:rPr>
              <w:t>The requested change selects one semester implementation. It does not merge the two concepts, rewrite either frozen architecture or claim that later research features have already been built.</w:t>
            </w:r>
          </w:p>
        </w:tc>
      </w:tr>
    </w:tbl>
    <w:p>
      <w:pPr>
        <w:spacing w:after="0"/>
      </w:pPr>
    </w:p>
    <w:p>
      <w:r>
        <w:br w:type="page"/>
      </w:r>
    </w:p>
    <w:p>
      <w:pPr>
        <w:pStyle w:val="Heading1"/>
        <w:keepNext/>
        <w:spacing w:before="160" w:after="80"/>
      </w:pPr>
      <w:r>
        <w:rPr>
          <w:rFonts w:ascii="Aptos" w:hAnsi="Aptos"/>
          <w:b/>
          <w:color w:val="1F4E79"/>
          <w:sz w:val="28"/>
        </w:rPr>
        <w:t>5. Comparative semester decision</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tblHeader w:val="true"/>
          <w:cantSplit/>
        </w:trPr>
        <w:tc>
          <w:tcPr>
            <w:tcW w:type="dxa" w:w="1701"/>
            <w:shd w:fill="1F4E79"/>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jc w:val="center"/>
            </w:pPr>
            <w:r>
              <w:rPr>
                <w:rFonts w:ascii="Aptos" w:hAnsi="Aptos"/>
                <w:b/>
                <w:color w:val="FFFFFF"/>
                <w:sz w:val="17"/>
              </w:rPr>
              <w:t>Criterion</w:t>
            </w:r>
          </w:p>
        </w:tc>
        <w:tc>
          <w:tcPr>
            <w:tcW w:type="dxa" w:w="2948"/>
            <w:shd w:fill="1F4E79"/>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jc w:val="center"/>
            </w:pPr>
            <w:r>
              <w:rPr>
                <w:rFonts w:ascii="Aptos" w:hAnsi="Aptos"/>
                <w:b/>
                <w:color w:val="FFFFFF"/>
                <w:sz w:val="17"/>
              </w:rPr>
              <w:t>VibeGuard</w:t>
            </w:r>
          </w:p>
        </w:tc>
        <w:tc>
          <w:tcPr>
            <w:tcW w:type="dxa" w:w="2948"/>
            <w:shd w:fill="1F4E79"/>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jc w:val="center"/>
            </w:pPr>
            <w:r>
              <w:rPr>
                <w:rFonts w:ascii="Aptos" w:hAnsi="Aptos"/>
                <w:b/>
                <w:color w:val="FFFFFF"/>
                <w:sz w:val="17"/>
              </w:rPr>
              <w:t>OpenBraille</w:t>
            </w:r>
          </w:p>
        </w:tc>
        <w:tc>
          <w:tcPr>
            <w:tcW w:type="dxa" w:w="2041"/>
            <w:shd w:fill="1F4E79"/>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jc w:val="center"/>
            </w:pPr>
            <w:r>
              <w:rPr>
                <w:rFonts w:ascii="Aptos" w:hAnsi="Aptos"/>
                <w:b/>
                <w:color w:val="FFFFFF"/>
                <w:sz w:val="17"/>
              </w:rPr>
              <w:t>Finding</w:t>
            </w:r>
          </w:p>
        </w:tc>
      </w:tr>
      <w:tr>
        <w:trPr>
          <w:cantSplit/>
        </w:trPr>
        <w:tc>
          <w:tcPr>
            <w:tcW w:type="dxa" w:w="1701"/>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spacing w:after="0"/>
            </w:pPr>
            <w:r>
              <w:rPr>
                <w:rFonts w:ascii="Aptos" w:hAnsi="Aptos"/>
                <w:b/>
                <w:color w:val="1F4E79"/>
                <w:sz w:val="16"/>
              </w:rPr>
              <w:t>Build complexity</w:t>
            </w:r>
          </w:p>
        </w:tc>
        <w:tc>
          <w:tcPr>
            <w:tcW w:type="dxa" w:w="2948"/>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spacing w:after="0"/>
            </w:pPr>
            <w:r>
              <w:rPr>
                <w:rFonts w:ascii="Aptos" w:hAnsi="Aptos"/>
                <w:sz w:val="16"/>
              </w:rPr>
              <w:t>Low-to-moderate electronics, firmware and test-rig work</w:t>
            </w:r>
          </w:p>
        </w:tc>
        <w:tc>
          <w:tcPr>
            <w:tcW w:type="dxa" w:w="2948"/>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spacing w:after="0"/>
            </w:pPr>
            <w:r>
              <w:rPr>
                <w:rFonts w:ascii="Aptos" w:hAnsi="Aptos"/>
                <w:sz w:val="16"/>
              </w:rPr>
              <w:t>High mechanical integration across six channels</w:t>
            </w:r>
          </w:p>
        </w:tc>
        <w:tc>
          <w:tcPr>
            <w:tcW w:type="dxa" w:w="2041"/>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spacing w:after="0"/>
            </w:pPr>
            <w:r>
              <w:rPr>
                <w:rFonts w:ascii="Aptos" w:hAnsi="Aptos"/>
                <w:sz w:val="16"/>
              </w:rPr>
              <w:t>VibeGuard</w:t>
            </w:r>
          </w:p>
        </w:tc>
      </w:tr>
      <w:tr>
        <w:trPr>
          <w:cantSplit/>
        </w:trPr>
        <w:tc>
          <w:tcPr>
            <w:tcW w:type="dxa" w:w="1701"/>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spacing w:after="0"/>
            </w:pPr>
            <w:r>
              <w:rPr>
                <w:rFonts w:ascii="Aptos" w:hAnsi="Aptos"/>
                <w:b/>
                <w:color w:val="1F4E79"/>
                <w:sz w:val="16"/>
              </w:rPr>
              <w:t>Expected cost</w:t>
            </w:r>
          </w:p>
        </w:tc>
        <w:tc>
          <w:tcPr>
            <w:tcW w:type="dxa" w:w="2948"/>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spacing w:after="0"/>
            </w:pPr>
            <w:r>
              <w:rPr>
                <w:rFonts w:ascii="Aptos" w:hAnsi="Aptos"/>
                <w:sz w:val="16"/>
              </w:rPr>
              <w:t>About ₹2,200</w:t>
            </w:r>
          </w:p>
        </w:tc>
        <w:tc>
          <w:tcPr>
            <w:tcW w:type="dxa" w:w="2948"/>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spacing w:after="0"/>
            </w:pPr>
            <w:r>
              <w:rPr>
                <w:rFonts w:ascii="Aptos" w:hAnsi="Aptos"/>
                <w:sz w:val="16"/>
              </w:rPr>
              <w:t>About ₹3,000</w:t>
            </w:r>
          </w:p>
        </w:tc>
        <w:tc>
          <w:tcPr>
            <w:tcW w:type="dxa" w:w="2041"/>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spacing w:after="0"/>
            </w:pPr>
            <w:r>
              <w:rPr>
                <w:rFonts w:ascii="Aptos" w:hAnsi="Aptos"/>
                <w:sz w:val="16"/>
              </w:rPr>
              <w:t>VibeGuard</w:t>
            </w:r>
          </w:p>
        </w:tc>
      </w:tr>
      <w:tr>
        <w:trPr>
          <w:cantSplit/>
        </w:trPr>
        <w:tc>
          <w:tcPr>
            <w:tcW w:type="dxa" w:w="1701"/>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spacing w:after="0"/>
            </w:pPr>
            <w:r>
              <w:rPr>
                <w:rFonts w:ascii="Aptos" w:hAnsi="Aptos"/>
                <w:b/>
                <w:color w:val="1F4E79"/>
                <w:sz w:val="16"/>
              </w:rPr>
              <w:t>Conservative envelope</w:t>
            </w:r>
          </w:p>
        </w:tc>
        <w:tc>
          <w:tcPr>
            <w:tcW w:type="dxa" w:w="2948"/>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spacing w:after="0"/>
            </w:pPr>
            <w:r>
              <w:rPr>
                <w:rFonts w:ascii="Aptos" w:hAnsi="Aptos"/>
                <w:sz w:val="16"/>
              </w:rPr>
              <w:t>About ₹3,900</w:t>
            </w:r>
          </w:p>
        </w:tc>
        <w:tc>
          <w:tcPr>
            <w:tcW w:type="dxa" w:w="2948"/>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spacing w:after="0"/>
            </w:pPr>
            <w:r>
              <w:rPr>
                <w:rFonts w:ascii="Aptos" w:hAnsi="Aptos"/>
                <w:sz w:val="16"/>
              </w:rPr>
              <w:t>About ₹4,900</w:t>
            </w:r>
          </w:p>
        </w:tc>
        <w:tc>
          <w:tcPr>
            <w:tcW w:type="dxa" w:w="2041"/>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spacing w:after="0"/>
            </w:pPr>
            <w:r>
              <w:rPr>
                <w:rFonts w:ascii="Aptos" w:hAnsi="Aptos"/>
                <w:sz w:val="16"/>
              </w:rPr>
              <w:t>VibeGuard</w:t>
            </w:r>
          </w:p>
        </w:tc>
      </w:tr>
      <w:tr>
        <w:trPr>
          <w:cantSplit/>
        </w:trPr>
        <w:tc>
          <w:tcPr>
            <w:tcW w:type="dxa" w:w="1701"/>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spacing w:after="0"/>
            </w:pPr>
            <w:r>
              <w:rPr>
                <w:rFonts w:ascii="Aptos" w:hAnsi="Aptos"/>
                <w:b/>
                <w:color w:val="1F4E79"/>
                <w:sz w:val="16"/>
              </w:rPr>
              <w:t>Team alignment</w:t>
            </w:r>
          </w:p>
        </w:tc>
        <w:tc>
          <w:tcPr>
            <w:tcW w:type="dxa" w:w="2948"/>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spacing w:after="0"/>
            </w:pPr>
            <w:r>
              <w:rPr>
                <w:rFonts w:ascii="Aptos" w:hAnsi="Aptos"/>
                <w:sz w:val="16"/>
              </w:rPr>
              <w:t>Strong: ESP32, firmware, DSP, data and testing</w:t>
            </w:r>
          </w:p>
        </w:tc>
        <w:tc>
          <w:tcPr>
            <w:tcW w:type="dxa" w:w="2948"/>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spacing w:after="0"/>
            </w:pPr>
            <w:r>
              <w:rPr>
                <w:rFonts w:ascii="Aptos" w:hAnsi="Aptos"/>
                <w:sz w:val="16"/>
              </w:rPr>
              <w:t>Requires sustained CAD/FDM/mechanical tuning</w:t>
            </w:r>
          </w:p>
        </w:tc>
        <w:tc>
          <w:tcPr>
            <w:tcW w:type="dxa" w:w="2041"/>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spacing w:after="0"/>
            </w:pPr>
            <w:r>
              <w:rPr>
                <w:rFonts w:ascii="Aptos" w:hAnsi="Aptos"/>
                <w:sz w:val="16"/>
              </w:rPr>
              <w:t>VibeGuard</w:t>
            </w:r>
          </w:p>
        </w:tc>
      </w:tr>
      <w:tr>
        <w:trPr>
          <w:cantSplit/>
        </w:trPr>
        <w:tc>
          <w:tcPr>
            <w:tcW w:type="dxa" w:w="1701"/>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spacing w:after="0"/>
            </w:pPr>
            <w:r>
              <w:rPr>
                <w:rFonts w:ascii="Aptos" w:hAnsi="Aptos"/>
                <w:b/>
                <w:color w:val="1F4E79"/>
                <w:sz w:val="16"/>
              </w:rPr>
              <w:t>Validation</w:t>
            </w:r>
          </w:p>
        </w:tc>
        <w:tc>
          <w:tcPr>
            <w:tcW w:type="dxa" w:w="2948"/>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spacing w:after="0"/>
            </w:pPr>
            <w:r>
              <w:rPr>
                <w:rFonts w:ascii="Aptos" w:hAnsi="Aptos"/>
                <w:sz w:val="16"/>
              </w:rPr>
              <w:t>Repeated labelled sessions and held-out tests</w:t>
            </w:r>
          </w:p>
        </w:tc>
        <w:tc>
          <w:tcPr>
            <w:tcW w:type="dxa" w:w="2948"/>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spacing w:after="0"/>
            </w:pPr>
            <w:r>
              <w:rPr>
                <w:rFonts w:ascii="Aptos" w:hAnsi="Aptos"/>
                <w:sz w:val="16"/>
              </w:rPr>
              <w:t>Metrology, cycling, tactile distinction and power tests</w:t>
            </w:r>
          </w:p>
        </w:tc>
        <w:tc>
          <w:tcPr>
            <w:tcW w:type="dxa" w:w="2041"/>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spacing w:after="0"/>
            </w:pPr>
            <w:r>
              <w:rPr>
                <w:rFonts w:ascii="Aptos" w:hAnsi="Aptos"/>
                <w:sz w:val="16"/>
              </w:rPr>
              <w:t>VibeGuard</w:t>
            </w:r>
          </w:p>
        </w:tc>
      </w:tr>
      <w:tr>
        <w:trPr>
          <w:cantSplit/>
        </w:trPr>
        <w:tc>
          <w:tcPr>
            <w:tcW w:type="dxa" w:w="1701"/>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spacing w:after="0"/>
            </w:pPr>
            <w:r>
              <w:rPr>
                <w:rFonts w:ascii="Aptos" w:hAnsi="Aptos"/>
                <w:b/>
                <w:color w:val="1F4E79"/>
                <w:sz w:val="16"/>
              </w:rPr>
              <w:t>Live demonstration</w:t>
            </w:r>
          </w:p>
        </w:tc>
        <w:tc>
          <w:tcPr>
            <w:tcW w:type="dxa" w:w="2948"/>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spacing w:after="0"/>
            </w:pPr>
            <w:r>
              <w:rPr>
                <w:rFonts w:ascii="Aptos" w:hAnsi="Aptos"/>
                <w:sz w:val="16"/>
              </w:rPr>
              <w:t>Motor-state change, RGB and live logs/features</w:t>
            </w:r>
          </w:p>
        </w:tc>
        <w:tc>
          <w:tcPr>
            <w:tcW w:type="dxa" w:w="2948"/>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spacing w:after="0"/>
            </w:pPr>
            <w:r>
              <w:rPr>
                <w:rFonts w:ascii="Aptos" w:hAnsi="Aptos"/>
                <w:sz w:val="16"/>
              </w:rPr>
              <w:t>High social impact if mechanics remain reliable</w:t>
            </w:r>
          </w:p>
        </w:tc>
        <w:tc>
          <w:tcPr>
            <w:tcW w:type="dxa" w:w="2041"/>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spacing w:after="0"/>
            </w:pPr>
            <w:r>
              <w:rPr>
                <w:rFonts w:ascii="Aptos" w:hAnsi="Aptos"/>
                <w:sz w:val="16"/>
              </w:rPr>
              <w:t>Both strong; VibeGuard safer</w:t>
            </w:r>
          </w:p>
        </w:tc>
      </w:tr>
      <w:tr>
        <w:trPr>
          <w:cantSplit/>
        </w:trPr>
        <w:tc>
          <w:tcPr>
            <w:tcW w:type="dxa" w:w="1701"/>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spacing w:after="0"/>
            </w:pPr>
            <w:r>
              <w:rPr>
                <w:rFonts w:ascii="Aptos" w:hAnsi="Aptos"/>
                <w:b/>
                <w:color w:val="1F4E79"/>
                <w:sz w:val="16"/>
              </w:rPr>
              <w:t>Schedule recovery</w:t>
            </w:r>
          </w:p>
        </w:tc>
        <w:tc>
          <w:tcPr>
            <w:tcW w:type="dxa" w:w="2948"/>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spacing w:after="0"/>
            </w:pPr>
            <w:r>
              <w:rPr>
                <w:rFonts w:ascii="Aptos" w:hAnsi="Aptos"/>
                <w:sz w:val="16"/>
              </w:rPr>
              <w:t>Subsystems can be replaced independently</w:t>
            </w:r>
          </w:p>
        </w:tc>
        <w:tc>
          <w:tcPr>
            <w:tcW w:type="dxa" w:w="2948"/>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spacing w:after="0"/>
            </w:pPr>
            <w:r>
              <w:rPr>
                <w:rFonts w:ascii="Aptos" w:hAnsi="Aptos"/>
                <w:sz w:val="16"/>
              </w:rPr>
              <w:t>Mechanical revision can restart multiple stages</w:t>
            </w:r>
          </w:p>
        </w:tc>
        <w:tc>
          <w:tcPr>
            <w:tcW w:type="dxa" w:w="2041"/>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spacing w:after="0"/>
            </w:pPr>
            <w:r>
              <w:rPr>
                <w:rFonts w:ascii="Aptos" w:hAnsi="Aptos"/>
                <w:sz w:val="16"/>
              </w:rPr>
              <w:t>VibeGuard</w:t>
            </w:r>
          </w:p>
        </w:tc>
      </w:tr>
      <w:tr>
        <w:trPr>
          <w:cantSplit/>
        </w:trPr>
        <w:tc>
          <w:tcPr>
            <w:tcW w:type="dxa" w:w="1701"/>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spacing w:after="0"/>
            </w:pPr>
            <w:r>
              <w:rPr>
                <w:rFonts w:ascii="Aptos" w:hAnsi="Aptos"/>
                <w:b/>
                <w:color w:val="1F4E79"/>
                <w:sz w:val="16"/>
              </w:rPr>
              <w:t>Semester patent position</w:t>
            </w:r>
          </w:p>
        </w:tc>
        <w:tc>
          <w:tcPr>
            <w:tcW w:type="dxa" w:w="2948"/>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spacing w:after="0"/>
            </w:pPr>
            <w:r>
              <w:rPr>
                <w:rFonts w:ascii="Aptos" w:hAnsi="Aptos"/>
                <w:sz w:val="16"/>
              </w:rPr>
              <w:t>Conventional MVP; no filing claim</w:t>
            </w:r>
          </w:p>
        </w:tc>
        <w:tc>
          <w:tcPr>
            <w:tcW w:type="dxa" w:w="2948"/>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spacing w:after="0"/>
            </w:pPr>
            <w:r>
              <w:rPr>
                <w:rFonts w:ascii="Aptos" w:hAnsi="Aptos"/>
                <w:sz w:val="16"/>
              </w:rPr>
              <w:t>Conventional MVP; no filing claim</w:t>
            </w:r>
          </w:p>
        </w:tc>
        <w:tc>
          <w:tcPr>
            <w:tcW w:type="dxa" w:w="2041"/>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spacing w:after="0"/>
            </w:pPr>
            <w:r>
              <w:rPr>
                <w:rFonts w:ascii="Aptos" w:hAnsi="Aptos"/>
                <w:sz w:val="16"/>
              </w:rPr>
              <w:t>Equal</w:t>
            </w:r>
          </w:p>
        </w:tc>
      </w:tr>
    </w:tbl>
    <w:p>
      <w:pPr>
        <w:pStyle w:val="Heading1"/>
        <w:keepNext/>
        <w:spacing w:before="160" w:after="80"/>
      </w:pPr>
      <w:r>
        <w:rPr>
          <w:rFonts w:ascii="Aptos" w:hAnsi="Aptos"/>
          <w:b/>
          <w:color w:val="1F4E79"/>
          <w:sz w:val="28"/>
        </w:rPr>
        <w:t>6. Proposed VibeGuard semester scope</w:t>
      </w:r>
    </w:p>
    <w:p>
      <w:pPr>
        <w:pStyle w:val="Heading2"/>
        <w:keepNext/>
        <w:spacing w:before="100" w:after="80"/>
      </w:pPr>
      <w:r>
        <w:rPr>
          <w:rFonts w:ascii="Aptos" w:hAnsi="Aptos"/>
          <w:b/>
          <w:color w:val="2F5460"/>
          <w:sz w:val="23"/>
        </w:rPr>
        <w:t>6.1 Minimum demonstrable success</w:t>
      </w:r>
    </w:p>
    <w:p>
      <w:pPr>
        <w:pStyle w:val="ListNumber"/>
        <w:spacing w:after="40"/>
      </w:pPr>
      <w:r>
        <w:rPr>
          <w:rFonts w:ascii="Aptos" w:hAnsi="Aptos"/>
          <w:sz w:val="19"/>
        </w:rPr>
        <w:t>Acquire stable vibration data from the controlled rig using the target-mounted sensor.</w:t>
      </w:r>
    </w:p>
    <w:p>
      <w:pPr>
        <w:pStyle w:val="ListNumber"/>
        <w:spacing w:after="40"/>
      </w:pPr>
      <w:r>
        <w:rPr>
          <w:rFonts w:ascii="Aptos" w:hAnsi="Aptos"/>
          <w:sz w:val="19"/>
        </w:rPr>
        <w:t>Establish a repeatable normal operating condition.</w:t>
      </w:r>
    </w:p>
    <w:p>
      <w:pPr>
        <w:pStyle w:val="ListNumber"/>
        <w:spacing w:after="40"/>
      </w:pPr>
      <w:r>
        <w:rPr>
          <w:rFonts w:ascii="Aptos" w:hAnsi="Aptos"/>
          <w:sz w:val="19"/>
        </w:rPr>
        <w:t>Create a safe and repeatable induced-abnormal condition.</w:t>
      </w:r>
    </w:p>
    <w:p>
      <w:pPr>
        <w:pStyle w:val="ListNumber"/>
        <w:spacing w:after="40"/>
      </w:pPr>
      <w:r>
        <w:rPr>
          <w:rFonts w:ascii="Aptos" w:hAnsi="Aptos"/>
          <w:sz w:val="19"/>
        </w:rPr>
        <w:t>Classify the two states locally with RMS plus persistence as the minimum baseline.</w:t>
      </w:r>
    </w:p>
    <w:p>
      <w:pPr>
        <w:pStyle w:val="ListNumber"/>
        <w:spacing w:after="40"/>
      </w:pPr>
      <w:r>
        <w:rPr>
          <w:rFonts w:ascii="Aptos" w:hAnsi="Aptos"/>
          <w:sz w:val="19"/>
        </w:rPr>
        <w:t>Provide an interpretable RGB indication and USB evidence.</w:t>
      </w:r>
    </w:p>
    <w:p>
      <w:pPr>
        <w:pStyle w:val="ListNumber"/>
        <w:spacing w:after="40"/>
      </w:pPr>
      <w:r>
        <w:rPr>
          <w:rFonts w:ascii="Aptos" w:hAnsi="Aptos"/>
          <w:sz w:val="19"/>
        </w:rPr>
        <w:t>Report repeatability, false alerts, missed detections, resource use and limitations on held-out sessions.</w:t>
      </w:r>
    </w:p>
    <w:p>
      <w:pPr>
        <w:pStyle w:val="Heading2"/>
        <w:keepNext/>
        <w:spacing w:before="100" w:after="80"/>
      </w:pPr>
      <w:r>
        <w:rPr>
          <w:rFonts w:ascii="Aptos" w:hAnsi="Aptos"/>
          <w:b/>
          <w:color w:val="2F5460"/>
          <w:sz w:val="23"/>
        </w:rPr>
        <w:t>6.2 Budget summary</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3969"/>
            <w:shd w:fill="1F4E79"/>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jc w:val="center"/>
            </w:pPr>
            <w:r>
              <w:rPr>
                <w:rFonts w:ascii="Aptos" w:hAnsi="Aptos"/>
                <w:b/>
                <w:color w:val="FFFFFF"/>
                <w:sz w:val="17"/>
              </w:rPr>
              <w:t>Layer</w:t>
            </w:r>
          </w:p>
        </w:tc>
        <w:tc>
          <w:tcPr>
            <w:tcW w:type="dxa" w:w="5669"/>
            <w:shd w:fill="1F4E79"/>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jc w:val="center"/>
            </w:pPr>
            <w:r>
              <w:rPr>
                <w:rFonts w:ascii="Aptos" w:hAnsi="Aptos"/>
                <w:b/>
                <w:color w:val="FFFFFF"/>
                <w:sz w:val="17"/>
              </w:rPr>
              <w:t>Planning value</w:t>
            </w:r>
          </w:p>
        </w:tc>
      </w:tr>
      <w:tr>
        <w:trPr>
          <w:cantSplit/>
        </w:trPr>
        <w:tc>
          <w:tcPr>
            <w:tcW w:type="dxa" w:w="3969"/>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spacing w:after="0"/>
            </w:pPr>
            <w:r>
              <w:rPr>
                <w:rFonts w:ascii="Aptos" w:hAnsi="Aptos"/>
                <w:b/>
                <w:color w:val="1F4E79"/>
                <w:sz w:val="17"/>
              </w:rPr>
              <w:t>ESP32 development board</w:t>
            </w:r>
          </w:p>
        </w:tc>
        <w:tc>
          <w:tcPr>
            <w:tcW w:type="dxa" w:w="5669"/>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spacing w:after="0"/>
            </w:pPr>
            <w:r>
              <w:rPr>
                <w:rFonts w:ascii="Aptos" w:hAnsi="Aptos"/>
                <w:sz w:val="17"/>
              </w:rPr>
              <w:t>₹400 expected; ESP32-S3 only as an authorized fallback</w:t>
            </w:r>
          </w:p>
        </w:tc>
      </w:tr>
      <w:tr>
        <w:trPr>
          <w:cantSplit/>
        </w:trPr>
        <w:tc>
          <w:tcPr>
            <w:tcW w:type="dxa" w:w="3969"/>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spacing w:after="0"/>
            </w:pPr>
            <w:r>
              <w:rPr>
                <w:rFonts w:ascii="Aptos" w:hAnsi="Aptos"/>
                <w:b/>
                <w:color w:val="1F4E79"/>
                <w:sz w:val="17"/>
              </w:rPr>
              <w:t>ADXL345 breakout</w:t>
            </w:r>
          </w:p>
        </w:tc>
        <w:tc>
          <w:tcPr>
            <w:tcW w:type="dxa" w:w="5669"/>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spacing w:after="0"/>
            </w:pPr>
            <w:r>
              <w:rPr>
                <w:rFonts w:ascii="Aptos" w:hAnsi="Aptos"/>
                <w:sz w:val="17"/>
              </w:rPr>
              <w:t>₹229 expected; provenance and bench acceptance required</w:t>
            </w:r>
          </w:p>
        </w:tc>
      </w:tr>
      <w:tr>
        <w:trPr>
          <w:cantSplit/>
        </w:trPr>
        <w:tc>
          <w:tcPr>
            <w:tcW w:type="dxa" w:w="3969"/>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spacing w:after="0"/>
            </w:pPr>
            <w:r>
              <w:rPr>
                <w:rFonts w:ascii="Aptos" w:hAnsi="Aptos"/>
                <w:b/>
                <w:color w:val="1F4E79"/>
                <w:sz w:val="17"/>
              </w:rPr>
              <w:t>Low-voltage motor and adapter</w:t>
            </w:r>
          </w:p>
        </w:tc>
        <w:tc>
          <w:tcPr>
            <w:tcW w:type="dxa" w:w="5669"/>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spacing w:after="0"/>
            </w:pPr>
            <w:r>
              <w:rPr>
                <w:rFonts w:ascii="Aptos" w:hAnsi="Aptos"/>
                <w:sz w:val="17"/>
              </w:rPr>
              <w:t>Approximately ₹355 expected</w:t>
            </w:r>
          </w:p>
        </w:tc>
      </w:tr>
      <w:tr>
        <w:trPr>
          <w:cantSplit/>
        </w:trPr>
        <w:tc>
          <w:tcPr>
            <w:tcW w:type="dxa" w:w="3969"/>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spacing w:after="0"/>
            </w:pPr>
            <w:r>
              <w:rPr>
                <w:rFonts w:ascii="Aptos" w:hAnsi="Aptos"/>
                <w:b/>
                <w:color w:val="1F4E79"/>
                <w:sz w:val="17"/>
              </w:rPr>
              <w:t>Rigid base, sensor bracket, shaft guard and abnormality fixture</w:t>
            </w:r>
          </w:p>
        </w:tc>
        <w:tc>
          <w:tcPr>
            <w:tcW w:type="dxa" w:w="5669"/>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spacing w:after="0"/>
            </w:pPr>
            <w:r>
              <w:rPr>
                <w:rFonts w:ascii="Aptos" w:hAnsi="Aptos"/>
                <w:sz w:val="17"/>
              </w:rPr>
              <w:t>Approximately ₹500 expected planning allowance</w:t>
            </w:r>
          </w:p>
        </w:tc>
      </w:tr>
      <w:tr>
        <w:trPr>
          <w:cantSplit/>
        </w:trPr>
        <w:tc>
          <w:tcPr>
            <w:tcW w:type="dxa" w:w="3969"/>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spacing w:after="0"/>
            </w:pPr>
            <w:r>
              <w:rPr>
                <w:rFonts w:ascii="Aptos" w:hAnsi="Aptos"/>
                <w:b/>
                <w:color w:val="1F4E79"/>
                <w:sz w:val="17"/>
              </w:rPr>
              <w:t>Perfboard, indicators, connectors and passives</w:t>
            </w:r>
          </w:p>
        </w:tc>
        <w:tc>
          <w:tcPr>
            <w:tcW w:type="dxa" w:w="5669"/>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spacing w:after="0"/>
            </w:pPr>
            <w:r>
              <w:rPr>
                <w:rFonts w:ascii="Aptos" w:hAnsi="Aptos"/>
                <w:sz w:val="17"/>
              </w:rPr>
              <w:t>Approximately ₹400 expected</w:t>
            </w:r>
          </w:p>
        </w:tc>
      </w:tr>
      <w:tr>
        <w:trPr>
          <w:cantSplit/>
        </w:trPr>
        <w:tc>
          <w:tcPr>
            <w:tcW w:type="dxa" w:w="3969"/>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spacing w:after="0"/>
            </w:pPr>
            <w:r>
              <w:rPr>
                <w:rFonts w:ascii="Aptos" w:hAnsi="Aptos"/>
                <w:b/>
                <w:color w:val="1F4E79"/>
                <w:sz w:val="17"/>
              </w:rPr>
              <w:t>Delivery/replacement allowance</w:t>
            </w:r>
          </w:p>
        </w:tc>
        <w:tc>
          <w:tcPr>
            <w:tcW w:type="dxa" w:w="5669"/>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spacing w:after="0"/>
            </w:pPr>
            <w:r>
              <w:rPr>
                <w:rFonts w:ascii="Aptos" w:hAnsi="Aptos"/>
                <w:sz w:val="17"/>
              </w:rPr>
              <w:t>Approximately ₹300</w:t>
            </w:r>
          </w:p>
        </w:tc>
      </w:tr>
      <w:tr>
        <w:trPr>
          <w:cantSplit/>
        </w:trPr>
        <w:tc>
          <w:tcPr>
            <w:tcW w:type="dxa" w:w="3969"/>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spacing w:after="0"/>
            </w:pPr>
            <w:r>
              <w:rPr>
                <w:rFonts w:ascii="Aptos" w:hAnsi="Aptos"/>
                <w:b/>
                <w:color w:val="1F4E79"/>
                <w:sz w:val="17"/>
              </w:rPr>
              <w:t>Expected planning total</w:t>
            </w:r>
          </w:p>
        </w:tc>
        <w:tc>
          <w:tcPr>
            <w:tcW w:type="dxa" w:w="5669"/>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spacing w:after="0"/>
            </w:pPr>
            <w:r>
              <w:rPr>
                <w:rFonts w:ascii="Aptos" w:hAnsi="Aptos"/>
                <w:sz w:val="17"/>
              </w:rPr>
              <w:t>Approximately ₹2,200</w:t>
            </w:r>
          </w:p>
        </w:tc>
      </w:tr>
      <w:tr>
        <w:trPr>
          <w:cantSplit/>
        </w:trPr>
        <w:tc>
          <w:tcPr>
            <w:tcW w:type="dxa" w:w="3969"/>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spacing w:after="0"/>
            </w:pPr>
            <w:r>
              <w:rPr>
                <w:rFonts w:ascii="Aptos" w:hAnsi="Aptos"/>
                <w:b/>
                <w:color w:val="1F4E79"/>
                <w:sz w:val="17"/>
              </w:rPr>
              <w:t>Protected conservative envelope</w:t>
            </w:r>
          </w:p>
        </w:tc>
        <w:tc>
          <w:tcPr>
            <w:tcW w:type="dxa" w:w="5669"/>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spacing w:after="0"/>
            </w:pPr>
            <w:r>
              <w:rPr>
                <w:rFonts w:ascii="Aptos" w:hAnsi="Aptos"/>
                <w:sz w:val="17"/>
              </w:rPr>
              <w:t>Approximately ₹3,900; below the ₹5,000 ceiling</w:t>
            </w:r>
          </w:p>
        </w:tc>
      </w:tr>
    </w:tbl>
    <w:p>
      <w:pPr>
        <w:pStyle w:val="Heading2"/>
        <w:keepNext/>
        <w:spacing w:before="100" w:after="80"/>
      </w:pPr>
      <w:r>
        <w:rPr>
          <w:rFonts w:ascii="Aptos" w:hAnsi="Aptos"/>
          <w:b/>
          <w:color w:val="2F5460"/>
          <w:sz w:val="23"/>
        </w:rPr>
        <w:t>6.3 Twelve-week roadmap</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1134"/>
            <w:shd w:fill="1F4E79"/>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jc w:val="center"/>
            </w:pPr>
            <w:r>
              <w:rPr>
                <w:rFonts w:ascii="Aptos" w:hAnsi="Aptos"/>
                <w:b/>
                <w:color w:val="FFFFFF"/>
                <w:sz w:val="17"/>
              </w:rPr>
              <w:t>Week</w:t>
            </w:r>
          </w:p>
        </w:tc>
        <w:tc>
          <w:tcPr>
            <w:tcW w:type="dxa" w:w="8504"/>
            <w:shd w:fill="1F4E79"/>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jc w:val="center"/>
            </w:pPr>
            <w:r>
              <w:rPr>
                <w:rFonts w:ascii="Aptos" w:hAnsi="Aptos"/>
                <w:b/>
                <w:color w:val="FFFFFF"/>
                <w:sz w:val="17"/>
              </w:rPr>
              <w:t>Primary milestone</w:t>
            </w:r>
          </w:p>
        </w:tc>
      </w:tr>
      <w:tr>
        <w:trPr>
          <w:cantSplit/>
        </w:trPr>
        <w:tc>
          <w:tcPr>
            <w:tcW w:type="dxa" w:w="1134"/>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spacing w:after="0"/>
            </w:pPr>
            <w:r>
              <w:rPr>
                <w:rFonts w:ascii="Aptos" w:hAnsi="Aptos"/>
                <w:b/>
                <w:color w:val="1F4E79"/>
                <w:sz w:val="17"/>
              </w:rPr>
              <w:t>1</w:t>
            </w:r>
          </w:p>
        </w:tc>
        <w:tc>
          <w:tcPr>
            <w:tcW w:type="dxa" w:w="8504"/>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spacing w:after="0"/>
            </w:pPr>
            <w:r>
              <w:rPr>
                <w:rFonts w:ascii="Aptos" w:hAnsi="Aptos"/>
                <w:sz w:val="17"/>
              </w:rPr>
              <w:t>Approval, scope freeze, safety review, procurement</w:t>
            </w:r>
          </w:p>
        </w:tc>
      </w:tr>
      <w:tr>
        <w:trPr>
          <w:cantSplit/>
        </w:trPr>
        <w:tc>
          <w:tcPr>
            <w:tcW w:type="dxa" w:w="1134"/>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spacing w:after="0"/>
            </w:pPr>
            <w:r>
              <w:rPr>
                <w:rFonts w:ascii="Aptos" w:hAnsi="Aptos"/>
                <w:b/>
                <w:color w:val="1F4E79"/>
                <w:sz w:val="17"/>
              </w:rPr>
              <w:t>2</w:t>
            </w:r>
          </w:p>
        </w:tc>
        <w:tc>
          <w:tcPr>
            <w:tcW w:type="dxa" w:w="8504"/>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spacing w:after="0"/>
            </w:pPr>
            <w:r>
              <w:rPr>
                <w:rFonts w:ascii="Aptos" w:hAnsi="Aptos"/>
                <w:sz w:val="17"/>
              </w:rPr>
              <w:t>ESP32 and ADXL345 acceptance; motor and mount inspection</w:t>
            </w:r>
          </w:p>
        </w:tc>
      </w:tr>
      <w:tr>
        <w:trPr>
          <w:cantSplit/>
        </w:trPr>
        <w:tc>
          <w:tcPr>
            <w:tcW w:type="dxa" w:w="1134"/>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spacing w:after="0"/>
            </w:pPr>
            <w:r>
              <w:rPr>
                <w:rFonts w:ascii="Aptos" w:hAnsi="Aptos"/>
                <w:b/>
                <w:color w:val="1F4E79"/>
                <w:sz w:val="17"/>
              </w:rPr>
              <w:t>3</w:t>
            </w:r>
          </w:p>
        </w:tc>
        <w:tc>
          <w:tcPr>
            <w:tcW w:type="dxa" w:w="8504"/>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spacing w:after="0"/>
            </w:pPr>
            <w:r>
              <w:rPr>
                <w:rFonts w:ascii="Aptos" w:hAnsi="Aptos"/>
                <w:sz w:val="17"/>
              </w:rPr>
              <w:t>Stable SPI acquisition, timestamps and dropped-block counters</w:t>
            </w:r>
          </w:p>
        </w:tc>
      </w:tr>
      <w:tr>
        <w:trPr>
          <w:cantSplit/>
        </w:trPr>
        <w:tc>
          <w:tcPr>
            <w:tcW w:type="dxa" w:w="1134"/>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spacing w:after="0"/>
            </w:pPr>
            <w:r>
              <w:rPr>
                <w:rFonts w:ascii="Aptos" w:hAnsi="Aptos"/>
                <w:b/>
                <w:color w:val="1F4E79"/>
                <w:sz w:val="17"/>
              </w:rPr>
              <w:t>4</w:t>
            </w:r>
          </w:p>
        </w:tc>
        <w:tc>
          <w:tcPr>
            <w:tcW w:type="dxa" w:w="8504"/>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spacing w:after="0"/>
            </w:pPr>
            <w:r>
              <w:rPr>
                <w:rFonts w:ascii="Aptos" w:hAnsi="Aptos"/>
                <w:sz w:val="17"/>
              </w:rPr>
              <w:t>Rigid mounting and repeated normal sessions</w:t>
            </w:r>
          </w:p>
        </w:tc>
      </w:tr>
      <w:tr>
        <w:trPr>
          <w:cantSplit/>
        </w:trPr>
        <w:tc>
          <w:tcPr>
            <w:tcW w:type="dxa" w:w="1134"/>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spacing w:after="0"/>
            </w:pPr>
            <w:r>
              <w:rPr>
                <w:rFonts w:ascii="Aptos" w:hAnsi="Aptos"/>
                <w:b/>
                <w:color w:val="1F4E79"/>
                <w:sz w:val="17"/>
              </w:rPr>
              <w:t>5</w:t>
            </w:r>
          </w:p>
        </w:tc>
        <w:tc>
          <w:tcPr>
            <w:tcW w:type="dxa" w:w="8504"/>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spacing w:after="0"/>
            </w:pPr>
            <w:r>
              <w:rPr>
                <w:rFonts w:ascii="Aptos" w:hAnsi="Aptos"/>
                <w:sz w:val="17"/>
              </w:rPr>
              <w:t>Safe induced-abnormal fixture and repeated abnormal sessions</w:t>
            </w:r>
          </w:p>
        </w:tc>
      </w:tr>
      <w:tr>
        <w:trPr>
          <w:cantSplit/>
        </w:trPr>
        <w:tc>
          <w:tcPr>
            <w:tcW w:type="dxa" w:w="1134"/>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spacing w:after="0"/>
            </w:pPr>
            <w:r>
              <w:rPr>
                <w:rFonts w:ascii="Aptos" w:hAnsi="Aptos"/>
                <w:b/>
                <w:color w:val="1F4E79"/>
                <w:sz w:val="17"/>
              </w:rPr>
              <w:t>6</w:t>
            </w:r>
          </w:p>
        </w:tc>
        <w:tc>
          <w:tcPr>
            <w:tcW w:type="dxa" w:w="8504"/>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spacing w:after="0"/>
            </w:pPr>
            <w:r>
              <w:rPr>
                <w:rFonts w:ascii="Aptos" w:hAnsi="Aptos"/>
                <w:sz w:val="17"/>
              </w:rPr>
              <w:t>RMS plus persistence, RGB output and USB logging</w:t>
            </w:r>
          </w:p>
        </w:tc>
      </w:tr>
      <w:tr>
        <w:trPr>
          <w:cantSplit/>
        </w:trPr>
        <w:tc>
          <w:tcPr>
            <w:tcW w:type="dxa" w:w="1134"/>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spacing w:after="0"/>
            </w:pPr>
            <w:r>
              <w:rPr>
                <w:rFonts w:ascii="Aptos" w:hAnsi="Aptos"/>
                <w:b/>
                <w:color w:val="1F4E79"/>
                <w:sz w:val="17"/>
              </w:rPr>
              <w:t>7</w:t>
            </w:r>
          </w:p>
        </w:tc>
        <w:tc>
          <w:tcPr>
            <w:tcW w:type="dxa" w:w="8504"/>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spacing w:after="0"/>
            </w:pPr>
            <w:r>
              <w:rPr>
                <w:rFonts w:ascii="Aptos" w:hAnsi="Aptos"/>
                <w:sz w:val="17"/>
              </w:rPr>
              <w:t>Triggered FFT/bands and ordinary comparator</w:t>
            </w:r>
          </w:p>
        </w:tc>
      </w:tr>
      <w:tr>
        <w:trPr>
          <w:cantSplit/>
        </w:trPr>
        <w:tc>
          <w:tcPr>
            <w:tcW w:type="dxa" w:w="1134"/>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spacing w:after="0"/>
            </w:pPr>
            <w:r>
              <w:rPr>
                <w:rFonts w:ascii="Aptos" w:hAnsi="Aptos"/>
                <w:b/>
                <w:color w:val="1F4E79"/>
                <w:sz w:val="17"/>
              </w:rPr>
              <w:t>8</w:t>
            </w:r>
          </w:p>
        </w:tc>
        <w:tc>
          <w:tcPr>
            <w:tcW w:type="dxa" w:w="8504"/>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spacing w:after="0"/>
            </w:pPr>
            <w:r>
              <w:rPr>
                <w:rFonts w:ascii="Aptos" w:hAnsi="Aptos"/>
                <w:sz w:val="17"/>
              </w:rPr>
              <w:t>Independent sessions, remount records and held-out-test design</w:t>
            </w:r>
          </w:p>
        </w:tc>
      </w:tr>
      <w:tr>
        <w:trPr>
          <w:cantSplit/>
        </w:trPr>
        <w:tc>
          <w:tcPr>
            <w:tcW w:type="dxa" w:w="1134"/>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spacing w:after="0"/>
            </w:pPr>
            <w:r>
              <w:rPr>
                <w:rFonts w:ascii="Aptos" w:hAnsi="Aptos"/>
                <w:b/>
                <w:color w:val="1F4E79"/>
                <w:sz w:val="17"/>
              </w:rPr>
              <w:t>9</w:t>
            </w:r>
          </w:p>
        </w:tc>
        <w:tc>
          <w:tcPr>
            <w:tcW w:type="dxa" w:w="8504"/>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spacing w:after="0"/>
            </w:pPr>
            <w:r>
              <w:rPr>
                <w:rFonts w:ascii="Aptos" w:hAnsi="Aptos"/>
                <w:sz w:val="17"/>
              </w:rPr>
              <w:t>Startup, shock, mount and saturation edge cases</w:t>
            </w:r>
          </w:p>
        </w:tc>
      </w:tr>
      <w:tr>
        <w:trPr>
          <w:cantSplit/>
        </w:trPr>
        <w:tc>
          <w:tcPr>
            <w:tcW w:type="dxa" w:w="1134"/>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spacing w:after="0"/>
            </w:pPr>
            <w:r>
              <w:rPr>
                <w:rFonts w:ascii="Aptos" w:hAnsi="Aptos"/>
                <w:b/>
                <w:color w:val="1F4E79"/>
                <w:sz w:val="17"/>
              </w:rPr>
              <w:t>10</w:t>
            </w:r>
          </w:p>
        </w:tc>
        <w:tc>
          <w:tcPr>
            <w:tcW w:type="dxa" w:w="8504"/>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spacing w:after="0"/>
            </w:pPr>
            <w:r>
              <w:rPr>
                <w:rFonts w:ascii="Aptos" w:hAnsi="Aptos"/>
                <w:sz w:val="17"/>
              </w:rPr>
              <w:t>Locked Level-1 validation and demo freeze</w:t>
            </w:r>
          </w:p>
        </w:tc>
      </w:tr>
      <w:tr>
        <w:trPr>
          <w:cantSplit/>
        </w:trPr>
        <w:tc>
          <w:tcPr>
            <w:tcW w:type="dxa" w:w="1134"/>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spacing w:after="0"/>
            </w:pPr>
            <w:r>
              <w:rPr>
                <w:rFonts w:ascii="Aptos" w:hAnsi="Aptos"/>
                <w:b/>
                <w:color w:val="1F4E79"/>
                <w:sz w:val="17"/>
              </w:rPr>
              <w:t>11</w:t>
            </w:r>
          </w:p>
        </w:tc>
        <w:tc>
          <w:tcPr>
            <w:tcW w:type="dxa" w:w="8504"/>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spacing w:after="0"/>
            </w:pPr>
            <w:r>
              <w:rPr>
                <w:rFonts w:ascii="Aptos" w:hAnsi="Aptos"/>
                <w:sz w:val="17"/>
              </w:rPr>
              <w:t>Documentation, BOM, wiring, limitations and rehearsal</w:t>
            </w:r>
          </w:p>
        </w:tc>
      </w:tr>
      <w:tr>
        <w:trPr>
          <w:cantSplit/>
        </w:trPr>
        <w:tc>
          <w:tcPr>
            <w:tcW w:type="dxa" w:w="1134"/>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spacing w:after="0"/>
            </w:pPr>
            <w:r>
              <w:rPr>
                <w:rFonts w:ascii="Aptos" w:hAnsi="Aptos"/>
                <w:b/>
                <w:color w:val="1F4E79"/>
                <w:sz w:val="17"/>
              </w:rPr>
              <w:t>12</w:t>
            </w:r>
          </w:p>
        </w:tc>
        <w:tc>
          <w:tcPr>
            <w:tcW w:type="dxa" w:w="8504"/>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spacing w:after="0"/>
            </w:pPr>
            <w:r>
              <w:rPr>
                <w:rFonts w:ascii="Aptos" w:hAnsi="Aptos"/>
                <w:sz w:val="17"/>
              </w:rPr>
              <w:t>Contingency repair and final delivery; no late scope expansion</w:t>
            </w:r>
          </w:p>
        </w:tc>
      </w:tr>
    </w:tbl>
    <w:tbl>
      <w:tblPr>
        <w:tblW w:type="auto" w:w="0"/>
        <w:jc w:val="center"/>
        <w:tblLayout w:type="fixed"/>
        <w:tblLook w:firstColumn="1" w:firstRow="1" w:lastColumn="0" w:lastRow="0" w:noHBand="0" w:noVBand="1" w:val="04A0"/>
      </w:tblPr>
      <w:tblGrid>
        <w:gridCol w:w="9865"/>
      </w:tblGrid>
      <w:tr>
        <w:tc>
          <w:tcPr>
            <w:tcW w:type="dxa" w:w="9866"/>
            <w:vAlign w:val="center"/>
            <w:shd w:fill="FFF2CC"/>
            <w:tcBorders>
              <w:top w:sz="8" w:val="single" w:color="BF9000"/>
              <w:left w:sz="8" w:val="single" w:color="BF9000"/>
              <w:bottom w:sz="8" w:val="single" w:color="BF9000"/>
              <w:right w:sz="8" w:val="single" w:color="BF9000"/>
            </w:tcBorders>
            <w:tcMar>
              <w:top w:w="80" w:type="dxa"/>
              <w:left w:w="80" w:type="dxa"/>
              <w:bottom w:w="80" w:type="dxa"/>
              <w:right w:w="80" w:type="dxa"/>
            </w:tcMar>
          </w:tcPr>
          <w:p>
            <w:pPr>
              <w:spacing w:after="40"/>
            </w:pPr>
            <w:r>
              <w:rPr>
                <w:rFonts w:ascii="Aptos" w:hAnsi="Aptos"/>
                <w:b/>
                <w:color w:val="1F4E79"/>
                <w:sz w:val="21"/>
              </w:rPr>
              <w:t>Schedule rule</w:t>
            </w:r>
          </w:p>
          <w:p>
            <w:pPr>
              <w:spacing w:after="0"/>
            </w:pPr>
            <w:r>
              <w:rPr>
                <w:rFonts w:ascii="Aptos" w:hAnsi="Aptos"/>
                <w:sz w:val="19"/>
              </w:rPr>
              <w:t>The minimum demonstrable system should work by the end of Week 8. Weeks 9-12 are reserved for validation, recovery and presentation rather than adding the future patent-research mechanism.</w:t>
            </w:r>
          </w:p>
        </w:tc>
      </w:tr>
    </w:tbl>
    <w:p>
      <w:pPr>
        <w:spacing w:after="0"/>
      </w:pPr>
    </w:p>
    <w:p>
      <w:pPr>
        <w:pStyle w:val="Heading1"/>
        <w:keepNext/>
        <w:spacing w:before="160" w:after="80"/>
      </w:pPr>
      <w:r>
        <w:rPr>
          <w:rFonts w:ascii="Aptos" w:hAnsi="Aptos"/>
          <w:b/>
          <w:color w:val="1F4E79"/>
          <w:sz w:val="28"/>
        </w:rPr>
        <w:t>7. Team structure and accountability</w:t>
      </w:r>
    </w:p>
    <w:p>
      <w:r>
        <w:rPr>
          <w:rFonts w:ascii="Aptos" w:hAnsi="Aptos"/>
          <w:sz w:val="19"/>
        </w:rPr>
        <w:t>The five members listed in the zeroth-review presentation remain the project team. Final technical ownership should be confirmed after approval using the following balanced structure:</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835"/>
            <w:shd w:fill="1F4E79"/>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jc w:val="center"/>
            </w:pPr>
            <w:r>
              <w:rPr>
                <w:rFonts w:ascii="Aptos" w:hAnsi="Aptos"/>
                <w:b/>
                <w:color w:val="FFFFFF"/>
                <w:sz w:val="17"/>
              </w:rPr>
              <w:t>Role</w:t>
            </w:r>
          </w:p>
        </w:tc>
        <w:tc>
          <w:tcPr>
            <w:tcW w:type="dxa" w:w="6803"/>
            <w:shd w:fill="1F4E79"/>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jc w:val="center"/>
            </w:pPr>
            <w:r>
              <w:rPr>
                <w:rFonts w:ascii="Aptos" w:hAnsi="Aptos"/>
                <w:b/>
                <w:color w:val="FFFFFF"/>
                <w:sz w:val="17"/>
              </w:rPr>
              <w:t>Responsibility</w:t>
            </w:r>
          </w:p>
        </w:tc>
      </w:tr>
      <w:tr>
        <w:trPr>
          <w:cantSplit/>
        </w:trPr>
        <w:tc>
          <w:tcPr>
            <w:tcW w:type="dxa" w:w="2835"/>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spacing w:after="0"/>
            </w:pPr>
            <w:r>
              <w:rPr>
                <w:rFonts w:ascii="Aptos" w:hAnsi="Aptos"/>
                <w:b/>
                <w:color w:val="1F4E79"/>
                <w:sz w:val="17"/>
              </w:rPr>
              <w:t>Technical integration lead</w:t>
            </w:r>
          </w:p>
        </w:tc>
        <w:tc>
          <w:tcPr>
            <w:tcW w:type="dxa" w:w="6803"/>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spacing w:after="0"/>
            </w:pPr>
            <w:r>
              <w:rPr>
                <w:rFonts w:ascii="Aptos" w:hAnsi="Aptos"/>
                <w:sz w:val="17"/>
              </w:rPr>
              <w:t>Architecture control, schedule, interfaces, safety and final integration</w:t>
            </w:r>
          </w:p>
        </w:tc>
      </w:tr>
      <w:tr>
        <w:trPr>
          <w:cantSplit/>
        </w:trPr>
        <w:tc>
          <w:tcPr>
            <w:tcW w:type="dxa" w:w="2835"/>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spacing w:after="0"/>
            </w:pPr>
            <w:r>
              <w:rPr>
                <w:rFonts w:ascii="Aptos" w:hAnsi="Aptos"/>
                <w:b/>
                <w:color w:val="1F4E79"/>
                <w:sz w:val="17"/>
              </w:rPr>
              <w:t>Firmware/data lead</w:t>
            </w:r>
          </w:p>
        </w:tc>
        <w:tc>
          <w:tcPr>
            <w:tcW w:type="dxa" w:w="6803"/>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spacing w:after="0"/>
            </w:pPr>
            <w:r>
              <w:rPr>
                <w:rFonts w:ascii="Aptos" w:hAnsi="Aptos"/>
                <w:sz w:val="17"/>
              </w:rPr>
              <w:t>SPI acquisition, feature pipeline, USB logs, analysis and held-out protocol</w:t>
            </w:r>
          </w:p>
        </w:tc>
      </w:tr>
      <w:tr>
        <w:trPr>
          <w:cantSplit/>
        </w:trPr>
        <w:tc>
          <w:tcPr>
            <w:tcW w:type="dxa" w:w="2835"/>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spacing w:after="0"/>
            </w:pPr>
            <w:r>
              <w:rPr>
                <w:rFonts w:ascii="Aptos" w:hAnsi="Aptos"/>
                <w:b/>
                <w:color w:val="1F4E79"/>
                <w:sz w:val="17"/>
              </w:rPr>
              <w:t>Hardware/rig lead</w:t>
            </w:r>
          </w:p>
        </w:tc>
        <w:tc>
          <w:tcPr>
            <w:tcW w:type="dxa" w:w="6803"/>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spacing w:after="0"/>
            </w:pPr>
            <w:r>
              <w:rPr>
                <w:rFonts w:ascii="Aptos" w:hAnsi="Aptos"/>
                <w:sz w:val="17"/>
              </w:rPr>
              <w:t>Procurement, wiring, motor base, rigid sensor mounting, guard and power</w:t>
            </w:r>
          </w:p>
        </w:tc>
      </w:tr>
      <w:tr>
        <w:trPr>
          <w:cantSplit/>
        </w:trPr>
        <w:tc>
          <w:tcPr>
            <w:tcW w:type="dxa" w:w="2835"/>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spacing w:after="0"/>
            </w:pPr>
            <w:r>
              <w:rPr>
                <w:rFonts w:ascii="Aptos" w:hAnsi="Aptos"/>
                <w:b/>
                <w:color w:val="1F4E79"/>
                <w:sz w:val="17"/>
              </w:rPr>
              <w:t>Learner/test assistant</w:t>
            </w:r>
          </w:p>
        </w:tc>
        <w:tc>
          <w:tcPr>
            <w:tcW w:type="dxa" w:w="6803"/>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spacing w:after="0"/>
            </w:pPr>
            <w:r>
              <w:rPr>
                <w:rFonts w:ascii="Aptos" w:hAnsi="Aptos"/>
                <w:sz w:val="17"/>
              </w:rPr>
              <w:t>Inventory, scripted sessions, labels, mount photographs and repeatable test records</w:t>
            </w:r>
          </w:p>
        </w:tc>
      </w:tr>
      <w:tr>
        <w:trPr>
          <w:cantSplit/>
        </w:trPr>
        <w:tc>
          <w:tcPr>
            <w:tcW w:type="dxa" w:w="2835"/>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spacing w:after="0"/>
            </w:pPr>
            <w:r>
              <w:rPr>
                <w:rFonts w:ascii="Aptos" w:hAnsi="Aptos"/>
                <w:b/>
                <w:color w:val="1F4E79"/>
                <w:sz w:val="17"/>
              </w:rPr>
              <w:t>Documentation/communication lead</w:t>
            </w:r>
          </w:p>
        </w:tc>
        <w:tc>
          <w:tcPr>
            <w:tcW w:type="dxa" w:w="6803"/>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spacing w:after="0"/>
            </w:pPr>
            <w:r>
              <w:rPr>
                <w:rFonts w:ascii="Aptos" w:hAnsi="Aptos"/>
                <w:sz w:val="17"/>
              </w:rPr>
              <w:t>Teacher communication, reports, demo script, slide updates and source log</w:t>
            </w:r>
          </w:p>
        </w:tc>
      </w:tr>
    </w:tbl>
    <w:p>
      <w:pPr>
        <w:pStyle w:val="ListBullet"/>
        <w:spacing w:after="40"/>
        <w:ind w:left="113"/>
      </w:pPr>
      <w:r>
        <w:rPr>
          <w:rFonts w:ascii="Aptos" w:hAnsi="Aptos"/>
          <w:sz w:val="19"/>
        </w:rPr>
        <w:t>Existing presentation responsibilities remain useful: Sreehari handles slide construction, Amith audits hardware/factual accuracy, Sreeprada coordinates speaker allocation after the deck is frozen, and Archa supports communication coaching/lead presenting.</w:t>
      </w:r>
    </w:p>
    <w:p>
      <w:pPr>
        <w:pStyle w:val="ListBullet"/>
        <w:spacing w:after="40"/>
        <w:ind w:left="113"/>
      </w:pPr>
      <w:r>
        <w:rPr>
          <w:rFonts w:ascii="Aptos" w:hAnsi="Aptos"/>
          <w:sz w:val="19"/>
        </w:rPr>
        <w:t>The technical role-to-name map should be signed by all members after teacher approval; no critical subsystem will have only one knowledgeable owner.</w:t>
      </w:r>
    </w:p>
    <w:p>
      <w:r>
        <w:br w:type="page"/>
      </w:r>
    </w:p>
    <w:p>
      <w:pPr>
        <w:pStyle w:val="Heading1"/>
        <w:keepNext/>
        <w:spacing w:before="160" w:after="80"/>
      </w:pPr>
      <w:r>
        <w:rPr>
          <w:rFonts w:ascii="Aptos" w:hAnsi="Aptos"/>
          <w:b/>
          <w:color w:val="1F4E79"/>
          <w:sz w:val="28"/>
        </w:rPr>
        <w:t>8. Transition plan and preservation of OpenBraille work</w:t>
      </w:r>
    </w:p>
    <w:p>
      <w:pPr>
        <w:pStyle w:val="ListNumber"/>
        <w:spacing w:after="40"/>
      </w:pPr>
      <w:r>
        <w:rPr>
          <w:rFonts w:ascii="Aptos" w:hAnsi="Aptos"/>
          <w:sz w:val="19"/>
        </w:rPr>
        <w:t>Archive the final zeroth-review PPTX, OpenBraille architecture, memory, SOP, CAD concepts, BOM and research record under their existing configuration names.</w:t>
      </w:r>
    </w:p>
    <w:p>
      <w:pPr>
        <w:pStyle w:val="ListNumber"/>
        <w:spacing w:after="40"/>
      </w:pPr>
      <w:r>
        <w:rPr>
          <w:rFonts w:ascii="Aptos" w:hAnsi="Aptos"/>
          <w:sz w:val="19"/>
        </w:rPr>
        <w:t>Do not present OpenBraille as failed or wasted. Record it as a retained accessibility/mechatronics project and possible future research path.</w:t>
      </w:r>
    </w:p>
    <w:p>
      <w:pPr>
        <w:pStyle w:val="ListNumber"/>
        <w:spacing w:after="40"/>
      </w:pPr>
      <w:r>
        <w:rPr>
          <w:rFonts w:ascii="Aptos" w:hAnsi="Aptos"/>
          <w:sz w:val="19"/>
        </w:rPr>
        <w:t>Do not purchase the full six-servo OpenBraille BOM after switch approval unless the teacher separately authorizes a parallel or future build.</w:t>
      </w:r>
    </w:p>
    <w:p>
      <w:pPr>
        <w:pStyle w:val="ListNumber"/>
        <w:spacing w:after="40"/>
      </w:pPr>
      <w:r>
        <w:rPr>
          <w:rFonts w:ascii="Aptos" w:hAnsi="Aptos"/>
          <w:sz w:val="19"/>
        </w:rPr>
        <w:t>Freeze a new VibeGuard implementation folder, BOM, wiring record, firmware repository and validation log so evidence from the two projects cannot be mixed.</w:t>
      </w:r>
    </w:p>
    <w:p>
      <w:pPr>
        <w:pStyle w:val="ListNumber"/>
        <w:spacing w:after="40"/>
      </w:pPr>
      <w:r>
        <w:rPr>
          <w:rFonts w:ascii="Aptos" w:hAnsi="Aptos"/>
          <w:sz w:val="19"/>
        </w:rPr>
        <w:t>Update the next presentation transparently: explain the comparative assessment, approved change and exact new scope.</w:t>
      </w:r>
    </w:p>
    <w:p>
      <w:pPr>
        <w:pStyle w:val="Heading1"/>
        <w:keepNext/>
        <w:spacing w:before="160" w:after="80"/>
      </w:pPr>
      <w:r>
        <w:rPr>
          <w:rFonts w:ascii="Aptos" w:hAnsi="Aptos"/>
          <w:b/>
          <w:color w:val="1F4E79"/>
          <w:sz w:val="28"/>
        </w:rPr>
        <w:t>9. Patent and future-research boundary</w:t>
      </w:r>
    </w:p>
    <w:p>
      <w:pPr>
        <w:jc w:val="both"/>
      </w:pPr>
      <w:r>
        <w:rPr>
          <w:rFonts w:ascii="Aptos" w:hAnsi="Aptos"/>
          <w:sz w:val="19"/>
        </w:rPr>
        <w:t>Neither frozen semester project is being presented as a patent-ready invention. The later simulations identified research hypotheses only. These are not part of the approval request and must not be described as working results.</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551"/>
            <w:shd w:fill="1F4E79"/>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jc w:val="center"/>
            </w:pPr>
            <w:r>
              <w:rPr>
                <w:rFonts w:ascii="Aptos" w:hAnsi="Aptos"/>
                <w:b/>
                <w:color w:val="FFFFFF"/>
                <w:sz w:val="17"/>
              </w:rPr>
              <w:t>Future research hypothesis</w:t>
            </w:r>
          </w:p>
        </w:tc>
        <w:tc>
          <w:tcPr>
            <w:tcW w:type="dxa" w:w="7087"/>
            <w:shd w:fill="1F4E79"/>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jc w:val="center"/>
            </w:pPr>
            <w:r>
              <w:rPr>
                <w:rFonts w:ascii="Aptos" w:hAnsi="Aptos"/>
                <w:b/>
                <w:color w:val="FFFFFF"/>
                <w:sz w:val="17"/>
              </w:rPr>
              <w:t>Teacher-safe description</w:t>
            </w:r>
          </w:p>
        </w:tc>
      </w:tr>
      <w:tr>
        <w:trPr>
          <w:cantSplit/>
        </w:trPr>
        <w:tc>
          <w:tcPr>
            <w:tcW w:type="dxa" w:w="2551"/>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spacing w:after="0"/>
            </w:pPr>
            <w:r>
              <w:rPr>
                <w:rFonts w:ascii="Aptos" w:hAnsi="Aptos"/>
                <w:b/>
                <w:color w:val="1F4E79"/>
                <w:sz w:val="17"/>
              </w:rPr>
              <w:t>VibeGuard - PIRG</w:t>
            </w:r>
          </w:p>
        </w:tc>
        <w:tc>
          <w:tcPr>
            <w:tcW w:type="dxa" w:w="7087"/>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spacing w:after="0"/>
            </w:pPr>
            <w:r>
              <w:rPr>
                <w:rFonts w:ascii="Aptos" w:hAnsi="Aptos"/>
                <w:sz w:val="17"/>
              </w:rPr>
              <w:t>A later study may compare controlled target-machine changes with independently controlled interference changes to test whether one target-mounted sensor can distinguish target faults from neighbouring vibration. It is unbuilt and may fail.</w:t>
            </w:r>
          </w:p>
        </w:tc>
      </w:tr>
      <w:tr>
        <w:trPr>
          <w:cantSplit/>
        </w:trPr>
        <w:tc>
          <w:tcPr>
            <w:tcW w:type="dxa" w:w="2551"/>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spacing w:after="0"/>
            </w:pPr>
            <w:r>
              <w:rPr>
                <w:rFonts w:ascii="Aptos" w:hAnsi="Aptos"/>
                <w:b/>
                <w:color w:val="1F4E79"/>
                <w:sz w:val="17"/>
              </w:rPr>
              <w:t>OpenBraille - VPD-C7</w:t>
            </w:r>
          </w:p>
        </w:tc>
        <w:tc>
          <w:tcPr>
            <w:tcW w:type="dxa" w:w="7087"/>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spacing w:after="0"/>
            </w:pPr>
            <w:r>
              <w:rPr>
                <w:rFonts w:ascii="Aptos" w:hAnsi="Aptos"/>
                <w:sz w:val="17"/>
              </w:rPr>
              <w:t>A later mechanical study may examine whether the same registered endpoint that sets tactile-pin position can also provide direct pin-side endpoint evidence. It is unbuilt; current alone must never certify pin position.</w:t>
            </w:r>
          </w:p>
        </w:tc>
      </w:tr>
    </w:tbl>
    <w:p>
      <w:pPr>
        <w:pStyle w:val="ListBullet"/>
        <w:spacing w:after="40"/>
        <w:ind w:left="113"/>
      </w:pPr>
      <w:r>
        <w:rPr>
          <w:rFonts w:ascii="Aptos" w:hAnsi="Aptos"/>
          <w:sz w:val="19"/>
        </w:rPr>
        <w:t>Future research details, raw data, exact thresholds, unpublished CAD and claim-oriented structures should remain confidential until institutional IPR review.</w:t>
      </w:r>
    </w:p>
    <w:p>
      <w:pPr>
        <w:pStyle w:val="ListBullet"/>
        <w:spacing w:after="40"/>
        <w:ind w:left="113"/>
      </w:pPr>
      <w:r>
        <w:rPr>
          <w:rFonts w:ascii="Aptos" w:hAnsi="Aptos"/>
          <w:sz w:val="19"/>
        </w:rPr>
        <w:t>A later filing/no-filing decision requires physical experiments, refreshed prior-art analysis and professional review. No patent grant is promised.</w:t>
      </w:r>
    </w:p>
    <w:p>
      <w:pPr>
        <w:pStyle w:val="Heading1"/>
        <w:keepNext/>
        <w:spacing w:before="160" w:after="80"/>
      </w:pPr>
      <w:r>
        <w:rPr>
          <w:rFonts w:ascii="Aptos" w:hAnsi="Aptos"/>
          <w:b/>
          <w:color w:val="1F4E79"/>
          <w:sz w:val="28"/>
        </w:rPr>
        <w:t>10. Risks and mitigations after the switch</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835"/>
            <w:shd w:fill="1F4E79"/>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jc w:val="center"/>
            </w:pPr>
            <w:r>
              <w:rPr>
                <w:rFonts w:ascii="Aptos" w:hAnsi="Aptos"/>
                <w:b/>
                <w:color w:val="FFFFFF"/>
                <w:sz w:val="17"/>
              </w:rPr>
              <w:t>Risk</w:t>
            </w:r>
          </w:p>
        </w:tc>
        <w:tc>
          <w:tcPr>
            <w:tcW w:type="dxa" w:w="6803"/>
            <w:shd w:fill="1F4E79"/>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jc w:val="center"/>
            </w:pPr>
            <w:r>
              <w:rPr>
                <w:rFonts w:ascii="Aptos" w:hAnsi="Aptos"/>
                <w:b/>
                <w:color w:val="FFFFFF"/>
                <w:sz w:val="17"/>
              </w:rPr>
              <w:t>Mitigation</w:t>
            </w:r>
          </w:p>
        </w:tc>
      </w:tr>
      <w:tr>
        <w:trPr>
          <w:cantSplit/>
        </w:trPr>
        <w:tc>
          <w:tcPr>
            <w:tcW w:type="dxa" w:w="2835"/>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spacing w:after="0"/>
            </w:pPr>
            <w:r>
              <w:rPr>
                <w:rFonts w:ascii="Aptos" w:hAnsi="Aptos"/>
                <w:b/>
                <w:color w:val="1F4E79"/>
                <w:sz w:val="17"/>
              </w:rPr>
              <w:t>Counterfeit or poor-quality sensor module</w:t>
            </w:r>
          </w:p>
        </w:tc>
        <w:tc>
          <w:tcPr>
            <w:tcW w:type="dxa" w:w="6803"/>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spacing w:after="0"/>
            </w:pPr>
            <w:r>
              <w:rPr>
                <w:rFonts w:ascii="Aptos" w:hAnsi="Aptos"/>
                <w:sz w:val="17"/>
              </w:rPr>
              <w:t>Buy from a reputable source, inspect the board and run a formal acceptance test before integration.</w:t>
            </w:r>
          </w:p>
        </w:tc>
      </w:tr>
      <w:tr>
        <w:trPr>
          <w:cantSplit/>
        </w:trPr>
        <w:tc>
          <w:tcPr>
            <w:tcW w:type="dxa" w:w="2835"/>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spacing w:after="0"/>
            </w:pPr>
            <w:r>
              <w:rPr>
                <w:rFonts w:ascii="Aptos" w:hAnsi="Aptos"/>
                <w:b/>
                <w:color w:val="1F4E79"/>
                <w:sz w:val="17"/>
              </w:rPr>
              <w:t>Unstable or unsafe motor rig</w:t>
            </w:r>
          </w:p>
        </w:tc>
        <w:tc>
          <w:tcPr>
            <w:tcW w:type="dxa" w:w="6803"/>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spacing w:after="0"/>
            </w:pPr>
            <w:r>
              <w:rPr>
                <w:rFonts w:ascii="Aptos" w:hAnsi="Aptos"/>
                <w:sz w:val="17"/>
              </w:rPr>
              <w:t>Use a heavy base, retained eccentric mass, shaft guard, current-limited bring-up and faculty/lab safety review.</w:t>
            </w:r>
          </w:p>
        </w:tc>
      </w:tr>
      <w:tr>
        <w:trPr>
          <w:cantSplit/>
        </w:trPr>
        <w:tc>
          <w:tcPr>
            <w:tcW w:type="dxa" w:w="2835"/>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spacing w:after="0"/>
            </w:pPr>
            <w:r>
              <w:rPr>
                <w:rFonts w:ascii="Aptos" w:hAnsi="Aptos"/>
                <w:b/>
                <w:color w:val="1F4E79"/>
                <w:sz w:val="17"/>
              </w:rPr>
              <w:t>Mount-dependent results</w:t>
            </w:r>
          </w:p>
        </w:tc>
        <w:tc>
          <w:tcPr>
            <w:tcW w:type="dxa" w:w="6803"/>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spacing w:after="0"/>
            </w:pPr>
            <w:r>
              <w:rPr>
                <w:rFonts w:ascii="Aptos" w:hAnsi="Aptos"/>
                <w:sz w:val="17"/>
              </w:rPr>
              <w:t>Use a rigid, documented bracket and preserve mount/remount photographs and configuration IDs.</w:t>
            </w:r>
          </w:p>
        </w:tc>
      </w:tr>
      <w:tr>
        <w:trPr>
          <w:cantSplit/>
        </w:trPr>
        <w:tc>
          <w:tcPr>
            <w:tcW w:type="dxa" w:w="2835"/>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spacing w:after="0"/>
            </w:pPr>
            <w:r>
              <w:rPr>
                <w:rFonts w:ascii="Aptos" w:hAnsi="Aptos"/>
                <w:b/>
                <w:color w:val="1F4E79"/>
                <w:sz w:val="17"/>
              </w:rPr>
              <w:t>Data leakage or over-optimistic accuracy</w:t>
            </w:r>
          </w:p>
        </w:tc>
        <w:tc>
          <w:tcPr>
            <w:tcW w:type="dxa" w:w="6803"/>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spacing w:after="0"/>
            </w:pPr>
            <w:r>
              <w:rPr>
                <w:rFonts w:ascii="Aptos" w:hAnsi="Aptos"/>
                <w:sz w:val="17"/>
              </w:rPr>
              <w:t>Split by complete sessions/remounts, not random windows; freeze thresholds before the locked test.</w:t>
            </w:r>
          </w:p>
        </w:tc>
      </w:tr>
      <w:tr>
        <w:trPr>
          <w:cantSplit/>
        </w:trPr>
        <w:tc>
          <w:tcPr>
            <w:tcW w:type="dxa" w:w="2835"/>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spacing w:after="0"/>
            </w:pPr>
            <w:r>
              <w:rPr>
                <w:rFonts w:ascii="Aptos" w:hAnsi="Aptos"/>
                <w:b/>
                <w:color w:val="1F4E79"/>
                <w:sz w:val="17"/>
              </w:rPr>
              <w:t>Late algorithm expansion</w:t>
            </w:r>
          </w:p>
        </w:tc>
        <w:tc>
          <w:tcPr>
            <w:tcW w:type="dxa" w:w="6803"/>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spacing w:after="0"/>
            </w:pPr>
            <w:r>
              <w:rPr>
                <w:rFonts w:ascii="Aptos" w:hAnsi="Aptos"/>
                <w:sz w:val="17"/>
              </w:rPr>
              <w:t>RMS plus persistence remains the minimum. FFT and Mahalanobis are comparisons, not excuses to delay the core build.</w:t>
            </w:r>
          </w:p>
        </w:tc>
      </w:tr>
      <w:tr>
        <w:trPr>
          <w:cantSplit/>
        </w:trPr>
        <w:tc>
          <w:tcPr>
            <w:tcW w:type="dxa" w:w="2835"/>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spacing w:after="0"/>
            </w:pPr>
            <w:r>
              <w:rPr>
                <w:rFonts w:ascii="Aptos" w:hAnsi="Aptos"/>
                <w:b/>
                <w:color w:val="1F4E79"/>
                <w:sz w:val="17"/>
              </w:rPr>
              <w:t>Patent expectation influencing the semester</w:t>
            </w:r>
          </w:p>
        </w:tc>
        <w:tc>
          <w:tcPr>
            <w:tcW w:type="dxa" w:w="6803"/>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spacing w:after="0"/>
            </w:pPr>
            <w:r>
              <w:rPr>
                <w:rFonts w:ascii="Aptos" w:hAnsi="Aptos"/>
                <w:sz w:val="17"/>
              </w:rPr>
              <w:t>Keep the semester MVP and future research in separate scopes, folders, budgets and claims.</w:t>
            </w:r>
          </w:p>
        </w:tc>
      </w:tr>
    </w:tbl>
    <w:p>
      <w:pPr>
        <w:pStyle w:val="Heading1"/>
        <w:keepNext/>
        <w:spacing w:before="160" w:after="80"/>
      </w:pPr>
      <w:r>
        <w:rPr>
          <w:rFonts w:ascii="Aptos" w:hAnsi="Aptos"/>
          <w:b/>
          <w:color w:val="1F4E79"/>
          <w:sz w:val="28"/>
        </w:rPr>
        <w:t>11. Formal approval requested</w:t>
      </w:r>
    </w:p>
    <w:tbl>
      <w:tblPr>
        <w:tblW w:type="auto" w:w="0"/>
        <w:jc w:val="center"/>
        <w:tblLayout w:type="fixed"/>
        <w:tblLook w:firstColumn="1" w:firstRow="1" w:lastColumn="0" w:lastRow="0" w:noHBand="0" w:noVBand="1" w:val="04A0"/>
      </w:tblPr>
      <w:tblGrid>
        <w:gridCol w:w="9865"/>
      </w:tblGrid>
      <w:tr>
        <w:tc>
          <w:tcPr>
            <w:tcW w:type="dxa" w:w="9866"/>
            <w:vAlign w:val="center"/>
            <w:shd w:fill="E2F0D9"/>
            <w:tcBorders>
              <w:top w:sz="8" w:val="single" w:color="70AD47"/>
              <w:left w:sz="8" w:val="single" w:color="70AD47"/>
              <w:bottom w:sz="8" w:val="single" w:color="70AD47"/>
              <w:right w:sz="8" w:val="single" w:color="70AD47"/>
            </w:tcBorders>
            <w:tcMar>
              <w:top w:w="80" w:type="dxa"/>
              <w:left w:w="80" w:type="dxa"/>
              <w:bottom w:w="80" w:type="dxa"/>
              <w:right w:w="80" w:type="dxa"/>
            </w:tcMar>
          </w:tcPr>
          <w:p>
            <w:pPr>
              <w:spacing w:after="40"/>
            </w:pPr>
            <w:r>
              <w:rPr>
                <w:rFonts w:ascii="Aptos" w:hAnsi="Aptos"/>
                <w:b/>
                <w:color w:val="1F4E79"/>
                <w:sz w:val="21"/>
              </w:rPr>
              <w:t>Requested decision</w:t>
            </w:r>
          </w:p>
          <w:p>
            <w:pPr>
              <w:spacing w:after="0"/>
            </w:pPr>
            <w:r>
              <w:rPr>
                <w:rFonts w:ascii="Aptos" w:hAnsi="Aptos"/>
                <w:sz w:val="19"/>
              </w:rPr>
              <w:t>Approve VibeGuard as Group 8's semester microcontroller project, using the frozen single-sensor Level-1 architecture and the approximately ₹2,200 expected budget. Retain OpenBraille as completed zeroth-review research and a possible future accessibility project.</w:t>
            </w:r>
          </w:p>
        </w:tc>
      </w:tr>
    </w:tbl>
    <w:p>
      <w:pPr>
        <w:spacing w:after="0"/>
      </w:pPr>
    </w:p>
    <w:p>
      <w:pPr>
        <w:jc w:val="both"/>
      </w:pPr>
      <w:r>
        <w:rPr>
          <w:rFonts w:ascii="Aptos" w:hAnsi="Aptos"/>
          <w:sz w:val="19"/>
        </w:rPr>
        <w:t>The team believes this change increases the probability of delivering a complete, measurable and technically honest project without discarding the work already completed. Upon approval, procurement and role assignment will be frozen, and the detailed VibeGuard implementation dossier will become the controlling build plan.</w:t>
      </w:r>
    </w:p>
    <w:tbl>
      <w:tblPr>
        <w:tblW w:type="auto" w:w="0"/>
        <w:jc w:val="center"/>
        <w:tblLook w:firstColumn="1" w:firstRow="1" w:lastColumn="0" w:lastRow="0" w:noHBand="0" w:noVBand="1" w:val="04A0"/>
      </w:tblPr>
      <w:tblGrid>
        <w:gridCol w:w="4933"/>
        <w:gridCol w:w="4933"/>
      </w:tblGrid>
      <w:tr>
        <w:tc>
          <w:tcPr>
            <w:tcW w:type="dxa" w:w="4819"/>
            <w:shd w:fill="D9EAF7"/>
            <w:tcBorders>
              <w:top w:sz="5" w:val="single" w:color="7F8C8D"/>
              <w:left w:sz="5" w:val="single" w:color="7F8C8D"/>
              <w:bottom w:sz="5" w:val="single" w:color="7F8C8D"/>
              <w:right w:sz="5" w:val="single" w:color="7F8C8D"/>
            </w:tcBorders>
            <w:tcMar>
              <w:top w:w="80" w:type="dxa"/>
              <w:left w:w="80" w:type="dxa"/>
              <w:bottom w:w="80" w:type="dxa"/>
              <w:right w:w="80" w:type="dxa"/>
            </w:tcMar>
          </w:tcPr>
          <w:p>
            <w:r>
              <w:rPr>
                <w:rFonts w:ascii="Aptos" w:hAnsi="Aptos"/>
                <w:b/>
                <w:color w:val="1F4E79"/>
                <w:sz w:val="18"/>
              </w:rPr>
              <w:t>Teacher decision</w:t>
            </w:r>
          </w:p>
        </w:tc>
        <w:tc>
          <w:tcPr>
            <w:tcW w:type="dxa" w:w="4819"/>
            <w:tcBorders>
              <w:top w:sz="5" w:val="single" w:color="7F8C8D"/>
              <w:left w:sz="5" w:val="single" w:color="7F8C8D"/>
              <w:bottom w:sz="5" w:val="single" w:color="7F8C8D"/>
              <w:right w:sz="5" w:val="single" w:color="7F8C8D"/>
            </w:tcBorders>
            <w:tcMar>
              <w:top w:w="80" w:type="dxa"/>
              <w:left w:w="80" w:type="dxa"/>
              <w:bottom w:w="80" w:type="dxa"/>
              <w:right w:w="80" w:type="dxa"/>
            </w:tcMar>
          </w:tcPr>
          <w:p>
            <w:r>
              <w:rPr>
                <w:rFonts w:ascii="Aptos" w:hAnsi="Aptos"/>
                <w:sz w:val="18"/>
              </w:rPr>
              <w:t>Approved / Approved with conditions / Not approved</w:t>
            </w:r>
          </w:p>
        </w:tc>
      </w:tr>
      <w:tr>
        <w:trPr>
          <w:trHeight w:val="794"/>
        </w:trPr>
        <w:tc>
          <w:tcPr>
            <w:tcW w:type="dxa" w:w="4819"/>
            <w:shd w:fill="D9EAF7"/>
            <w:tcBorders>
              <w:top w:sz="5" w:val="single" w:color="7F8C8D"/>
              <w:left w:sz="5" w:val="single" w:color="7F8C8D"/>
              <w:bottom w:sz="5" w:val="single" w:color="7F8C8D"/>
              <w:right w:sz="5" w:val="single" w:color="7F8C8D"/>
            </w:tcBorders>
            <w:tcMar>
              <w:top w:w="80" w:type="dxa"/>
              <w:left w:w="80" w:type="dxa"/>
              <w:bottom w:w="80" w:type="dxa"/>
              <w:right w:w="80" w:type="dxa"/>
            </w:tcMar>
          </w:tcPr>
          <w:p>
            <w:r>
              <w:rPr>
                <w:rFonts w:ascii="Aptos" w:hAnsi="Aptos"/>
                <w:b/>
                <w:color w:val="1F4E79"/>
                <w:sz w:val="18"/>
              </w:rPr>
              <w:t>Conditions or comments</w:t>
            </w:r>
          </w:p>
        </w:tc>
        <w:tc>
          <w:tcPr>
            <w:tcW w:type="dxa" w:w="4819"/>
            <w:tcBorders>
              <w:top w:sz="5" w:val="single" w:color="7F8C8D"/>
              <w:left w:sz="5" w:val="single" w:color="7F8C8D"/>
              <w:bottom w:sz="5" w:val="single" w:color="7F8C8D"/>
              <w:right w:sz="5" w:val="single" w:color="7F8C8D"/>
            </w:tcBorders>
            <w:tcMar>
              <w:top w:w="80" w:type="dxa"/>
              <w:left w:w="80" w:type="dxa"/>
              <w:bottom w:w="80" w:type="dxa"/>
              <w:right w:w="80" w:type="dxa"/>
            </w:tcMar>
          </w:tcPr>
          <w:p>
            <w:r>
              <w:rPr>
                <w:rFonts w:ascii="Aptos" w:hAnsi="Aptos"/>
                <w:sz w:val="18"/>
              </w:rPr>
            </w:r>
          </w:p>
        </w:tc>
      </w:tr>
      <w:tr>
        <w:trPr>
          <w:trHeight w:val="794"/>
        </w:trPr>
        <w:tc>
          <w:tcPr>
            <w:tcW w:type="dxa" w:w="4819"/>
            <w:shd w:fill="D9EAF7"/>
            <w:tcBorders>
              <w:top w:sz="5" w:val="single" w:color="7F8C8D"/>
              <w:left w:sz="5" w:val="single" w:color="7F8C8D"/>
              <w:bottom w:sz="5" w:val="single" w:color="7F8C8D"/>
              <w:right w:sz="5" w:val="single" w:color="7F8C8D"/>
            </w:tcBorders>
            <w:tcMar>
              <w:top w:w="80" w:type="dxa"/>
              <w:left w:w="80" w:type="dxa"/>
              <w:bottom w:w="80" w:type="dxa"/>
              <w:right w:w="80" w:type="dxa"/>
            </w:tcMar>
          </w:tcPr>
          <w:p>
            <w:r>
              <w:rPr>
                <w:rFonts w:ascii="Aptos" w:hAnsi="Aptos"/>
                <w:b/>
                <w:color w:val="1F4E79"/>
                <w:sz w:val="18"/>
              </w:rPr>
              <w:t>Signature</w:t>
            </w:r>
          </w:p>
        </w:tc>
        <w:tc>
          <w:tcPr>
            <w:tcW w:type="dxa" w:w="4819"/>
            <w:tcBorders>
              <w:top w:sz="5" w:val="single" w:color="7F8C8D"/>
              <w:left w:sz="5" w:val="single" w:color="7F8C8D"/>
              <w:bottom w:sz="5" w:val="single" w:color="7F8C8D"/>
              <w:right w:sz="5" w:val="single" w:color="7F8C8D"/>
            </w:tcBorders>
            <w:tcMar>
              <w:top w:w="80" w:type="dxa"/>
              <w:left w:w="80" w:type="dxa"/>
              <w:bottom w:w="80" w:type="dxa"/>
              <w:right w:w="80" w:type="dxa"/>
            </w:tcMar>
          </w:tcPr>
          <w:p>
            <w:r>
              <w:rPr>
                <w:rFonts w:ascii="Aptos" w:hAnsi="Aptos"/>
                <w:sz w:val="18"/>
              </w:rPr>
            </w:r>
          </w:p>
        </w:tc>
      </w:tr>
      <w:tr>
        <w:tc>
          <w:tcPr>
            <w:tcW w:type="dxa" w:w="4819"/>
            <w:shd w:fill="D9EAF7"/>
            <w:tcBorders>
              <w:top w:sz="5" w:val="single" w:color="7F8C8D"/>
              <w:left w:sz="5" w:val="single" w:color="7F8C8D"/>
              <w:bottom w:sz="5" w:val="single" w:color="7F8C8D"/>
              <w:right w:sz="5" w:val="single" w:color="7F8C8D"/>
            </w:tcBorders>
            <w:tcMar>
              <w:top w:w="80" w:type="dxa"/>
              <w:left w:w="80" w:type="dxa"/>
              <w:bottom w:w="80" w:type="dxa"/>
              <w:right w:w="80" w:type="dxa"/>
            </w:tcMar>
          </w:tcPr>
          <w:p>
            <w:r>
              <w:rPr>
                <w:rFonts w:ascii="Aptos" w:hAnsi="Aptos"/>
                <w:b/>
                <w:color w:val="1F4E79"/>
                <w:sz w:val="18"/>
              </w:rPr>
              <w:t>Date</w:t>
            </w:r>
          </w:p>
        </w:tc>
        <w:tc>
          <w:tcPr>
            <w:tcW w:type="dxa" w:w="4819"/>
            <w:tcBorders>
              <w:top w:sz="5" w:val="single" w:color="7F8C8D"/>
              <w:left w:sz="5" w:val="single" w:color="7F8C8D"/>
              <w:bottom w:sz="5" w:val="single" w:color="7F8C8D"/>
              <w:right w:sz="5" w:val="single" w:color="7F8C8D"/>
            </w:tcBorders>
            <w:tcMar>
              <w:top w:w="80" w:type="dxa"/>
              <w:left w:w="80" w:type="dxa"/>
              <w:bottom w:w="80" w:type="dxa"/>
              <w:right w:w="80" w:type="dxa"/>
            </w:tcMar>
          </w:tcPr>
          <w:p>
            <w:r>
              <w:rPr>
                <w:rFonts w:ascii="Aptos" w:hAnsi="Aptos"/>
                <w:sz w:val="18"/>
              </w:rPr>
            </w:r>
          </w:p>
        </w:tc>
      </w:tr>
    </w:tbl>
    <w:p>
      <w:pPr>
        <w:pStyle w:val="Heading1"/>
        <w:keepNext/>
        <w:spacing w:before="160" w:after="80"/>
      </w:pPr>
      <w:r>
        <w:rPr>
          <w:rFonts w:ascii="Aptos" w:hAnsi="Aptos"/>
          <w:b/>
          <w:color w:val="1F4E79"/>
          <w:sz w:val="28"/>
        </w:rPr>
        <w:t>12. Evidence basis</w:t>
      </w:r>
    </w:p>
    <w:p>
      <w:r>
        <w:rPr>
          <w:rFonts w:ascii="Aptos" w:hAnsi="Aptos"/>
          <w:sz w:val="18"/>
        </w:rPr>
        <w:t>This request was prepared from the controlled Project mC master evidence package, including:</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268"/>
            <w:shd w:fill="1F4E79"/>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jc w:val="center"/>
            </w:pPr>
            <w:r>
              <w:rPr>
                <w:rFonts w:ascii="Aptos" w:hAnsi="Aptos"/>
                <w:b/>
                <w:color w:val="FFFFFF"/>
                <w:sz w:val="17"/>
              </w:rPr>
              <w:t>Evidence layer</w:t>
            </w:r>
          </w:p>
        </w:tc>
        <w:tc>
          <w:tcPr>
            <w:tcW w:type="dxa" w:w="7370"/>
            <w:shd w:fill="1F4E79"/>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jc w:val="center"/>
            </w:pPr>
            <w:r>
              <w:rPr>
                <w:rFonts w:ascii="Aptos" w:hAnsi="Aptos"/>
                <w:b/>
                <w:color w:val="FFFFFF"/>
                <w:sz w:val="17"/>
              </w:rPr>
              <w:t>Controlled basis</w:t>
            </w:r>
          </w:p>
        </w:tc>
      </w:tr>
      <w:tr>
        <w:trPr>
          <w:cantSplit/>
        </w:trPr>
        <w:tc>
          <w:tcPr>
            <w:tcW w:type="dxa" w:w="2268"/>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spacing w:after="0"/>
            </w:pPr>
            <w:r>
              <w:rPr>
                <w:rFonts w:ascii="Aptos" w:hAnsi="Aptos"/>
                <w:b/>
                <w:color w:val="1F4E79"/>
                <w:sz w:val="16"/>
              </w:rPr>
              <w:t>Project authority</w:t>
            </w:r>
          </w:p>
        </w:tc>
        <w:tc>
          <w:tcPr>
            <w:tcW w:type="dxa" w:w="7370"/>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spacing w:after="0"/>
            </w:pPr>
            <w:r>
              <w:rPr>
                <w:rFonts w:ascii="Aptos" w:hAnsi="Aptos"/>
                <w:sz w:val="16"/>
              </w:rPr>
              <w:t>Engineering Design Review; Decision Register v1.2; approved Phase 3C Closure Memo; Concept Evidence Matrix; Uncertainty and Test Register</w:t>
            </w:r>
          </w:p>
        </w:tc>
      </w:tr>
      <w:tr>
        <w:trPr>
          <w:cantSplit/>
        </w:trPr>
        <w:tc>
          <w:tcPr>
            <w:tcW w:type="dxa" w:w="2268"/>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spacing w:after="0"/>
            </w:pPr>
            <w:r>
              <w:rPr>
                <w:rFonts w:ascii="Aptos" w:hAnsi="Aptos"/>
                <w:b/>
                <w:color w:val="1F4E79"/>
                <w:sz w:val="16"/>
              </w:rPr>
              <w:t>Technical authority</w:t>
            </w:r>
          </w:p>
        </w:tc>
        <w:tc>
          <w:tcPr>
            <w:tcW w:type="dxa" w:w="7370"/>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spacing w:after="0"/>
            </w:pPr>
            <w:r>
              <w:rPr>
                <w:rFonts w:ascii="Aptos" w:hAnsi="Aptos"/>
                <w:sz w:val="16"/>
              </w:rPr>
              <w:t>Final VibeGuard and OpenBraille Architecture Reports, Memories and SOPs</w:t>
            </w:r>
          </w:p>
        </w:tc>
      </w:tr>
      <w:tr>
        <w:trPr>
          <w:cantSplit/>
        </w:trPr>
        <w:tc>
          <w:tcPr>
            <w:tcW w:type="dxa" w:w="2268"/>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spacing w:after="0"/>
            </w:pPr>
            <w:r>
              <w:rPr>
                <w:rFonts w:ascii="Aptos" w:hAnsi="Aptos"/>
                <w:b/>
                <w:color w:val="1F4E79"/>
                <w:sz w:val="16"/>
              </w:rPr>
              <w:t>Comparative context</w:t>
            </w:r>
          </w:p>
        </w:tc>
        <w:tc>
          <w:tcPr>
            <w:tcW w:type="dxa" w:w="7370"/>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spacing w:after="0"/>
            </w:pPr>
            <w:r>
              <w:rPr>
                <w:rFonts w:ascii="Aptos" w:hAnsi="Aptos"/>
                <w:sz w:val="16"/>
              </w:rPr>
              <w:t>Two final cross-concept adjudications, treated as context rather than votes</w:t>
            </w:r>
          </w:p>
        </w:tc>
      </w:tr>
      <w:tr>
        <w:trPr>
          <w:cantSplit/>
        </w:trPr>
        <w:tc>
          <w:tcPr>
            <w:tcW w:type="dxa" w:w="2268"/>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spacing w:after="0"/>
            </w:pPr>
            <w:r>
              <w:rPr>
                <w:rFonts w:ascii="Aptos" w:hAnsi="Aptos"/>
                <w:b/>
                <w:color w:val="1F4E79"/>
                <w:sz w:val="16"/>
              </w:rPr>
              <w:t>Future-research boundary</w:t>
            </w:r>
          </w:p>
        </w:tc>
        <w:tc>
          <w:tcPr>
            <w:tcW w:type="dxa" w:w="7370"/>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spacing w:after="0"/>
            </w:pPr>
            <w:r>
              <w:rPr>
                <w:rFonts w:ascii="Aptos" w:hAnsi="Aptos"/>
                <w:sz w:val="16"/>
              </w:rPr>
              <w:t>VibeGuard and OpenBraille pre-build simulations, treated as unbuilt hypotheses</w:t>
            </w:r>
          </w:p>
        </w:tc>
      </w:tr>
      <w:tr>
        <w:trPr>
          <w:cantSplit/>
        </w:trPr>
        <w:tc>
          <w:tcPr>
            <w:tcW w:type="dxa" w:w="2268"/>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spacing w:after="0"/>
            </w:pPr>
            <w:r>
              <w:rPr>
                <w:rFonts w:ascii="Aptos" w:hAnsi="Aptos"/>
                <w:b/>
                <w:color w:val="1F4E79"/>
                <w:sz w:val="16"/>
              </w:rPr>
              <w:t>Current costing</w:t>
            </w:r>
          </w:p>
        </w:tc>
        <w:tc>
          <w:tcPr>
            <w:tcW w:type="dxa" w:w="7370"/>
            <w:vAlign w:val="center"/>
            <w:tcBorders>
              <w:top w:sz="4" w:val="single" w:color="B4C6E7"/>
              <w:left w:sz="4" w:val="single" w:color="B4C6E7"/>
              <w:bottom w:sz="4" w:val="single" w:color="B4C6E7"/>
              <w:right w:sz="4" w:val="single" w:color="B4C6E7"/>
            </w:tcBorders>
            <w:tcMar>
              <w:top w:w="80" w:type="dxa"/>
              <w:left w:w="80" w:type="dxa"/>
              <w:bottom w:w="80" w:type="dxa"/>
              <w:right w:w="80" w:type="dxa"/>
            </w:tcMar>
          </w:tcPr>
          <w:p>
            <w:pPr>
              <w:spacing w:after="0"/>
            </w:pPr>
            <w:r>
              <w:rPr>
                <w:rFonts w:ascii="Aptos" w:hAnsi="Aptos"/>
                <w:sz w:val="16"/>
              </w:rPr>
              <w:t>Master Evidence, Costing and Decision Basis, price-checked 03 August 2026 using official specifications and reputable Indian retailer listings</w:t>
            </w:r>
          </w:p>
        </w:tc>
      </w:tr>
    </w:tbl>
    <w:p>
      <w:pPr>
        <w:spacing w:before="160"/>
        <w:jc w:val="center"/>
      </w:pPr>
      <w:r>
        <w:rPr>
          <w:rFonts w:ascii="Aptos" w:hAnsi="Aptos"/>
          <w:i/>
          <w:color w:val="595959"/>
          <w:sz w:val="17"/>
        </w:rPr>
        <w:t>Prepared for academic project approval. This document is not a patent opinion or freedom-to-operate clearance.</w:t>
      </w:r>
    </w:p>
    <w:sectPr w:rsidR="00FC693F" w:rsidRPr="0006063C" w:rsidSect="00034616">
      <w:headerReference w:type="default" r:id="rId9"/>
      <w:footerReference w:type="default" r:id="rId10"/>
      <w:pgSz w:w="11906" w:h="16838"/>
      <w:pgMar w:top="850" w:right="1020" w:bottom="850" w:left="1020"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3216"/>
      <w:gridCol w:w="3216"/>
      <w:gridCol w:w="3216"/>
    </w:tblGrid>
    <w:tr>
      <w:tc>
        <w:tcPr>
          <w:tcW w:type="dxa" w:w="3402"/>
        </w:tcPr>
        <w:p>
          <w:r>
            <w:rPr>
              <w:rFonts w:ascii="Aptos" w:hAnsi="Aptos"/>
              <w:color w:val="595959"/>
              <w:sz w:val="16"/>
            </w:rPr>
            <w:t>Dept. of CSE (CY)</w:t>
          </w:r>
        </w:p>
      </w:tc>
      <w:tc>
        <w:tcPr>
          <w:tcW w:type="dxa" w:w="3118"/>
        </w:tcPr>
        <w:p>
          <w:pPr>
            <w:jc w:val="center"/>
          </w:pPr>
          <w:r>
            <w:rPr>
              <w:rFonts w:ascii="Aptos" w:hAnsi="Aptos"/>
              <w:color w:val="595959"/>
              <w:sz w:val="16"/>
            </w:rPr>
            <w:t>PBCST504 - Microcontrollers</w:t>
          </w:r>
        </w:p>
      </w:tc>
      <w:tc>
        <w:tcPr>
          <w:tcW w:type="dxa" w:w="3118"/>
        </w:tcPr>
        <w:p>
          <w:pPr>
            <w:jc w:val="right"/>
          </w:pPr>
          <w:r>
            <w:rPr>
              <w:rFonts w:ascii="Aptos" w:hAnsi="Aptos"/>
              <w:sz w:val="16"/>
            </w:rPr>
            <w:t xml:space="preserve">Page </w:t>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b/>
        <w:color w:val="1F4E79"/>
        <w:sz w:val="17"/>
      </w:rPr>
      <w:t>Topic: Project mC - Request to Change from OpenBraille to VibeGuard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mC Request to Change from OpenBraille to VibeGuard</dc:title>
  <dc:subject>Teacher-facing microcontroller semester project change request</dc:subject>
  <dc:creator>Project mC - Group 8</dc:creator>
  <cp:keywords>Project mC, VibeGuard, OpenBraille, PBCST504, project change request</cp:keywords>
  <dc:description>generated by python-docx</dc:description>
  <cp:lastModifiedBy/>
  <cp:revision>1</cp:revision>
  <dcterms:created xsi:type="dcterms:W3CDTF">2013-12-23T23:15:00Z</dcterms:created>
  <dcterms:modified xsi:type="dcterms:W3CDTF">2013-12-23T23:15:00Z</dcterms:modified>
  <cp:category/>
</cp:coreProperties>
</file>